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重庆城市综合交通枢纽(集团)有限公司</w:t>
      </w:r>
    </w:p>
    <w:p>
      <w:pPr>
        <w:spacing w:line="560" w:lineRule="exact"/>
        <w:jc w:val="center"/>
        <w:rPr>
          <w:rFonts w:ascii="仿宋" w:hAnsi="仿宋" w:eastAsia="仿宋" w:cs="仿宋"/>
          <w:b/>
          <w:bCs/>
          <w:color w:val="4472C4" w:themeColor="accent5"/>
          <w:sz w:val="44"/>
          <w:szCs w:val="44"/>
          <w14:textFill>
            <w14:solidFill>
              <w14:schemeClr w14:val="accent5"/>
            </w14:solidFill>
          </w14:textFill>
        </w:rPr>
      </w:pPr>
      <w:r>
        <w:rPr>
          <w:rFonts w:hint="eastAsia" w:ascii="仿宋" w:hAnsi="仿宋" w:eastAsia="仿宋" w:cs="仿宋"/>
          <w:b/>
          <w:bCs/>
          <w:color w:val="4472C4" w:themeColor="accent5"/>
          <w:sz w:val="44"/>
          <w:szCs w:val="44"/>
          <w14:textFill>
            <w14:solidFill>
              <w14:schemeClr w14:val="accent5"/>
            </w14:solidFill>
          </w14:textFill>
        </w:rPr>
        <w:t>关于锦鑫苑、冉家坝等10个公交站场及华新街一体化换乘枢纽项目</w:t>
      </w:r>
    </w:p>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设计单位比选文件邀请函</w:t>
      </w:r>
    </w:p>
    <w:p>
      <w:pPr>
        <w:tabs>
          <w:tab w:val="left" w:pos="-7488"/>
        </w:tabs>
        <w:ind w:right="611" w:rightChars="291"/>
        <w:jc w:val="center"/>
        <w:rPr>
          <w:rFonts w:ascii="仿宋" w:hAnsi="仿宋" w:eastAsia="仿宋" w:cs="仿宋"/>
          <w:b/>
          <w:bCs/>
          <w:sz w:val="36"/>
          <w:szCs w:val="36"/>
        </w:rPr>
      </w:pPr>
    </w:p>
    <w:p>
      <w:pP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adjustRightInd w:val="0"/>
        <w:snapToGrid w:val="0"/>
        <w:spacing w:line="56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我司拟开展</w:t>
      </w:r>
      <w:r>
        <w:rPr>
          <w:rFonts w:hint="eastAsia" w:ascii="仿宋" w:hAnsi="仿宋" w:eastAsia="仿宋" w:cs="仿宋"/>
          <w:color w:val="4472C4" w:themeColor="accent5"/>
          <w:sz w:val="28"/>
          <w:szCs w:val="28"/>
          <w14:textFill>
            <w14:solidFill>
              <w14:schemeClr w14:val="accent5"/>
            </w14:solidFill>
          </w14:textFill>
        </w:rPr>
        <w:t>锦鑫苑、冉家坝等10个公交站场及华新街一体化换乘枢纽项目</w:t>
      </w:r>
      <w:r>
        <w:rPr>
          <w:rFonts w:hint="eastAsia" w:ascii="仿宋" w:hAnsi="仿宋" w:eastAsia="仿宋" w:cs="仿宋"/>
          <w:sz w:val="28"/>
          <w:szCs w:val="28"/>
        </w:rPr>
        <w:t xml:space="preserve">设计工作，本次设计工作实施单位的确定将采用比选方式进行。现邀请贵单位作为潜在比选被邀请人之一参加报价和比选。具体项目情况如下： </w:t>
      </w:r>
    </w:p>
    <w:tbl>
      <w:tblPr>
        <w:tblStyle w:val="15"/>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一、项目概况</w:t>
            </w:r>
          </w:p>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exact"/>
          <w:jc w:val="center"/>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pPr>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锦鑫苑、冉家坝等10个公交站场及华新街一体化换乘枢纽项目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0" w:hRule="exact"/>
          <w:jc w:val="center"/>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项目投资</w:t>
            </w:r>
          </w:p>
        </w:tc>
        <w:tc>
          <w:tcPr>
            <w:tcW w:w="7699" w:type="dxa"/>
            <w:vAlign w:val="center"/>
          </w:tcPr>
          <w:p>
            <w:pPr>
              <w:rPr>
                <w:rFonts w:hint="eastAsia" w:ascii="仿宋" w:hAnsi="仿宋" w:eastAsia="仿宋" w:cs="仿宋"/>
                <w:color w:val="4472C4" w:themeColor="accent5"/>
                <w:sz w:val="24"/>
                <w:szCs w:val="24"/>
                <w14:textFill>
                  <w14:solidFill>
                    <w14:schemeClr w14:val="accent5"/>
                  </w14:solidFill>
                </w14:textFill>
              </w:rPr>
            </w:pPr>
          </w:p>
          <w:p>
            <w:pPr>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本项目共划分8个标段，设计费用建议参考重庆市勘察设计协会2020年4月发布的渝设协字【2020】3号《重庆市建筑市政工程勘察、设计收费指导意见》工程设计收费要求以工程造价（建安费）进行插值取费。</w:t>
            </w:r>
          </w:p>
          <w:p>
            <w:pPr>
              <w:rPr>
                <w:rFonts w:hint="eastAsia" w:ascii="仿宋" w:hAnsi="仿宋" w:eastAsia="仿宋" w:cs="仿宋"/>
                <w:b/>
                <w:bCs/>
                <w:color w:val="4472C4" w:themeColor="accent5"/>
                <w:sz w:val="24"/>
                <w:szCs w:val="24"/>
                <w14:textFill>
                  <w14:solidFill>
                    <w14:schemeClr w14:val="accent5"/>
                  </w14:solidFill>
                </w14:textFill>
              </w:rPr>
            </w:pPr>
            <w:r>
              <w:rPr>
                <w:rFonts w:hint="eastAsia" w:ascii="仿宋" w:hAnsi="仿宋" w:eastAsia="仿宋" w:cs="仿宋"/>
                <w:b/>
                <w:bCs/>
                <w:color w:val="4472C4" w:themeColor="accent5"/>
                <w:sz w:val="24"/>
                <w:szCs w:val="24"/>
                <w14:textFill>
                  <w14:solidFill>
                    <w14:schemeClr w14:val="accent5"/>
                  </w14:solidFill>
                </w14:textFill>
              </w:rPr>
              <w:t>比选限价：设计费按照以上取费标准下浮20%进行估算。</w:t>
            </w:r>
          </w:p>
          <w:p>
            <w:pPr>
              <w:pStyle w:val="2"/>
              <w:rPr>
                <w:rFonts w:hint="eastAsia"/>
              </w:rPr>
            </w:pPr>
          </w:p>
          <w:p>
            <w:pPr>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各标段</w:t>
            </w:r>
            <w:r>
              <w:rPr>
                <w:rFonts w:hint="eastAsia" w:ascii="仿宋" w:hAnsi="仿宋" w:eastAsia="仿宋" w:cs="仿宋"/>
                <w:color w:val="4472C4" w:themeColor="accent5"/>
                <w:sz w:val="24"/>
                <w:szCs w:val="24"/>
                <w:lang w:eastAsia="zh-CN"/>
                <w14:textFill>
                  <w14:solidFill>
                    <w14:schemeClr w14:val="accent5"/>
                  </w14:solidFill>
                </w14:textFill>
              </w:rPr>
              <w:t>预估金额</w:t>
            </w:r>
            <w:r>
              <w:rPr>
                <w:rFonts w:hint="eastAsia" w:ascii="仿宋" w:hAnsi="仿宋" w:eastAsia="仿宋" w:cs="仿宋"/>
                <w:color w:val="4472C4" w:themeColor="accent5"/>
                <w:sz w:val="24"/>
                <w:szCs w:val="24"/>
                <w14:textFill>
                  <w14:solidFill>
                    <w14:schemeClr w14:val="accent5"/>
                  </w14:solidFill>
                </w14:textFill>
              </w:rPr>
              <w:t>如下表所示：</w:t>
            </w:r>
          </w:p>
          <w:p>
            <w:pPr>
              <w:rPr>
                <w:rFonts w:ascii="仿宋" w:hAnsi="仿宋" w:eastAsia="仿宋" w:cs="仿宋"/>
                <w:color w:val="4472C4" w:themeColor="accent5"/>
                <w:sz w:val="24"/>
                <w:szCs w:val="24"/>
                <w14:textFill>
                  <w14:solidFill>
                    <w14:schemeClr w14:val="accent5"/>
                  </w14:solidFill>
                </w14:textFill>
              </w:rPr>
            </w:pPr>
          </w:p>
          <w:tbl>
            <w:tblPr>
              <w:tblStyle w:val="14"/>
              <w:tblW w:w="74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161"/>
              <w:gridCol w:w="4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标段</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各标段设计费</w:t>
                  </w:r>
                </w:p>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lang w:eastAsia="zh-CN"/>
                      <w14:textFill>
                        <w14:solidFill>
                          <w14:schemeClr w14:val="accent5"/>
                        </w14:solidFill>
                      </w14:textFill>
                    </w:rPr>
                    <w:t>预估金额</w:t>
                  </w:r>
                </w:p>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（万元）</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68.64</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锦鑫苑公交站场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冉家坝公交站场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w:t>
                  </w:r>
                </w:p>
              </w:tc>
              <w:tc>
                <w:tcPr>
                  <w:tcW w:w="2161"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22.72</w:t>
                  </w:r>
                </w:p>
              </w:tc>
              <w:tc>
                <w:tcPr>
                  <w:tcW w:w="470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华新街一体化换乘枢纽项目</w:t>
                  </w:r>
                  <w:r>
                    <w:rPr>
                      <w:rFonts w:hint="eastAsia" w:ascii="仿宋" w:hAnsi="仿宋" w:eastAsia="仿宋" w:cs="仿宋"/>
                      <w:color w:val="4472C4" w:themeColor="accent5"/>
                      <w:kern w:val="0"/>
                      <w:szCs w:val="21"/>
                      <w:lang w:eastAsia="zh-CN"/>
                      <w14:textFill>
                        <w14:solidFill>
                          <w14:schemeClr w14:val="accent5"/>
                        </w14:solidFill>
                      </w14:textFill>
                    </w:rPr>
                    <w:t>、</w:t>
                  </w:r>
                  <w:r>
                    <w:rPr>
                      <w:rFonts w:hint="eastAsia" w:ascii="仿宋" w:hAnsi="仿宋" w:eastAsia="仿宋" w:cs="仿宋"/>
                      <w:color w:val="4472C4" w:themeColor="accent5"/>
                      <w:kern w:val="0"/>
                      <w:szCs w:val="21"/>
                      <w14:textFill>
                        <w14:solidFill>
                          <w14:schemeClr w14:val="accent5"/>
                        </w14:solidFill>
                      </w14:textFill>
                    </w:rPr>
                    <w:t>跑马坪公交站场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4</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11.92</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奥园越时代公交站场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5</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47.28</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学知路口公交站场</w:t>
                  </w:r>
                </w:p>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秉文路公交站场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6</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黄角堡公交站场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7</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界石后子冲公交站场（一期）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60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8</w:t>
                  </w:r>
                </w:p>
              </w:tc>
              <w:tc>
                <w:tcPr>
                  <w:tcW w:w="2161"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19.44</w:t>
                  </w:r>
                </w:p>
              </w:tc>
              <w:tc>
                <w:tcPr>
                  <w:tcW w:w="4707"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欣和佳苑公交站场</w:t>
                  </w:r>
                </w:p>
              </w:tc>
            </w:tr>
          </w:tbl>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63" w:hRule="exact"/>
          <w:jc w:val="center"/>
        </w:trPr>
        <w:tc>
          <w:tcPr>
            <w:tcW w:w="1543" w:type="dxa"/>
            <w:vAlign w:val="center"/>
          </w:tcPr>
          <w:p>
            <w:pPr>
              <w:pStyle w:val="2"/>
              <w:adjustRightInd w:val="0"/>
              <w:snapToGrid w:val="0"/>
              <w:spacing w:after="0" w:line="440" w:lineRule="exact"/>
              <w:ind w:firstLine="480" w:firstLineChars="200"/>
              <w:rPr>
                <w:rFonts w:ascii="仿宋" w:hAnsi="仿宋" w:eastAsia="仿宋" w:cs="仿宋"/>
                <w:sz w:val="24"/>
                <w:szCs w:val="24"/>
              </w:rPr>
            </w:pPr>
            <w:r>
              <w:rPr>
                <w:rFonts w:hint="eastAsia" w:ascii="仿宋" w:hAnsi="仿宋" w:eastAsia="仿宋" w:cs="仿宋"/>
                <w:sz w:val="24"/>
                <w:szCs w:val="24"/>
              </w:rPr>
              <w:t>项目具体概况</w:t>
            </w:r>
          </w:p>
        </w:tc>
        <w:tc>
          <w:tcPr>
            <w:tcW w:w="7699" w:type="dxa"/>
            <w:vAlign w:val="center"/>
          </w:tcPr>
          <w:p>
            <w:pPr>
              <w:pStyle w:val="23"/>
              <w:adjustRightInd w:val="0"/>
              <w:snapToGrid w:val="0"/>
              <w:spacing w:line="440" w:lineRule="exact"/>
              <w:ind w:firstLine="0" w:firstLineChars="0"/>
              <w:rPr>
                <w:rFonts w:ascii="仿宋" w:hAnsi="仿宋" w:eastAsia="仿宋" w:cs="仿宋"/>
                <w:sz w:val="24"/>
                <w:szCs w:val="24"/>
              </w:rPr>
            </w:pPr>
          </w:p>
          <w:p>
            <w:pPr>
              <w:pStyle w:val="23"/>
              <w:adjustRightInd w:val="0"/>
              <w:snapToGrid w:val="0"/>
              <w:spacing w:line="440" w:lineRule="exact"/>
              <w:ind w:firstLine="480"/>
              <w:rPr>
                <w:rFonts w:ascii="仿宋" w:hAnsi="仿宋" w:eastAsia="仿宋" w:cs="仿宋"/>
                <w:sz w:val="24"/>
                <w:szCs w:val="24"/>
              </w:rPr>
            </w:pPr>
          </w:p>
          <w:tbl>
            <w:tblPr>
              <w:tblStyle w:val="14"/>
              <w:tblW w:w="7478" w:type="dxa"/>
              <w:tblInd w:w="0" w:type="dxa"/>
              <w:tblLayout w:type="fixed"/>
              <w:tblCellMar>
                <w:top w:w="0" w:type="dxa"/>
                <w:left w:w="108" w:type="dxa"/>
                <w:bottom w:w="0" w:type="dxa"/>
                <w:right w:w="108" w:type="dxa"/>
              </w:tblCellMar>
            </w:tblPr>
            <w:tblGrid>
              <w:gridCol w:w="565"/>
              <w:gridCol w:w="2342"/>
              <w:gridCol w:w="893"/>
              <w:gridCol w:w="952"/>
              <w:gridCol w:w="981"/>
              <w:gridCol w:w="1745"/>
            </w:tblGrid>
            <w:tr>
              <w:tblPrEx>
                <w:tblLayout w:type="fixed"/>
                <w:tblCellMar>
                  <w:top w:w="0" w:type="dxa"/>
                  <w:left w:w="108" w:type="dxa"/>
                  <w:bottom w:w="0" w:type="dxa"/>
                  <w:right w:w="108" w:type="dxa"/>
                </w:tblCellMar>
              </w:tblPrEx>
              <w:trPr>
                <w:trHeight w:val="788" w:hRule="atLeast"/>
              </w:trPr>
              <w:tc>
                <w:tcPr>
                  <w:tcW w:w="5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行政区</w:t>
                  </w:r>
                </w:p>
              </w:tc>
              <w:tc>
                <w:tcPr>
                  <w:tcW w:w="23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站场名称</w:t>
                  </w:r>
                </w:p>
              </w:tc>
              <w:tc>
                <w:tcPr>
                  <w:tcW w:w="8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开工</w:t>
                  </w:r>
                </w:p>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年限</w:t>
                  </w:r>
                </w:p>
              </w:tc>
              <w:tc>
                <w:tcPr>
                  <w:tcW w:w="9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用地面积（公顷）</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建安投资      （万元）</w:t>
                  </w:r>
                </w:p>
              </w:tc>
              <w:tc>
                <w:tcPr>
                  <w:tcW w:w="1745" w:type="dxa"/>
                  <w:tcBorders>
                    <w:top w:val="single" w:color="auto" w:sz="4" w:space="0"/>
                    <w:left w:val="nil"/>
                    <w:bottom w:val="single" w:color="auto" w:sz="4" w:space="0"/>
                    <w:right w:val="single" w:color="auto" w:sz="4" w:space="0"/>
                  </w:tcBorders>
                  <w:shd w:val="clear" w:color="auto" w:fill="auto"/>
                  <w:vAlign w:val="center"/>
                </w:tcPr>
                <w:p>
                  <w:pPr>
                    <w:widowControl/>
                    <w:jc w:val="both"/>
                    <w:rPr>
                      <w:rFonts w:hint="eastAsia" w:ascii="仿宋" w:hAnsi="仿宋" w:eastAsia="仿宋" w:cs="仿宋"/>
                      <w:b/>
                      <w:bCs/>
                      <w:color w:val="4472C4" w:themeColor="accent5"/>
                      <w:kern w:val="0"/>
                      <w:sz w:val="21"/>
                      <w:szCs w:val="21"/>
                      <w:lang w:eastAsia="zh-CN"/>
                      <w14:textFill>
                        <w14:solidFill>
                          <w14:schemeClr w14:val="accent5"/>
                        </w14:solidFill>
                      </w14:textFill>
                    </w:rPr>
                  </w:pPr>
                  <w:r>
                    <w:rPr>
                      <w:rFonts w:hint="eastAsia" w:ascii="仿宋" w:hAnsi="仿宋" w:eastAsia="仿宋" w:cs="仿宋"/>
                      <w:b/>
                      <w:bCs/>
                      <w:color w:val="4472C4" w:themeColor="accent5"/>
                      <w:kern w:val="0"/>
                      <w:sz w:val="21"/>
                      <w:szCs w:val="21"/>
                      <w:lang w:eastAsia="zh-CN"/>
                      <w14:textFill>
                        <w14:solidFill>
                          <w14:schemeClr w14:val="accent5"/>
                        </w14:solidFill>
                      </w14:textFill>
                    </w:rPr>
                    <w:t>工作内容</w:t>
                  </w:r>
                </w:p>
              </w:tc>
            </w:tr>
            <w:tr>
              <w:tblPrEx>
                <w:tblLayout w:type="fixed"/>
                <w:tblCellMar>
                  <w:top w:w="0" w:type="dxa"/>
                  <w:left w:w="108" w:type="dxa"/>
                  <w:bottom w:w="0" w:type="dxa"/>
                  <w:right w:w="108" w:type="dxa"/>
                </w:tblCellMar>
              </w:tblPrEx>
              <w:trPr>
                <w:trHeight w:val="7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北碚区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锦鑫苑公交站场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2023</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2.07</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2800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7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渝北区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冉家坝公交站场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2022</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1</w:t>
                  </w:r>
                  <w:r>
                    <w:rPr>
                      <w:rFonts w:hint="eastAsia" w:ascii="仿宋" w:hAnsi="仿宋" w:eastAsia="仿宋" w:cs="仿宋"/>
                      <w:color w:val="4472C4" w:themeColor="accent5"/>
                      <w:kern w:val="0"/>
                      <w:sz w:val="21"/>
                      <w:szCs w:val="21"/>
                      <w:lang w:val="en-US" w:eastAsia="zh-CN"/>
                      <w14:textFill>
                        <w14:solidFill>
                          <w14:schemeClr w14:val="accent5"/>
                        </w14:solidFill>
                      </w14:textFill>
                    </w:rPr>
                    <w:t>.00</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1400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江北区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华新街一体化换乘枢纽项目</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2022</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0.46</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600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b w:val="0"/>
                      <w:bCs w:val="0"/>
                      <w:color w:val="4472C4" w:themeColor="accent5"/>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江北区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跑马坪公交站场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2022</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0.16</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200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南岸区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奥园越时代公交站场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2023</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0.31</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400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南岸区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学知路口公交站场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2023</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0.6</w:t>
                  </w:r>
                  <w:r>
                    <w:rPr>
                      <w:rFonts w:hint="eastAsia" w:ascii="仿宋" w:hAnsi="仿宋" w:eastAsia="仿宋" w:cs="仿宋"/>
                      <w:color w:val="4472C4" w:themeColor="accent5"/>
                      <w:kern w:val="0"/>
                      <w:sz w:val="21"/>
                      <w:szCs w:val="21"/>
                      <w:lang w:val="en-US" w:eastAsia="zh-CN"/>
                      <w14:textFill>
                        <w14:solidFill>
                          <w14:schemeClr w14:val="accent5"/>
                        </w14:solidFill>
                      </w14:textFill>
                    </w:rPr>
                    <w:t>0</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800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南岸区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秉文路公交站场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2023</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0.66</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900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大渡口区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黄角堡公交站场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2022</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1.01</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1400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巴南区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界石后子冲公交站场（一期）</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2021</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1</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1400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lang w:eastAsia="zh-CN"/>
                      <w14:textFill>
                        <w14:solidFill>
                          <w14:schemeClr w14:val="accent5"/>
                        </w14:solidFill>
                      </w14:textFill>
                    </w:rPr>
                    <w:t>方案设计、</w:t>
                  </w: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r>
              <w:tblPrEx>
                <w:tblLayout w:type="fixed"/>
                <w:tblCellMar>
                  <w:top w:w="0" w:type="dxa"/>
                  <w:left w:w="108" w:type="dxa"/>
                  <w:bottom w:w="0" w:type="dxa"/>
                  <w:right w:w="108" w:type="dxa"/>
                </w:tblCellMar>
              </w:tblPrEx>
              <w:trPr>
                <w:trHeight w:val="300" w:hRule="atLeast"/>
              </w:trPr>
              <w:tc>
                <w:tcPr>
                  <w:tcW w:w="565"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北碚区</w:t>
                  </w:r>
                </w:p>
              </w:tc>
              <w:tc>
                <w:tcPr>
                  <w:tcW w:w="2342"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欣和佳苑公交站场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2022</w:t>
                  </w:r>
                </w:p>
              </w:tc>
              <w:tc>
                <w:tcPr>
                  <w:tcW w:w="95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0.5</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 xml:space="preserve">700 </w:t>
                  </w:r>
                </w:p>
              </w:tc>
              <w:tc>
                <w:tcPr>
                  <w:tcW w:w="1745"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b w:val="0"/>
                      <w:bCs w:val="0"/>
                      <w:color w:val="4472C4" w:themeColor="accent5"/>
                      <w:sz w:val="21"/>
                      <w:szCs w:val="21"/>
                      <w14:textFill>
                        <w14:solidFill>
                          <w14:schemeClr w14:val="accent5"/>
                        </w14:solidFill>
                      </w14:textFill>
                    </w:rPr>
                    <w:t>初步设计、施工图设计</w:t>
                  </w:r>
                </w:p>
              </w:tc>
            </w:tr>
          </w:tbl>
          <w:p>
            <w:pPr>
              <w:pStyle w:val="23"/>
              <w:adjustRightInd w:val="0"/>
              <w:snapToGrid w:val="0"/>
              <w:spacing w:line="440" w:lineRule="exact"/>
              <w:ind w:firstLine="480"/>
              <w:rPr>
                <w:rFonts w:ascii="仿宋" w:hAnsi="仿宋" w:eastAsia="仿宋" w:cs="仿宋"/>
                <w:sz w:val="24"/>
                <w:szCs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8" w:hRule="exact"/>
          <w:jc w:val="center"/>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工期</w:t>
            </w:r>
          </w:p>
        </w:tc>
        <w:tc>
          <w:tcPr>
            <w:tcW w:w="7699" w:type="dxa"/>
            <w:vAlign w:val="center"/>
          </w:tcPr>
          <w:p>
            <w:pPr>
              <w:pStyle w:val="2"/>
              <w:adjustRightInd w:val="0"/>
              <w:snapToGrid w:val="0"/>
              <w:spacing w:after="0"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lang w:val="en-US" w:eastAsia="zh-CN"/>
                <w14:textFill>
                  <w14:solidFill>
                    <w14:schemeClr w14:val="accent5"/>
                  </w14:solidFill>
                </w14:textFill>
              </w:rPr>
              <w:t>1、</w:t>
            </w:r>
            <w:r>
              <w:rPr>
                <w:rFonts w:hint="eastAsia" w:ascii="仿宋" w:hAnsi="仿宋" w:eastAsia="仿宋" w:cs="仿宋"/>
                <w:color w:val="4472C4" w:themeColor="accent5"/>
                <w:sz w:val="24"/>
                <w:szCs w:val="24"/>
                <w14:textFill>
                  <w14:solidFill>
                    <w14:schemeClr w14:val="accent5"/>
                  </w14:solidFill>
                </w14:textFill>
              </w:rPr>
              <w:t>方案设计：在设计合同签订后20个工作日内提交方案设计文件。</w:t>
            </w:r>
          </w:p>
          <w:p>
            <w:pPr>
              <w:pStyle w:val="2"/>
              <w:adjustRightInd w:val="0"/>
              <w:snapToGrid w:val="0"/>
              <w:spacing w:after="0"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lang w:val="en-US" w:eastAsia="zh-CN"/>
                <w14:textFill>
                  <w14:solidFill>
                    <w14:schemeClr w14:val="accent5"/>
                  </w14:solidFill>
                </w14:textFill>
              </w:rPr>
              <w:t>2、</w:t>
            </w:r>
            <w:r>
              <w:rPr>
                <w:rFonts w:hint="eastAsia" w:ascii="仿宋" w:hAnsi="仿宋" w:eastAsia="仿宋" w:cs="仿宋"/>
                <w:color w:val="4472C4" w:themeColor="accent5"/>
                <w:sz w:val="24"/>
                <w:szCs w:val="24"/>
                <w14:textFill>
                  <w14:solidFill>
                    <w14:schemeClr w14:val="accent5"/>
                  </w14:solidFill>
                </w14:textFill>
              </w:rPr>
              <w:t>初步设计：在项目取得工程规划许可后20个工作日内提交初步设计文件。</w:t>
            </w:r>
          </w:p>
          <w:p>
            <w:pPr>
              <w:pStyle w:val="2"/>
              <w:adjustRightInd w:val="0"/>
              <w:snapToGrid w:val="0"/>
              <w:spacing w:after="0" w:line="440" w:lineRule="exact"/>
              <w:ind w:firstLine="480" w:firstLineChars="200"/>
              <w:rPr>
                <w:rFonts w:ascii="仿宋" w:hAnsi="仿宋" w:eastAsia="仿宋" w:cs="仿宋"/>
                <w:sz w:val="24"/>
                <w:szCs w:val="24"/>
              </w:rPr>
            </w:pPr>
            <w:r>
              <w:rPr>
                <w:rFonts w:hint="eastAsia" w:ascii="仿宋" w:hAnsi="仿宋" w:eastAsia="仿宋" w:cs="仿宋"/>
                <w:color w:val="4472C4" w:themeColor="accent5"/>
                <w:sz w:val="24"/>
                <w:szCs w:val="24"/>
                <w:lang w:val="en-US" w:eastAsia="zh-CN"/>
                <w14:textFill>
                  <w14:solidFill>
                    <w14:schemeClr w14:val="accent5"/>
                  </w14:solidFill>
                </w14:textFill>
              </w:rPr>
              <w:t>3、</w:t>
            </w:r>
            <w:r>
              <w:rPr>
                <w:rFonts w:hint="eastAsia" w:ascii="仿宋" w:hAnsi="仿宋" w:eastAsia="仿宋" w:cs="仿宋"/>
                <w:color w:val="4472C4" w:themeColor="accent5"/>
                <w:sz w:val="24"/>
                <w:szCs w:val="24"/>
                <w14:textFill>
                  <w14:solidFill>
                    <w14:schemeClr w14:val="accent5"/>
                  </w14:solidFill>
                </w14:textFill>
              </w:rPr>
              <w:t>施工图设计：取得初设批复后20个工作日内提交施工图设计文件。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exact"/>
          <w:jc w:val="center"/>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标段划分</w:t>
            </w:r>
          </w:p>
        </w:tc>
        <w:tc>
          <w:tcPr>
            <w:tcW w:w="7699" w:type="dxa"/>
            <w:vAlign w:val="center"/>
          </w:tcPr>
          <w:p>
            <w:pPr>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划分8个标段，兼投不兼中，一个比选人中选不超过3个标段。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exact"/>
          <w:jc w:val="center"/>
        </w:trPr>
        <w:tc>
          <w:tcPr>
            <w:tcW w:w="1543"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预计</w:t>
            </w:r>
          </w:p>
          <w:p>
            <w:pPr>
              <w:jc w:val="center"/>
              <w:rPr>
                <w:rFonts w:ascii="仿宋" w:hAnsi="仿宋" w:eastAsia="仿宋" w:cs="仿宋"/>
                <w:sz w:val="24"/>
                <w:szCs w:val="24"/>
              </w:rPr>
            </w:pPr>
            <w:r>
              <w:rPr>
                <w:rFonts w:hint="eastAsia" w:ascii="仿宋" w:hAnsi="仿宋" w:eastAsia="仿宋" w:cs="仿宋"/>
                <w:sz w:val="24"/>
                <w:szCs w:val="24"/>
              </w:rPr>
              <w:t>开工时间</w:t>
            </w:r>
          </w:p>
        </w:tc>
        <w:tc>
          <w:tcPr>
            <w:tcW w:w="7699" w:type="dxa"/>
            <w:vAlign w:val="center"/>
          </w:tcPr>
          <w:p>
            <w:pPr>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见项目概况中开工年限要求，开工时间为合同签订完成后。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4" w:hRule="exact"/>
          <w:jc w:val="center"/>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比选范围</w:t>
            </w:r>
          </w:p>
          <w:p>
            <w:pPr>
              <w:jc w:val="center"/>
              <w:rPr>
                <w:rFonts w:ascii="仿宋" w:hAnsi="仿宋" w:eastAsia="仿宋" w:cs="仿宋"/>
                <w:sz w:val="24"/>
                <w:szCs w:val="24"/>
              </w:rPr>
            </w:pPr>
            <w:r>
              <w:rPr>
                <w:rFonts w:hint="eastAsia" w:ascii="仿宋" w:hAnsi="仿宋" w:eastAsia="仿宋" w:cs="仿宋"/>
                <w:sz w:val="24"/>
                <w:szCs w:val="24"/>
              </w:rPr>
              <w:t>及内容</w:t>
            </w:r>
          </w:p>
        </w:tc>
        <w:tc>
          <w:tcPr>
            <w:tcW w:w="7699" w:type="dxa"/>
            <w:vAlign w:val="center"/>
          </w:tcPr>
          <w:p>
            <w:pPr>
              <w:pStyle w:val="11"/>
              <w:adjustRightInd w:val="0"/>
              <w:snapToGrid w:val="0"/>
              <w:spacing w:before="0" w:after="0" w:line="500" w:lineRule="exact"/>
              <w:ind w:firstLine="480" w:firstLineChars="200"/>
              <w:jc w:val="left"/>
              <w:rPr>
                <w:rFonts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一）初步设计、施工图设计（其中界石后子冲公交站场（一期）项目包含方案设计内容）。设计成果按照建筑主管部门要求及深度提供。其中初设和施设包含绿建（二星）、BIM技术应用（审查深度）、海绵城市、节能、基坑边坡、装配式、室内装饰（初装修）、景观园林、室外工程、智能化（监控、智能道闸、安防、综合网络布线）及交通工程设计。</w:t>
            </w:r>
          </w:p>
          <w:p>
            <w:pPr>
              <w:pStyle w:val="11"/>
              <w:adjustRightInd w:val="0"/>
              <w:snapToGrid w:val="0"/>
              <w:spacing w:before="0" w:after="0" w:line="500" w:lineRule="exact"/>
              <w:ind w:firstLine="480" w:firstLineChars="200"/>
              <w:jc w:val="left"/>
              <w:rPr>
                <w:rFonts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（二）配合建设单位进行报建审批等工作。</w:t>
            </w:r>
          </w:p>
          <w:p>
            <w:pPr>
              <w:pStyle w:val="11"/>
              <w:adjustRightInd w:val="0"/>
              <w:snapToGrid w:val="0"/>
              <w:spacing w:before="0" w:after="0" w:line="500" w:lineRule="exact"/>
              <w:ind w:firstLine="480" w:firstLineChars="200"/>
              <w:jc w:val="left"/>
              <w:rPr>
                <w:rFonts w:hint="eastAsia"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（三）协助建设单位进行公交站场标准化建设。</w:t>
            </w:r>
          </w:p>
          <w:p>
            <w:pPr>
              <w:pStyle w:val="11"/>
              <w:adjustRightInd w:val="0"/>
              <w:snapToGrid w:val="0"/>
              <w:spacing w:before="0" w:after="0" w:line="500" w:lineRule="exact"/>
              <w:ind w:firstLine="480" w:firstLineChars="200"/>
              <w:jc w:val="left"/>
              <w:rPr>
                <w:rFonts w:ascii="仿宋" w:hAnsi="仿宋" w:eastAsia="仿宋" w:cs="仿宋"/>
                <w:sz w:val="24"/>
                <w:szCs w:val="24"/>
              </w:rPr>
            </w:pPr>
            <w:r>
              <w:rPr>
                <w:rFonts w:hint="eastAsia" w:ascii="仿宋" w:hAnsi="仿宋" w:eastAsia="仿宋" w:cs="仿宋"/>
                <w:b w:val="0"/>
                <w:bCs w:val="0"/>
                <w:color w:val="4472C4" w:themeColor="accent5"/>
                <w:sz w:val="24"/>
                <w:szCs w:val="24"/>
                <w:lang w:eastAsia="zh-CN"/>
                <w14:textFill>
                  <w14:solidFill>
                    <w14:schemeClr w14:val="accent5"/>
                  </w14:solidFill>
                </w14:textFill>
              </w:rPr>
              <w:t>特别说明：合同履行过程中，以委托人实际开展设计工作的项目为准，实施过程中由于土地等原因委托范围和项目个数发生变化，设计人应无条件同意，并不得向委托人进行索赔。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3" w:hRule="exact"/>
          <w:jc w:val="center"/>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pPr>
              <w:numPr>
                <w:ilvl w:val="0"/>
                <w:numId w:val="1"/>
              </w:numPr>
              <w:adjustRightInd w:val="0"/>
              <w:snapToGrid w:val="0"/>
              <w:spacing w:line="5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比选人须有具备</w:t>
            </w:r>
            <w:r>
              <w:rPr>
                <w:rFonts w:hint="eastAsia" w:ascii="仿宋" w:hAnsi="仿宋" w:eastAsia="仿宋" w:cs="仿宋"/>
                <w:color w:val="4472C4" w:themeColor="accent5"/>
                <w:kern w:val="0"/>
                <w:sz w:val="24"/>
                <w:szCs w:val="24"/>
                <w14:textFill>
                  <w14:solidFill>
                    <w14:schemeClr w14:val="accent5"/>
                  </w14:solidFill>
                </w14:textFill>
              </w:rPr>
              <w:t>建设行政主管部门颁发的工程设计综合甲级资质或建筑行业（建筑工程）乙级及以上设计资质。</w:t>
            </w:r>
          </w:p>
          <w:p>
            <w:pPr>
              <w:numPr>
                <w:ilvl w:val="0"/>
                <w:numId w:val="1"/>
              </w:numPr>
              <w:adjustRightInd w:val="0"/>
              <w:snapToGrid w:val="0"/>
              <w:spacing w:line="500" w:lineRule="exact"/>
              <w:ind w:firstLine="480" w:firstLineChars="200"/>
              <w:rPr>
                <w:rFonts w:ascii="仿宋" w:hAnsi="仿宋" w:eastAsia="仿宋" w:cs="仿宋"/>
                <w:kern w:val="0"/>
                <w:sz w:val="24"/>
                <w:szCs w:val="24"/>
              </w:rPr>
            </w:pPr>
            <w:r>
              <w:rPr>
                <w:rFonts w:hint="eastAsia" w:ascii="仿宋" w:hAnsi="仿宋" w:eastAsia="仿宋" w:cs="仿宋"/>
                <w:sz w:val="24"/>
                <w:szCs w:val="24"/>
              </w:rPr>
              <w:t>比选人须提供</w:t>
            </w:r>
            <w:r>
              <w:rPr>
                <w:rFonts w:hint="eastAsia" w:ascii="仿宋" w:hAnsi="仿宋" w:eastAsia="仿宋" w:cs="仿宋"/>
                <w:kern w:val="0"/>
                <w:sz w:val="24"/>
                <w:szCs w:val="24"/>
              </w:rPr>
              <w:t>近三年</w:t>
            </w:r>
            <w:r>
              <w:rPr>
                <w:rFonts w:hint="eastAsia" w:ascii="仿宋" w:hAnsi="仿宋" w:eastAsia="仿宋" w:cs="仿宋"/>
                <w:color w:val="4472C4" w:themeColor="accent5"/>
                <w:kern w:val="0"/>
                <w:sz w:val="24"/>
                <w:szCs w:val="24"/>
                <w14:textFill>
                  <w14:solidFill>
                    <w14:schemeClr w14:val="accent5"/>
                  </w14:solidFill>
                </w14:textFill>
              </w:rPr>
              <w:t>（2018年1月1日至今）(以设计合同签订时间为准)，投标人承担过单项合同金额（设计费）不低于20万元的公共建筑设计业绩一个及以上。</w:t>
            </w:r>
            <w:r>
              <w:rPr>
                <w:rFonts w:hint="eastAsia" w:ascii="仿宋" w:hAnsi="仿宋" w:eastAsia="仿宋" w:cs="仿宋"/>
                <w:color w:val="000000"/>
                <w:kern w:val="0"/>
                <w:sz w:val="24"/>
                <w:szCs w:val="24"/>
              </w:rPr>
              <w:t>（提供原签订的设计合同复印件）</w:t>
            </w:r>
            <w:r>
              <w:rPr>
                <w:rFonts w:hint="eastAsia" w:ascii="仿宋" w:hAnsi="仿宋" w:eastAsia="仿宋" w:cs="仿宋"/>
                <w:kern w:val="0"/>
                <w:sz w:val="24"/>
                <w:szCs w:val="24"/>
              </w:rPr>
              <w:t>。</w:t>
            </w:r>
          </w:p>
          <w:p>
            <w:pPr>
              <w:autoSpaceDE w:val="0"/>
              <w:autoSpaceDN w:val="0"/>
              <w:adjustRightInd w:val="0"/>
              <w:snapToGrid w:val="0"/>
              <w:spacing w:line="500" w:lineRule="exact"/>
              <w:ind w:firstLine="480" w:firstLineChars="200"/>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kern w:val="0"/>
                <w:sz w:val="24"/>
                <w:szCs w:val="24"/>
                <w14:textFill>
                  <w14:solidFill>
                    <w14:schemeClr w14:val="accent5"/>
                  </w14:solidFill>
                </w14:textFill>
              </w:rPr>
              <w:t>3.本项目设计负责人</w:t>
            </w:r>
            <w:r>
              <w:rPr>
                <w:rFonts w:hint="eastAsia" w:ascii="仿宋" w:hAnsi="仿宋" w:eastAsia="仿宋" w:cs="仿宋"/>
                <w:color w:val="4472C4" w:themeColor="accent5"/>
                <w:sz w:val="24"/>
                <w:szCs w:val="24"/>
                <w14:textFill>
                  <w14:solidFill>
                    <w14:schemeClr w14:val="accent5"/>
                  </w14:solidFill>
                </w14:textFill>
              </w:rPr>
              <w:t>资格要求：具有国家一级注册建筑师资格，建筑工程专业高级工程师职称。</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bCs/>
                <w:color w:val="4472C4" w:themeColor="accent5"/>
                <w:sz w:val="24"/>
                <w:szCs w:val="24"/>
                <w14:textFill>
                  <w14:solidFill>
                    <w14:schemeClr w14:val="accent5"/>
                  </w14:solidFill>
                </w14:textFill>
              </w:rPr>
              <w:t>注：提</w:t>
            </w:r>
            <w:r>
              <w:rPr>
                <w:rFonts w:hint="eastAsia" w:ascii="仿宋" w:hAnsi="仿宋" w:eastAsia="仿宋" w:cs="仿宋"/>
                <w:bCs/>
                <w:snapToGrid w:val="0"/>
                <w:color w:val="4472C4" w:themeColor="accent5"/>
                <w:kern w:val="0"/>
                <w:sz w:val="24"/>
                <w:szCs w:val="24"/>
                <w14:textFill>
                  <w14:solidFill>
                    <w14:schemeClr w14:val="accent5"/>
                  </w14:solidFill>
                </w14:textFill>
              </w:rPr>
              <w:t>供</w:t>
            </w:r>
            <w:r>
              <w:rPr>
                <w:rFonts w:hint="eastAsia" w:ascii="仿宋" w:hAnsi="仿宋" w:eastAsia="仿宋" w:cs="仿宋"/>
                <w:color w:val="4472C4" w:themeColor="accent5"/>
                <w:sz w:val="24"/>
                <w:szCs w:val="24"/>
                <w14:textFill>
                  <w14:solidFill>
                    <w14:schemeClr w14:val="accent5"/>
                  </w14:solidFill>
                </w14:textFill>
              </w:rPr>
              <w:t>建筑师注册证书、职称证（职称证不能证明工程类专业的，可以补充提交建筑工程专业的学历毕业证书）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5" w:hRule="exact"/>
          <w:jc w:val="center"/>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递交时间：2021年</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7 </w:t>
            </w:r>
            <w:r>
              <w:rPr>
                <w:rFonts w:hint="eastAsia" w:ascii="仿宋" w:hAnsi="仿宋" w:eastAsia="仿宋" w:cs="仿宋"/>
                <w:color w:val="4472C4" w:themeColor="accent5"/>
                <w:sz w:val="24"/>
                <w:szCs w:val="24"/>
                <w14:textFill>
                  <w14:solidFill>
                    <w14:schemeClr w14:val="accent5"/>
                  </w14:solidFill>
                </w14:textFill>
              </w:rPr>
              <w:t>月</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30 </w:t>
            </w:r>
            <w:r>
              <w:rPr>
                <w:rFonts w:hint="eastAsia" w:ascii="仿宋" w:hAnsi="仿宋" w:eastAsia="仿宋" w:cs="仿宋"/>
                <w:color w:val="4472C4" w:themeColor="accent5"/>
                <w:sz w:val="24"/>
                <w:szCs w:val="24"/>
                <w14:textFill>
                  <w14:solidFill>
                    <w14:schemeClr w14:val="accent5"/>
                  </w14:solidFill>
                </w14:textFill>
              </w:rPr>
              <w:t>日</w:t>
            </w:r>
            <w:r>
              <w:rPr>
                <w:rFonts w:hint="eastAsia" w:ascii="仿宋" w:hAnsi="仿宋" w:eastAsia="仿宋" w:cs="仿宋"/>
                <w:color w:val="4472C4" w:themeColor="accent5"/>
                <w:sz w:val="24"/>
                <w:szCs w:val="24"/>
                <w:lang w:val="en-US" w:eastAsia="zh-CN"/>
                <w14:textFill>
                  <w14:solidFill>
                    <w14:schemeClr w14:val="accent5"/>
                  </w14:solidFill>
                </w14:textFill>
              </w:rPr>
              <w:t xml:space="preserve">9 </w:t>
            </w:r>
            <w:r>
              <w:rPr>
                <w:rFonts w:hint="eastAsia" w:ascii="仿宋" w:hAnsi="仿宋" w:eastAsia="仿宋" w:cs="仿宋"/>
                <w:color w:val="4472C4" w:themeColor="accent5"/>
                <w:sz w:val="24"/>
                <w:szCs w:val="24"/>
                <w14:textFill>
                  <w14:solidFill>
                    <w14:schemeClr w14:val="accent5"/>
                  </w14:solidFill>
                </w14:textFill>
              </w:rPr>
              <w:t>时</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30 </w:t>
            </w:r>
            <w:r>
              <w:rPr>
                <w:rFonts w:hint="eastAsia" w:ascii="仿宋" w:hAnsi="仿宋" w:eastAsia="仿宋" w:cs="仿宋"/>
                <w:color w:val="4472C4" w:themeColor="accent5"/>
                <w:sz w:val="24"/>
                <w:szCs w:val="24"/>
                <w14:textFill>
                  <w14:solidFill>
                    <w14:schemeClr w14:val="accent5"/>
                  </w14:solidFill>
                </w14:textFill>
              </w:rPr>
              <w:t xml:space="preserve">分截止。 </w:t>
            </w:r>
          </w:p>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递交地点：重庆市北部新区泰山大道东段梧桐路6号（交通开投大厦室）110</w:t>
            </w:r>
            <w:r>
              <w:rPr>
                <w:rFonts w:hint="eastAsia" w:ascii="仿宋" w:hAnsi="仿宋" w:eastAsia="仿宋" w:cs="仿宋"/>
                <w:color w:val="4472C4" w:themeColor="accent5"/>
                <w:sz w:val="24"/>
                <w:szCs w:val="24"/>
                <w:lang w:val="en-US" w:eastAsia="zh-CN"/>
                <w14:textFill>
                  <w14:solidFill>
                    <w14:schemeClr w14:val="accent5"/>
                  </w14:solidFill>
                </w14:textFill>
              </w:rPr>
              <w:t>3</w:t>
            </w:r>
            <w:r>
              <w:rPr>
                <w:rFonts w:hint="eastAsia" w:ascii="仿宋" w:hAnsi="仿宋" w:eastAsia="仿宋" w:cs="仿宋"/>
                <w:color w:val="4472C4" w:themeColor="accent5"/>
                <w:sz w:val="24"/>
                <w:szCs w:val="24"/>
                <w14:textFill>
                  <w14:solidFill>
                    <w14:schemeClr w14:val="accent5"/>
                  </w14:solidFill>
                </w14:textFill>
              </w:rPr>
              <w:t>办公室。</w:t>
            </w:r>
          </w:p>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比选时间：</w:t>
            </w:r>
            <w:bookmarkStart w:id="2" w:name="_GoBack"/>
            <w:bookmarkEnd w:id="2"/>
            <w:r>
              <w:rPr>
                <w:rFonts w:hint="eastAsia" w:ascii="仿宋" w:hAnsi="仿宋" w:eastAsia="仿宋" w:cs="仿宋"/>
                <w:color w:val="4472C4" w:themeColor="accent5"/>
                <w:sz w:val="24"/>
                <w:szCs w:val="24"/>
                <w14:textFill>
                  <w14:solidFill>
                    <w14:schemeClr w14:val="accent5"/>
                  </w14:solidFill>
                </w14:textFill>
              </w:rPr>
              <w:t>于</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2021</w:t>
            </w:r>
            <w:r>
              <w:rPr>
                <w:rFonts w:hint="eastAsia" w:ascii="仿宋" w:hAnsi="仿宋" w:eastAsia="仿宋" w:cs="仿宋"/>
                <w:color w:val="4472C4" w:themeColor="accent5"/>
                <w:sz w:val="24"/>
                <w:szCs w:val="24"/>
                <w14:textFill>
                  <w14:solidFill>
                    <w14:schemeClr w14:val="accent5"/>
                  </w14:solidFill>
                </w14:textFill>
              </w:rPr>
              <w:t>年</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7 </w:t>
            </w:r>
            <w:r>
              <w:rPr>
                <w:rFonts w:hint="eastAsia" w:ascii="仿宋" w:hAnsi="仿宋" w:eastAsia="仿宋" w:cs="仿宋"/>
                <w:color w:val="4472C4" w:themeColor="accent5"/>
                <w:sz w:val="24"/>
                <w:szCs w:val="24"/>
                <w14:textFill>
                  <w14:solidFill>
                    <w14:schemeClr w14:val="accent5"/>
                  </w14:solidFill>
                </w14:textFill>
              </w:rPr>
              <w:t>月</w:t>
            </w:r>
            <w:r>
              <w:rPr>
                <w:rFonts w:hint="eastAsia" w:ascii="仿宋" w:hAnsi="仿宋" w:eastAsia="仿宋" w:cs="仿宋"/>
                <w:color w:val="4472C4" w:themeColor="accent5"/>
                <w:sz w:val="24"/>
                <w:szCs w:val="24"/>
                <w:lang w:val="en-US" w:eastAsia="zh-CN"/>
                <w14:textFill>
                  <w14:solidFill>
                    <w14:schemeClr w14:val="accent5"/>
                  </w14:solidFill>
                </w14:textFill>
              </w:rPr>
              <w:t xml:space="preserve">30 </w:t>
            </w:r>
            <w:r>
              <w:rPr>
                <w:rFonts w:hint="eastAsia" w:ascii="仿宋" w:hAnsi="仿宋" w:eastAsia="仿宋" w:cs="仿宋"/>
                <w:color w:val="4472C4" w:themeColor="accent5"/>
                <w:sz w:val="24"/>
                <w:szCs w:val="24"/>
                <w14:textFill>
                  <w14:solidFill>
                    <w14:schemeClr w14:val="accent5"/>
                  </w14:solidFill>
                </w14:textFill>
              </w:rPr>
              <w:t>日</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9 </w:t>
            </w:r>
            <w:r>
              <w:rPr>
                <w:rFonts w:hint="eastAsia" w:ascii="仿宋" w:hAnsi="仿宋" w:eastAsia="仿宋" w:cs="仿宋"/>
                <w:color w:val="4472C4" w:themeColor="accent5"/>
                <w:sz w:val="24"/>
                <w:szCs w:val="24"/>
                <w14:textFill>
                  <w14:solidFill>
                    <w14:schemeClr w14:val="accent5"/>
                  </w14:solidFill>
                </w14:textFill>
              </w:rPr>
              <w:t>时</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40 </w:t>
            </w:r>
            <w:r>
              <w:rPr>
                <w:rFonts w:hint="eastAsia" w:ascii="仿宋" w:hAnsi="仿宋" w:eastAsia="仿宋" w:cs="仿宋"/>
                <w:color w:val="4472C4" w:themeColor="accent5"/>
                <w:sz w:val="24"/>
                <w:szCs w:val="24"/>
                <w14:textFill>
                  <w14:solidFill>
                    <w14:schemeClr w14:val="accent5"/>
                  </w14:solidFill>
                </w14:textFill>
              </w:rPr>
              <w:t>分</w:t>
            </w:r>
          </w:p>
          <w:p>
            <w:pPr>
              <w:spacing w:line="440" w:lineRule="exact"/>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 xml:space="preserve">    比选文件份数：纸质文件1份，扫描文件1份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1" w:hRule="exact"/>
          <w:jc w:val="center"/>
        </w:trPr>
        <w:tc>
          <w:tcPr>
            <w:tcW w:w="1543" w:type="dxa"/>
            <w:vMerge w:val="restart"/>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pPr>
              <w:rPr>
                <w:rFonts w:hint="eastAsia" w:ascii="仿宋" w:hAnsi="仿宋" w:eastAsia="仿宋" w:cs="仿宋"/>
                <w:color w:val="4472C4" w:themeColor="accent5"/>
                <w:sz w:val="24"/>
                <w:szCs w:val="24"/>
                <w:lang w:eastAsia="zh-CN"/>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锦鑫苑、冉家坝等10个公交站场及华新街一体化换乘枢纽项目，共划分8个标段</w:t>
            </w:r>
            <w:r>
              <w:rPr>
                <w:rFonts w:hint="eastAsia" w:ascii="仿宋" w:hAnsi="仿宋" w:eastAsia="仿宋" w:cs="仿宋"/>
                <w:color w:val="4472C4" w:themeColor="accent5"/>
                <w:sz w:val="24"/>
                <w:szCs w:val="24"/>
                <w:lang w:eastAsia="zh-CN"/>
                <w14:textFill>
                  <w14:solidFill>
                    <w14:schemeClr w14:val="accent5"/>
                  </w14:solidFill>
                </w14:textFill>
              </w:rPr>
              <w:t>。</w:t>
            </w:r>
          </w:p>
          <w:p>
            <w:pPr>
              <w:rPr>
                <w:rFonts w:hint="eastAsia" w:ascii="仿宋" w:hAnsi="仿宋" w:eastAsia="仿宋" w:cs="仿宋"/>
                <w:b/>
                <w:bCs/>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设计费用建议参考重庆市勘察设计协会2020年4月发布的渝设协字【2020】3号《重庆市建筑市政工程勘察、设计收费指导意见》工程设计收费要求以工程造价（建安费）进行插值取费，所有系数取1，方案阶段比例取20%，初设比例取25%，施工图比例取45%，施工配合阶段取10%。</w:t>
            </w:r>
            <w:r>
              <w:rPr>
                <w:rFonts w:hint="eastAsia" w:ascii="仿宋" w:hAnsi="仿宋" w:eastAsia="仿宋" w:cs="仿宋"/>
                <w:b/>
                <w:bCs/>
                <w:color w:val="4472C4" w:themeColor="accent5"/>
                <w:sz w:val="24"/>
                <w:szCs w:val="24"/>
                <w14:textFill>
                  <w14:solidFill>
                    <w14:schemeClr w14:val="accent5"/>
                  </w14:solidFill>
                </w14:textFill>
              </w:rPr>
              <w:t>比选限价：设计费按照以上取费标准下浮20%进行估算。</w:t>
            </w:r>
          </w:p>
          <w:p>
            <w:pPr>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各标段</w:t>
            </w:r>
            <w:r>
              <w:rPr>
                <w:rFonts w:hint="eastAsia" w:ascii="仿宋" w:hAnsi="仿宋" w:eastAsia="仿宋" w:cs="仿宋"/>
                <w:color w:val="4472C4" w:themeColor="accent5"/>
                <w:sz w:val="24"/>
                <w:szCs w:val="24"/>
                <w:lang w:eastAsia="zh-CN"/>
                <w14:textFill>
                  <w14:solidFill>
                    <w14:schemeClr w14:val="accent5"/>
                  </w14:solidFill>
                </w14:textFill>
              </w:rPr>
              <w:t>预估金额</w:t>
            </w:r>
            <w:r>
              <w:rPr>
                <w:rFonts w:hint="eastAsia" w:ascii="仿宋" w:hAnsi="仿宋" w:eastAsia="仿宋" w:cs="仿宋"/>
                <w:color w:val="4472C4" w:themeColor="accent5"/>
                <w:sz w:val="24"/>
                <w:szCs w:val="24"/>
                <w14:textFill>
                  <w14:solidFill>
                    <w14:schemeClr w14:val="accent5"/>
                  </w14:solidFill>
                </w14:textFill>
              </w:rPr>
              <w:t>如下表所示：</w:t>
            </w:r>
          </w:p>
          <w:tbl>
            <w:tblPr>
              <w:tblStyle w:val="14"/>
              <w:tblW w:w="74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2"/>
              <w:gridCol w:w="2151"/>
              <w:gridCol w:w="4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标段</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各标段设计费</w:t>
                  </w:r>
                </w:p>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lang w:eastAsia="zh-CN"/>
                      <w14:textFill>
                        <w14:solidFill>
                          <w14:schemeClr w14:val="accent5"/>
                        </w14:solidFill>
                      </w14:textFill>
                    </w:rPr>
                    <w:t>预估金额</w:t>
                  </w:r>
                </w:p>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（万元）</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68.64</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锦鑫苑公交站场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冉家坝公交站场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w:t>
                  </w:r>
                </w:p>
              </w:tc>
              <w:tc>
                <w:tcPr>
                  <w:tcW w:w="2151" w:type="dxa"/>
                  <w:tcBorders>
                    <w:top w:val="single" w:color="auto" w:sz="4" w:space="0"/>
                    <w:left w:val="single" w:color="auto" w:sz="4" w:space="0"/>
                    <w:bottom w:val="single" w:color="auto" w:sz="4" w:space="0"/>
                    <w:right w:val="single" w:color="auto" w:sz="4" w:space="0"/>
                  </w:tcBorders>
                  <w:shd w:val="clear" w:color="auto"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22.72</w:t>
                  </w:r>
                </w:p>
              </w:tc>
              <w:tc>
                <w:tcPr>
                  <w:tcW w:w="4685" w:type="dxa"/>
                  <w:tcBorders>
                    <w:top w:val="single" w:color="auto" w:sz="4" w:space="0"/>
                    <w:left w:val="single" w:color="auto" w:sz="4" w:space="0"/>
                    <w:bottom w:val="single" w:color="auto" w:sz="4" w:space="0"/>
                    <w:right w:val="single" w:color="auto" w:sz="4" w:space="0"/>
                  </w:tcBorders>
                  <w:shd w:val="clear" w:color="auto"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华新街一体化换乘枢纽项目</w:t>
                  </w:r>
                </w:p>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跑马坪公交站场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4</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11.92</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奥园越时代公交站场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5</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47.28</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学知路口公交站场</w:t>
                  </w:r>
                </w:p>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秉文路公交站场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6</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黄角堡公交站场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7</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38.24</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界石后子冲公交站场（一期）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26" w:hRule="atLeast"/>
                <w:jc w:val="center"/>
              </w:trPr>
              <w:tc>
                <w:tcPr>
                  <w:tcW w:w="602"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8</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19.44</w:t>
                  </w:r>
                </w:p>
              </w:tc>
              <w:tc>
                <w:tcPr>
                  <w:tcW w:w="468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欣和佳苑公交站场</w:t>
                  </w:r>
                </w:p>
              </w:tc>
            </w:tr>
          </w:tbl>
          <w:p>
            <w:pPr>
              <w:spacing w:line="500" w:lineRule="exact"/>
              <w:ind w:firstLine="560"/>
              <w:rPr>
                <w:rFonts w:ascii="仿宋" w:hAnsi="仿宋" w:eastAsia="仿宋" w:cs="仿宋"/>
                <w:sz w:val="24"/>
                <w:szCs w:val="24"/>
              </w:rPr>
            </w:pPr>
            <w:r>
              <w:rPr>
                <w:rFonts w:hint="eastAsia" w:ascii="仿宋" w:hAnsi="仿宋" w:eastAsia="仿宋" w:cs="仿宋"/>
                <w:sz w:val="24"/>
                <w:szCs w:val="24"/>
              </w:rPr>
              <w:t>本次比选为一次性最终报价，不再议价。请比选被邀请人根据自身情况自主报价，报价超过该限价的为否决比选。</w:t>
            </w:r>
            <w:r>
              <w:rPr>
                <w:rFonts w:hint="eastAsia" w:ascii="仿宋" w:hAnsi="仿宋" w:eastAsia="仿宋" w:cs="仿宋"/>
                <w:b/>
                <w:bCs/>
                <w:sz w:val="24"/>
                <w:szCs w:val="24"/>
              </w:rPr>
              <w:t>以上</w:t>
            </w:r>
            <w:r>
              <w:rPr>
                <w:rFonts w:hint="eastAsia" w:ascii="仿宋" w:hAnsi="仿宋" w:eastAsia="仿宋" w:cs="仿宋"/>
                <w:b/>
                <w:bCs/>
                <w:sz w:val="24"/>
                <w:szCs w:val="24"/>
                <w:lang w:eastAsia="zh-CN"/>
              </w:rPr>
              <w:t>预估</w:t>
            </w:r>
            <w:r>
              <w:rPr>
                <w:rFonts w:hint="eastAsia" w:ascii="仿宋" w:hAnsi="仿宋" w:eastAsia="仿宋" w:cs="仿宋"/>
                <w:b/>
                <w:bCs/>
                <w:sz w:val="24"/>
                <w:szCs w:val="24"/>
              </w:rPr>
              <w:t>限价为根据设计收费标准下浮2</w:t>
            </w:r>
            <w:r>
              <w:rPr>
                <w:rFonts w:ascii="仿宋" w:hAnsi="仿宋" w:eastAsia="仿宋" w:cs="仿宋"/>
                <w:b/>
                <w:bCs/>
                <w:sz w:val="24"/>
                <w:szCs w:val="24"/>
              </w:rPr>
              <w:t>0</w:t>
            </w:r>
            <w:r>
              <w:rPr>
                <w:rFonts w:hint="eastAsia" w:ascii="仿宋" w:hAnsi="仿宋" w:eastAsia="仿宋" w:cs="仿宋"/>
                <w:b/>
                <w:bCs/>
                <w:sz w:val="24"/>
                <w:szCs w:val="24"/>
              </w:rPr>
              <w:t>%计算得出，限价为</w:t>
            </w:r>
            <w:r>
              <w:rPr>
                <w:rFonts w:hint="eastAsia" w:ascii="仿宋" w:hAnsi="仿宋" w:eastAsia="仿宋" w:cs="仿宋"/>
                <w:b/>
                <w:bCs/>
                <w:sz w:val="24"/>
                <w:szCs w:val="24"/>
                <w:lang w:eastAsia="zh-CN"/>
              </w:rPr>
              <w:t>按收费比例</w:t>
            </w:r>
            <w:r>
              <w:rPr>
                <w:rFonts w:hint="eastAsia" w:ascii="仿宋" w:hAnsi="仿宋" w:eastAsia="仿宋" w:cs="仿宋"/>
                <w:b/>
                <w:bCs/>
                <w:sz w:val="24"/>
                <w:szCs w:val="24"/>
              </w:rPr>
              <w:t>下浮2</w:t>
            </w:r>
            <w:r>
              <w:rPr>
                <w:rFonts w:ascii="仿宋" w:hAnsi="仿宋" w:eastAsia="仿宋" w:cs="仿宋"/>
                <w:b/>
                <w:bCs/>
                <w:sz w:val="24"/>
                <w:szCs w:val="24"/>
              </w:rPr>
              <w:t>0</w:t>
            </w:r>
            <w:r>
              <w:rPr>
                <w:rFonts w:hint="eastAsia" w:ascii="仿宋" w:hAnsi="仿宋" w:eastAsia="仿宋" w:cs="仿宋"/>
                <w:b/>
                <w:bCs/>
                <w:sz w:val="24"/>
                <w:szCs w:val="24"/>
              </w:rPr>
              <w:t>%，本次报价为下浮比例</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5" w:hRule="exact"/>
          <w:jc w:val="center"/>
        </w:trPr>
        <w:tc>
          <w:tcPr>
            <w:tcW w:w="1543" w:type="dxa"/>
            <w:vMerge w:val="continue"/>
            <w:vAlign w:val="center"/>
          </w:tcPr>
          <w:p>
            <w:pPr>
              <w:spacing w:line="440" w:lineRule="exact"/>
              <w:rPr>
                <w:rFonts w:ascii="仿宋" w:hAnsi="仿宋" w:eastAsia="仿宋" w:cs="仿宋"/>
                <w:sz w:val="24"/>
                <w:szCs w:val="24"/>
              </w:rPr>
            </w:pPr>
          </w:p>
        </w:tc>
        <w:tc>
          <w:tcPr>
            <w:tcW w:w="7699" w:type="dxa"/>
            <w:vAlign w:val="center"/>
          </w:tcPr>
          <w:p>
            <w:pPr>
              <w:spacing w:line="500" w:lineRule="exact"/>
              <w:ind w:firstLine="560"/>
              <w:rPr>
                <w:rFonts w:hint="eastAsia" w:ascii="仿宋" w:hAnsi="仿宋" w:eastAsia="仿宋" w:cs="仿宋"/>
                <w:sz w:val="24"/>
                <w:szCs w:val="24"/>
              </w:rPr>
            </w:pPr>
            <w:r>
              <w:rPr>
                <w:rFonts w:hint="eastAsia" w:ascii="仿宋" w:hAnsi="仿宋" w:eastAsia="仿宋" w:cs="仿宋"/>
                <w:sz w:val="24"/>
                <w:szCs w:val="24"/>
              </w:rPr>
              <w:t>本次</w:t>
            </w:r>
            <w:r>
              <w:rPr>
                <w:rFonts w:hint="eastAsia" w:ascii="仿宋" w:hAnsi="仿宋" w:eastAsia="仿宋" w:cs="仿宋"/>
                <w:sz w:val="24"/>
                <w:szCs w:val="24"/>
                <w:lang w:eastAsia="zh-CN"/>
              </w:rPr>
              <w:t>比选</w:t>
            </w:r>
            <w:r>
              <w:rPr>
                <w:rFonts w:hint="eastAsia" w:ascii="仿宋" w:hAnsi="仿宋" w:eastAsia="仿宋" w:cs="仿宋"/>
                <w:sz w:val="24"/>
                <w:szCs w:val="24"/>
              </w:rPr>
              <w:t>报价为</w:t>
            </w:r>
            <w:r>
              <w:rPr>
                <w:rFonts w:hint="eastAsia" w:ascii="仿宋" w:hAnsi="仿宋" w:eastAsia="仿宋" w:cs="仿宋"/>
                <w:sz w:val="24"/>
                <w:szCs w:val="24"/>
                <w:lang w:eastAsia="zh-CN"/>
              </w:rPr>
              <w:t>综合费率包干</w:t>
            </w:r>
            <w:r>
              <w:rPr>
                <w:rFonts w:hint="eastAsia" w:ascii="仿宋" w:hAnsi="仿宋" w:eastAsia="仿宋" w:cs="仿宋"/>
                <w:sz w:val="24"/>
                <w:szCs w:val="24"/>
              </w:rPr>
              <w:t>，包含但不限于</w:t>
            </w:r>
            <w:r>
              <w:rPr>
                <w:rFonts w:hint="eastAsia" w:ascii="仿宋" w:hAnsi="仿宋" w:eastAsia="仿宋" w:cs="仿宋"/>
                <w:sz w:val="24"/>
                <w:szCs w:val="24"/>
                <w:lang w:eastAsia="zh-CN"/>
              </w:rPr>
              <w:t>设计费、专家评审费、</w:t>
            </w:r>
            <w:r>
              <w:rPr>
                <w:rFonts w:hint="eastAsia" w:ascii="仿宋" w:hAnsi="仿宋" w:eastAsia="仿宋" w:cs="仿宋"/>
                <w:sz w:val="24"/>
                <w:szCs w:val="24"/>
              </w:rPr>
              <w:t>人工费、材料费、企业管理费、利润、风险费用、赶工补偿费、水电费、规费、税金以及本工程备案与验收、其他风险等</w:t>
            </w:r>
            <w:r>
              <w:rPr>
                <w:rFonts w:hint="eastAsia" w:ascii="仿宋" w:hAnsi="仿宋" w:eastAsia="仿宋" w:cs="仿宋"/>
                <w:sz w:val="24"/>
                <w:szCs w:val="24"/>
                <w:lang w:eastAsia="zh-CN"/>
              </w:rPr>
              <w:t>为完成项目设计工作</w:t>
            </w:r>
            <w:r>
              <w:rPr>
                <w:rFonts w:hint="eastAsia" w:ascii="仿宋" w:hAnsi="仿宋" w:eastAsia="仿宋" w:cs="仿宋"/>
                <w:sz w:val="24"/>
                <w:szCs w:val="24"/>
              </w:rPr>
              <w:t>所</w:t>
            </w:r>
            <w:r>
              <w:rPr>
                <w:rFonts w:hint="eastAsia" w:ascii="仿宋" w:hAnsi="仿宋" w:eastAsia="仿宋" w:cs="仿宋"/>
                <w:sz w:val="24"/>
                <w:szCs w:val="24"/>
                <w:lang w:eastAsia="zh-CN"/>
              </w:rPr>
              <w:t>需的所有</w:t>
            </w:r>
            <w:r>
              <w:rPr>
                <w:rFonts w:hint="eastAsia" w:ascii="仿宋" w:hAnsi="仿宋" w:eastAsia="仿宋" w:cs="仿宋"/>
                <w:sz w:val="24"/>
                <w:szCs w:val="24"/>
              </w:rPr>
              <w:t>费用</w:t>
            </w:r>
            <w:r>
              <w:rPr>
                <w:rFonts w:hint="eastAsia" w:ascii="仿宋" w:hAnsi="仿宋" w:eastAsia="仿宋" w:cs="仿宋"/>
                <w:sz w:val="24"/>
                <w:szCs w:val="24"/>
                <w:lang w:eastAsia="zh-CN"/>
              </w:rPr>
              <w:t>。</w:t>
            </w:r>
          </w:p>
          <w:p>
            <w:pPr>
              <w:snapToGrid/>
              <w:spacing w:line="240" w:lineRule="auto"/>
              <w:ind w:firstLine="560" w:firstLineChars="0"/>
              <w:outlineLvl w:val="9"/>
              <w:rPr>
                <w:rFonts w:hint="eastAsia" w:ascii="方正仿宋_GBK" w:hAnsi="仿宋_GB2312" w:eastAsia="方正仿宋_GBK" w:cs="仿宋_GB2312"/>
                <w:color w:val="auto"/>
                <w:sz w:val="28"/>
                <w:szCs w:val="28"/>
              </w:rPr>
            </w:pPr>
          </w:p>
          <w:p>
            <w:pPr>
              <w:adjustRightInd w:val="0"/>
              <w:snapToGrid w:val="0"/>
              <w:spacing w:line="560" w:lineRule="exac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4" w:hRule="exact"/>
          <w:jc w:val="center"/>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费用支付方式（举例）</w:t>
            </w:r>
          </w:p>
        </w:tc>
        <w:tc>
          <w:tcPr>
            <w:tcW w:w="7699" w:type="dxa"/>
            <w:vAlign w:val="center"/>
          </w:tcPr>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1）界石后子冲公交站场（一期）支付方式：</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第一次支付：合同签订后支付暂定合同费用的10%；</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第二次支付：完成方案设计并经发包人同意后支付暂定合同费用的30%；</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第三次支付：完成施工图技术审查报告后支付暂定合同费用的40%；</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第四次支付：竣工验收后支付至按照工程量限价清单计算的设计费的100%并支付补偿条款中明确的补偿设计费</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2）其他项目支付方式：</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第一次支付：合同签订后支付暂定合同费用的10%；</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第二次支付：取得初设批复后支付暂定合同费用的30%；</w:t>
            </w:r>
          </w:p>
          <w:p>
            <w:pPr>
              <w:spacing w:line="440" w:lineRule="exact"/>
              <w:rPr>
                <w:rFonts w:hint="eastAsia"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第三次支付：取得施工图审查合格书后支付暂定合同费用的40%；</w:t>
            </w:r>
          </w:p>
          <w:p>
            <w:pPr>
              <w:spacing w:line="440" w:lineRule="exact"/>
              <w:rPr>
                <w:rFonts w:ascii="仿宋" w:hAnsi="仿宋" w:eastAsia="仿宋" w:cs="仿宋"/>
                <w:sz w:val="24"/>
                <w:szCs w:val="24"/>
              </w:rPr>
            </w:pPr>
            <w:r>
              <w:rPr>
                <w:rFonts w:hint="eastAsia" w:ascii="仿宋" w:hAnsi="仿宋" w:eastAsia="仿宋" w:cs="仿宋"/>
                <w:color w:val="4472C4" w:themeColor="accent5"/>
                <w:sz w:val="24"/>
                <w:szCs w:val="24"/>
                <w14:textFill>
                  <w14:solidFill>
                    <w14:schemeClr w14:val="accent5"/>
                  </w14:solidFill>
                </w14:textFill>
              </w:rPr>
              <w:t>第四次支付：竣工验收后支付至按照概算批复计算的设计费100%并支付补偿条款中明确的补偿设计费；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exact"/>
          <w:jc w:val="center"/>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pPr>
              <w:spacing w:line="440" w:lineRule="exact"/>
              <w:rPr>
                <w:rFonts w:ascii="仿宋" w:hAnsi="仿宋" w:eastAsia="仿宋" w:cs="仿宋"/>
                <w:sz w:val="24"/>
                <w:szCs w:val="24"/>
              </w:rPr>
            </w:pPr>
            <w:r>
              <w:rPr>
                <w:rFonts w:hint="eastAsia" w:ascii="仿宋" w:hAnsi="仿宋" w:eastAsia="仿宋" w:cs="仿宋"/>
                <w:sz w:val="24"/>
                <w:szCs w:val="24"/>
              </w:rPr>
              <w:t>结算时综合包干</w:t>
            </w:r>
            <w:r>
              <w:rPr>
                <w:rFonts w:hint="eastAsia" w:ascii="仿宋" w:hAnsi="仿宋" w:eastAsia="仿宋" w:cs="仿宋"/>
                <w:sz w:val="24"/>
                <w:szCs w:val="24"/>
                <w:lang w:eastAsia="zh-CN"/>
              </w:rPr>
              <w:t>费率</w:t>
            </w:r>
            <w:r>
              <w:rPr>
                <w:rFonts w:hint="eastAsia" w:ascii="仿宋" w:hAnsi="仿宋" w:eastAsia="仿宋" w:cs="仿宋"/>
                <w:sz w:val="24"/>
                <w:szCs w:val="24"/>
              </w:rPr>
              <w:t>不作任何调整。设计费结算根据概算批复工程造价金额</w:t>
            </w:r>
            <w:r>
              <w:rPr>
                <w:rFonts w:hint="eastAsia" w:ascii="仿宋" w:hAnsi="仿宋" w:eastAsia="仿宋" w:cs="仿宋"/>
                <w:sz w:val="24"/>
                <w:szCs w:val="24"/>
                <w:lang w:eastAsia="zh-CN"/>
              </w:rPr>
              <w:t>为基数进行</w:t>
            </w:r>
            <w:r>
              <w:rPr>
                <w:rFonts w:hint="eastAsia" w:ascii="仿宋" w:hAnsi="仿宋" w:eastAsia="仿宋" w:cs="仿宋"/>
                <w:sz w:val="24"/>
                <w:szCs w:val="24"/>
              </w:rPr>
              <w:t>结算，若无法取得概算批复按照清单工程造价费用</w:t>
            </w:r>
            <w:r>
              <w:rPr>
                <w:rFonts w:hint="eastAsia" w:ascii="仿宋" w:hAnsi="仿宋" w:eastAsia="仿宋" w:cs="仿宋"/>
                <w:sz w:val="24"/>
                <w:szCs w:val="24"/>
                <w:lang w:eastAsia="zh-CN"/>
              </w:rPr>
              <w:t>为基数</w:t>
            </w:r>
            <w:r>
              <w:rPr>
                <w:rFonts w:hint="eastAsia" w:ascii="仿宋" w:hAnsi="仿宋" w:eastAsia="仿宋" w:cs="仿宋"/>
                <w:sz w:val="24"/>
                <w:szCs w:val="24"/>
              </w:rPr>
              <w:t>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242"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72" w:hRule="exact"/>
          <w:jc w:val="center"/>
        </w:trPr>
        <w:tc>
          <w:tcPr>
            <w:tcW w:w="9242" w:type="dxa"/>
            <w:gridSpan w:val="2"/>
            <w:vAlign w:val="center"/>
          </w:tcPr>
          <w:p>
            <w:pPr>
              <w:adjustRightInd/>
              <w:snapToGrid/>
              <w:spacing w:line="440" w:lineRule="exact"/>
              <w:ind w:firstLine="0" w:firstLineChars="0"/>
              <w:rPr>
                <w:rFonts w:hint="eastAsia" w:ascii="仿宋" w:hAnsi="仿宋" w:eastAsia="仿宋" w:cs="仿宋"/>
                <w:color w:val="FF0000"/>
                <w:sz w:val="24"/>
                <w:szCs w:val="24"/>
                <w:highlight w:val="none"/>
              </w:rPr>
            </w:pPr>
            <w:r>
              <w:rPr>
                <w:rFonts w:hint="eastAsia" w:ascii="仿宋" w:hAnsi="仿宋" w:eastAsia="仿宋" w:cs="仿宋"/>
                <w:sz w:val="24"/>
                <w:szCs w:val="24"/>
              </w:rPr>
              <w:t>评审方式：</w:t>
            </w:r>
            <w:r>
              <w:rPr>
                <w:rFonts w:hint="eastAsia" w:ascii="仿宋" w:hAnsi="仿宋" w:eastAsia="仿宋" w:cs="仿宋"/>
                <w:color w:val="auto"/>
                <w:sz w:val="24"/>
                <w:szCs w:val="24"/>
                <w:lang w:val="en-US" w:eastAsia="zh-CN"/>
              </w:rPr>
              <w:t>当众开封查验响应性文件，宣读报价书，委托代理人签字确认报价后离场，评选小组对比选文件进行评审。先对报价最低的潜在比选单位提供的比选文件进行评审，在满足比选文件邀请函要求的情况下（参考否决比选条款），则该单位为第一候选单位（在此情况下，不再对其他比选被邀请人进行资格评审）。若不满足比选文件邀请函要求，对排名第二的候选单位进</w:t>
            </w:r>
            <w:r>
              <w:rPr>
                <w:rFonts w:hint="eastAsia" w:ascii="仿宋" w:hAnsi="仿宋" w:eastAsia="仿宋" w:cs="仿宋"/>
                <w:color w:val="auto"/>
                <w:sz w:val="24"/>
                <w:szCs w:val="24"/>
                <w:highlight w:val="none"/>
                <w:lang w:val="en-US" w:eastAsia="zh-CN"/>
              </w:rPr>
              <w:t>行评审，以此类推。对未中选情况不做解释。</w:t>
            </w:r>
            <w:r>
              <w:rPr>
                <w:rFonts w:hint="eastAsia" w:ascii="仿宋" w:hAnsi="仿宋" w:eastAsia="仿宋" w:cs="仿宋"/>
                <w:sz w:val="24"/>
                <w:szCs w:val="24"/>
                <w:highlight w:val="none"/>
              </w:rPr>
              <w:t>比选被邀请人可参与所有标段</w:t>
            </w:r>
            <w:r>
              <w:rPr>
                <w:rFonts w:hint="eastAsia" w:ascii="仿宋" w:hAnsi="仿宋" w:eastAsia="仿宋" w:cs="仿宋"/>
                <w:sz w:val="24"/>
                <w:szCs w:val="24"/>
                <w:highlight w:val="none"/>
                <w:lang w:eastAsia="zh-CN"/>
              </w:rPr>
              <w:t>报价</w:t>
            </w:r>
            <w:r>
              <w:rPr>
                <w:rFonts w:hint="eastAsia" w:ascii="仿宋" w:hAnsi="仿宋" w:eastAsia="仿宋" w:cs="仿宋"/>
                <w:sz w:val="24"/>
                <w:szCs w:val="24"/>
                <w:highlight w:val="none"/>
              </w:rPr>
              <w:t>，比选被邀请人按照下表</w:t>
            </w:r>
            <w:r>
              <w:rPr>
                <w:rFonts w:hint="eastAsia" w:ascii="仿宋" w:hAnsi="仿宋" w:eastAsia="仿宋" w:cs="仿宋"/>
                <w:sz w:val="24"/>
                <w:szCs w:val="24"/>
                <w:highlight w:val="none"/>
                <w:lang w:eastAsia="zh-CN"/>
              </w:rPr>
              <w:t>（金额由大到小）</w:t>
            </w:r>
            <w:r>
              <w:rPr>
                <w:rFonts w:hint="eastAsia" w:ascii="仿宋" w:hAnsi="仿宋" w:eastAsia="仿宋" w:cs="仿宋"/>
                <w:sz w:val="24"/>
                <w:szCs w:val="24"/>
                <w:highlight w:val="none"/>
              </w:rPr>
              <w:t>投标顺序依次报价，报价最低者为潜在中选人，若某一比选被邀请人中选3个标段，不再参与后续标段比选。</w:t>
            </w:r>
            <w:r>
              <w:rPr>
                <w:rFonts w:hint="eastAsia" w:ascii="仿宋" w:hAnsi="仿宋" w:eastAsia="仿宋" w:cs="仿宋"/>
                <w:color w:val="FF0000"/>
                <w:sz w:val="24"/>
                <w:szCs w:val="24"/>
                <w:highlight w:val="none"/>
              </w:rPr>
              <w:t>若排名第一的候选单位在重庆城市综合交通枢纽(集团)有限公司以往承接设计任务中合同履约情况较差，服务配合不好，则发包人有权否决其比选</w:t>
            </w:r>
            <w:r>
              <w:rPr>
                <w:rFonts w:hint="eastAsia" w:ascii="仿宋" w:hAnsi="仿宋" w:eastAsia="仿宋" w:cs="仿宋"/>
                <w:color w:val="FF0000"/>
                <w:sz w:val="24"/>
                <w:szCs w:val="24"/>
                <w:highlight w:val="none"/>
                <w:lang w:eastAsia="zh-CN"/>
              </w:rPr>
              <w:t>。若出现候选单位报价完全一致的情况，评选小组以抽签的形式确定中选人。</w:t>
            </w:r>
          </w:p>
          <w:tbl>
            <w:tblPr>
              <w:tblStyle w:val="14"/>
              <w:tblW w:w="92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212"/>
              <w:gridCol w:w="6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i w:val="0"/>
                      <w:color w:val="4472C4"/>
                      <w:sz w:val="21"/>
                      <w:szCs w:val="21"/>
                      <w:highlight w:val="none"/>
                      <w:u w:val="none"/>
                    </w:rPr>
                  </w:pPr>
                  <w:r>
                    <w:rPr>
                      <w:rFonts w:hint="eastAsia" w:ascii="仿宋" w:hAnsi="仿宋" w:eastAsia="仿宋" w:cs="仿宋"/>
                      <w:b/>
                      <w:i w:val="0"/>
                      <w:color w:val="4472C4"/>
                      <w:kern w:val="0"/>
                      <w:sz w:val="21"/>
                      <w:szCs w:val="21"/>
                      <w:highlight w:val="none"/>
                      <w:u w:val="none"/>
                      <w:lang w:val="en-US" w:eastAsia="zh-CN" w:bidi="ar"/>
                    </w:rPr>
                    <w:t>各标段设计费预估金额(万元）</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i w:val="0"/>
                      <w:color w:val="4472C4"/>
                      <w:sz w:val="21"/>
                      <w:szCs w:val="21"/>
                      <w:highlight w:val="none"/>
                      <w:u w:val="none"/>
                    </w:rPr>
                  </w:pPr>
                  <w:r>
                    <w:rPr>
                      <w:rFonts w:hint="eastAsia" w:ascii="仿宋" w:hAnsi="仿宋" w:eastAsia="仿宋" w:cs="仿宋"/>
                      <w:b/>
                      <w:i w:val="0"/>
                      <w:color w:val="4472C4"/>
                      <w:kern w:val="0"/>
                      <w:sz w:val="21"/>
                      <w:szCs w:val="21"/>
                      <w:highlight w:val="none"/>
                      <w:u w:val="none"/>
                      <w:lang w:val="en-US" w:eastAsia="zh-CN" w:bidi="ar"/>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68.64</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锦鑫苑公交站场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47.28</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学知路口公交站场、秉文路公交站场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38.24</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冉家坝公交站场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38.24</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黄角堡公交站场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38.24</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界石后子冲公交站场（一期）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kern w:val="0"/>
                      <w:sz w:val="21"/>
                      <w:szCs w:val="21"/>
                      <w:highlight w:val="none"/>
                      <w:u w:val="none"/>
                      <w:lang w:val="en-US" w:eastAsia="zh-CN" w:bidi="ar"/>
                    </w:rPr>
                  </w:pPr>
                  <w:r>
                    <w:rPr>
                      <w:rFonts w:hint="eastAsia" w:ascii="仿宋" w:hAnsi="仿宋" w:eastAsia="仿宋" w:cs="仿宋"/>
                      <w:i w:val="0"/>
                      <w:color w:val="4472C4"/>
                      <w:kern w:val="0"/>
                      <w:sz w:val="21"/>
                      <w:szCs w:val="21"/>
                      <w:highlight w:val="none"/>
                      <w:u w:val="none"/>
                      <w:lang w:val="en-US" w:eastAsia="zh-CN" w:bidi="ar"/>
                    </w:rPr>
                    <w:t>22.72</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kern w:val="0"/>
                      <w:sz w:val="21"/>
                      <w:szCs w:val="21"/>
                      <w:highlight w:val="none"/>
                      <w:u w:val="none"/>
                      <w:lang w:val="en-US" w:eastAsia="zh-CN" w:bidi="ar"/>
                    </w:rPr>
                  </w:pPr>
                  <w:r>
                    <w:rPr>
                      <w:rFonts w:hint="eastAsia" w:ascii="仿宋" w:hAnsi="仿宋" w:eastAsia="仿宋" w:cs="仿宋"/>
                      <w:b w:val="0"/>
                      <w:bCs w:val="0"/>
                      <w:i w:val="0"/>
                      <w:color w:val="4472C4"/>
                      <w:kern w:val="0"/>
                      <w:sz w:val="21"/>
                      <w:szCs w:val="21"/>
                      <w:highlight w:val="none"/>
                      <w:u w:val="none"/>
                      <w:lang w:val="en-US" w:eastAsia="zh-CN" w:bidi="ar"/>
                    </w:rPr>
                    <w:t>华新街一体化换乘枢纽项目、</w:t>
                  </w:r>
                  <w:r>
                    <w:rPr>
                      <w:rStyle w:val="26"/>
                      <w:rFonts w:hint="eastAsia" w:ascii="仿宋" w:hAnsi="仿宋" w:eastAsia="仿宋" w:cs="仿宋"/>
                      <w:b w:val="0"/>
                      <w:bCs w:val="0"/>
                      <w:highlight w:val="none"/>
                      <w:lang w:val="en-US" w:eastAsia="zh-CN" w:bidi="ar"/>
                    </w:rPr>
                    <w:t>跑马坪公交站场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sz w:val="21"/>
                      <w:szCs w:val="21"/>
                      <w:highlight w:val="none"/>
                      <w:u w:val="none"/>
                    </w:rPr>
                  </w:pPr>
                  <w:r>
                    <w:rPr>
                      <w:rFonts w:hint="eastAsia" w:ascii="仿宋" w:hAnsi="仿宋" w:eastAsia="仿宋" w:cs="仿宋"/>
                      <w:i w:val="0"/>
                      <w:color w:val="4472C4"/>
                      <w:kern w:val="0"/>
                      <w:sz w:val="21"/>
                      <w:szCs w:val="21"/>
                      <w:highlight w:val="none"/>
                      <w:u w:val="none"/>
                      <w:lang w:val="en-US" w:eastAsia="zh-CN" w:bidi="ar"/>
                    </w:rPr>
                    <w:t>19.44</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sz w:val="21"/>
                      <w:szCs w:val="21"/>
                      <w:highlight w:val="none"/>
                      <w:u w:val="none"/>
                    </w:rPr>
                  </w:pPr>
                  <w:r>
                    <w:rPr>
                      <w:rFonts w:hint="eastAsia" w:ascii="仿宋" w:hAnsi="仿宋" w:eastAsia="仿宋" w:cs="仿宋"/>
                      <w:b w:val="0"/>
                      <w:bCs w:val="0"/>
                      <w:i w:val="0"/>
                      <w:color w:val="4472C4"/>
                      <w:kern w:val="0"/>
                      <w:sz w:val="21"/>
                      <w:szCs w:val="21"/>
                      <w:highlight w:val="none"/>
                      <w:u w:val="none"/>
                      <w:lang w:val="en-US" w:eastAsia="zh-CN" w:bidi="ar"/>
                    </w:rPr>
                    <w:t>欣和佳苑公交站场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2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color w:val="4472C4"/>
                      <w:kern w:val="0"/>
                      <w:sz w:val="21"/>
                      <w:szCs w:val="21"/>
                      <w:highlight w:val="none"/>
                      <w:u w:val="none"/>
                      <w:lang w:val="en-US" w:eastAsia="zh-CN" w:bidi="ar"/>
                    </w:rPr>
                  </w:pPr>
                  <w:r>
                    <w:rPr>
                      <w:rFonts w:hint="eastAsia" w:ascii="仿宋" w:hAnsi="仿宋" w:eastAsia="仿宋" w:cs="仿宋"/>
                      <w:i w:val="0"/>
                      <w:color w:val="4472C4"/>
                      <w:kern w:val="0"/>
                      <w:sz w:val="21"/>
                      <w:szCs w:val="21"/>
                      <w:highlight w:val="none"/>
                      <w:u w:val="none"/>
                      <w:lang w:val="en-US" w:eastAsia="zh-CN" w:bidi="ar"/>
                    </w:rPr>
                    <w:t>11.92</w:t>
                  </w:r>
                </w:p>
              </w:tc>
              <w:tc>
                <w:tcPr>
                  <w:tcW w:w="603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b w:val="0"/>
                      <w:bCs w:val="0"/>
                      <w:i w:val="0"/>
                      <w:color w:val="4472C4"/>
                      <w:kern w:val="0"/>
                      <w:sz w:val="21"/>
                      <w:szCs w:val="21"/>
                      <w:highlight w:val="none"/>
                      <w:u w:val="none"/>
                      <w:lang w:val="en-US" w:eastAsia="zh-CN" w:bidi="ar"/>
                    </w:rPr>
                  </w:pPr>
                  <w:r>
                    <w:rPr>
                      <w:rFonts w:hint="eastAsia" w:ascii="仿宋" w:hAnsi="仿宋" w:eastAsia="仿宋" w:cs="仿宋"/>
                      <w:b w:val="0"/>
                      <w:bCs w:val="0"/>
                      <w:i w:val="0"/>
                      <w:color w:val="4472C4"/>
                      <w:kern w:val="0"/>
                      <w:sz w:val="21"/>
                      <w:szCs w:val="21"/>
                      <w:highlight w:val="none"/>
                      <w:u w:val="none"/>
                      <w:lang w:val="en-US" w:eastAsia="zh-CN" w:bidi="ar"/>
                    </w:rPr>
                    <w:t>奥园越时代公交站场</w:t>
                  </w:r>
                </w:p>
              </w:tc>
            </w:tr>
          </w:tbl>
          <w:p>
            <w:pPr>
              <w:adjustRightInd w:val="0"/>
              <w:snapToGrid w:val="0"/>
              <w:ind w:firstLine="480" w:firstLineChars="200"/>
              <w:rPr>
                <w:rFonts w:hint="eastAsia" w:ascii="仿宋" w:hAnsi="仿宋" w:eastAsia="仿宋" w:cs="仿宋"/>
                <w:sz w:val="24"/>
                <w:szCs w:val="24"/>
              </w:rPr>
            </w:pP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资格评审：对潜在中人递交响应性文件的授权书、投标函、配备人员、提供业绩及密封等情况进行评审。有以下情形之一的，其投标作否决中选处理：</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1、报价未按要求填写或高于最高限价的；</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2、投标函、法定代表人授权书填写错误或未按规定签字盖章的；</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3、未提供企业资质文件或资质文件不符合要求的；</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4、项目负责人证书不符合要求的；</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5、企业业绩不符合要求的；</w:t>
            </w:r>
          </w:p>
          <w:p>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6、未按照要求进行密封的。</w:t>
            </w:r>
          </w:p>
          <w:p>
            <w:pPr>
              <w:adjustRightInd w:val="0"/>
              <w:snapToGrid w:val="0"/>
              <w:spacing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若某一标段潜在中选人被否决比选资格，报价第2低比选被邀请人为潜在中选人并开展资格评审工作，依次类推。各标段报价最低的比选被邀请人推荐为中选候选人。经集团内部审签程序审签确定中选人后，签订合同。</w:t>
            </w:r>
          </w:p>
          <w:p>
            <w:pPr>
              <w:adjustRightInd w:val="0"/>
              <w:snapToGrid w:val="0"/>
              <w:spacing w:line="440" w:lineRule="exact"/>
              <w:ind w:firstLine="480" w:firstLineChars="20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exact"/>
          <w:jc w:val="center"/>
        </w:trPr>
        <w:tc>
          <w:tcPr>
            <w:tcW w:w="9242" w:type="dxa"/>
            <w:gridSpan w:val="2"/>
            <w:vAlign w:val="center"/>
          </w:tcPr>
          <w:p>
            <w:pPr>
              <w:spacing w:line="440" w:lineRule="exact"/>
              <w:rPr>
                <w:rFonts w:ascii="仿宋" w:hAnsi="仿宋" w:eastAsia="仿宋" w:cs="仿宋"/>
                <w:sz w:val="24"/>
                <w:szCs w:val="24"/>
              </w:rPr>
            </w:pPr>
            <w:r>
              <w:rPr>
                <w:rFonts w:hint="eastAsia" w:ascii="仿宋" w:hAnsi="仿宋" w:eastAsia="仿宋" w:cs="仿宋"/>
                <w:sz w:val="24"/>
                <w:szCs w:val="24"/>
              </w:rPr>
              <w:t>四、比选文件组成及要求</w:t>
            </w:r>
          </w:p>
          <w:p>
            <w:pPr>
              <w:spacing w:line="440" w:lineRule="exac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7" w:hRule="exact"/>
          <w:jc w:val="center"/>
        </w:trPr>
        <w:tc>
          <w:tcPr>
            <w:tcW w:w="9242" w:type="dxa"/>
            <w:gridSpan w:val="2"/>
            <w:vAlign w:val="center"/>
          </w:tcPr>
          <w:p>
            <w:pPr>
              <w:spacing w:line="440" w:lineRule="exact"/>
              <w:rPr>
                <w:rFonts w:ascii="仿宋" w:hAnsi="仿宋" w:eastAsia="仿宋" w:cs="仿宋"/>
                <w:color w:val="000000"/>
                <w:sz w:val="24"/>
                <w:szCs w:val="24"/>
              </w:rPr>
            </w:pPr>
            <w:r>
              <w:rPr>
                <w:rFonts w:hint="eastAsia" w:ascii="仿宋" w:hAnsi="仿宋" w:eastAsia="仿宋" w:cs="仿宋"/>
                <w:color w:val="000000"/>
                <w:sz w:val="24"/>
                <w:szCs w:val="24"/>
              </w:rPr>
              <w:t>1、比选文件包括但不限于以下内容：（1）比选函及报价清单；（2）营业执照、企业资质证书复印件；（3）法定代表人或授权代理人身份证明及授权委托书；（4）公司业绩证明材料；（5）</w:t>
            </w:r>
            <w:r>
              <w:rPr>
                <w:rFonts w:hint="eastAsia" w:ascii="仿宋" w:hAnsi="仿宋" w:eastAsia="仿宋" w:cs="仿宋"/>
                <w:kern w:val="0"/>
                <w:sz w:val="24"/>
                <w:szCs w:val="24"/>
              </w:rPr>
              <w:t>项目设计负责人资格</w:t>
            </w:r>
            <w:r>
              <w:rPr>
                <w:rFonts w:hint="eastAsia" w:ascii="仿宋" w:hAnsi="仿宋" w:eastAsia="仿宋" w:cs="仿宋"/>
                <w:color w:val="000000"/>
                <w:sz w:val="24"/>
                <w:szCs w:val="24"/>
              </w:rPr>
              <w:t>、职称证书；</w:t>
            </w:r>
          </w:p>
          <w:p>
            <w:pPr>
              <w:adjustRightInd w:val="0"/>
              <w:snapToGrid w:val="0"/>
              <w:rPr>
                <w:rFonts w:hint="eastAsia" w:ascii="仿宋" w:hAnsi="仿宋" w:eastAsia="仿宋" w:cs="仿宋"/>
                <w:sz w:val="24"/>
                <w:szCs w:val="24"/>
              </w:rPr>
            </w:pPr>
            <w:r>
              <w:rPr>
                <w:rFonts w:hint="eastAsia" w:ascii="仿宋" w:hAnsi="仿宋" w:eastAsia="仿宋" w:cs="仿宋"/>
                <w:sz w:val="24"/>
                <w:szCs w:val="24"/>
              </w:rPr>
              <w:t>2、要求提供的资料均需加盖鲜章，所有资料密封并在密封袋上写明单位名称并加盖公章。</w:t>
            </w:r>
          </w:p>
          <w:p>
            <w:pPr>
              <w:spacing w:line="440" w:lineRule="exact"/>
              <w:rPr>
                <w:rFonts w:ascii="仿宋" w:hAnsi="仿宋" w:eastAsia="仿宋" w:cs="仿宋"/>
                <w:sz w:val="24"/>
                <w:szCs w:val="24"/>
              </w:rPr>
            </w:pPr>
            <w:r>
              <w:rPr>
                <w:rFonts w:hint="eastAsia" w:ascii="仿宋" w:hAnsi="仿宋" w:eastAsia="仿宋" w:cs="仿宋"/>
                <w:sz w:val="24"/>
                <w:szCs w:val="24"/>
              </w:rPr>
              <w:t>3、全套比选资料扫描成一个PDF文件（盖公章，原件扫描）同时递交。</w:t>
            </w:r>
          </w:p>
        </w:tc>
      </w:tr>
    </w:tbl>
    <w:p>
      <w:pPr>
        <w:rPr>
          <w:rFonts w:ascii="仿宋" w:hAnsi="仿宋" w:eastAsia="仿宋" w:cs="仿宋"/>
          <w:bCs/>
          <w:snapToGrid w:val="0"/>
          <w:kern w:val="0"/>
          <w:sz w:val="32"/>
          <w:szCs w:val="32"/>
        </w:rPr>
      </w:pPr>
      <w:r>
        <w:rPr>
          <w:rFonts w:hint="eastAsia" w:ascii="仿宋" w:hAnsi="仿宋" w:eastAsia="仿宋" w:cs="仿宋"/>
          <w:sz w:val="32"/>
          <w:szCs w:val="32"/>
        </w:rPr>
        <w:t xml:space="preserve">附件：比选文件格式 </w:t>
      </w:r>
    </w:p>
    <w:p>
      <w:pPr>
        <w:adjustRightInd w:val="0"/>
        <w:snapToGrid w:val="0"/>
        <w:spacing w:line="560" w:lineRule="exact"/>
        <w:ind w:firstLine="2400" w:firstLineChars="750"/>
        <w:jc w:val="right"/>
        <w:rPr>
          <w:rFonts w:ascii="仿宋" w:hAnsi="仿宋" w:eastAsia="仿宋" w:cs="仿宋"/>
          <w:bCs/>
          <w:snapToGrid w:val="0"/>
          <w:kern w:val="0"/>
          <w:sz w:val="32"/>
          <w:szCs w:val="32"/>
        </w:rPr>
      </w:pPr>
      <w:r>
        <w:rPr>
          <w:rFonts w:hint="eastAsia" w:ascii="仿宋" w:hAnsi="仿宋" w:eastAsia="仿宋" w:cs="仿宋"/>
          <w:bCs/>
          <w:snapToGrid w:val="0"/>
          <w:kern w:val="0"/>
          <w:sz w:val="32"/>
          <w:szCs w:val="32"/>
        </w:rPr>
        <w:t>重庆城市综合交通枢纽（集团）有限公司</w:t>
      </w:r>
    </w:p>
    <w:p>
      <w:pPr>
        <w:adjustRightInd w:val="0"/>
        <w:snapToGrid w:val="0"/>
        <w:spacing w:line="560" w:lineRule="exact"/>
        <w:ind w:firstLine="3680" w:firstLineChars="1150"/>
        <w:jc w:val="right"/>
        <w:rPr>
          <w:rFonts w:ascii="仿宋" w:hAnsi="仿宋" w:eastAsia="仿宋" w:cs="仿宋"/>
          <w:bCs/>
          <w:snapToGrid w:val="0"/>
          <w:kern w:val="0"/>
          <w:sz w:val="32"/>
          <w:szCs w:val="32"/>
          <w:highlight w:val="none"/>
        </w:rPr>
      </w:pPr>
      <w:r>
        <w:rPr>
          <w:rFonts w:hint="eastAsia" w:ascii="仿宋" w:hAnsi="仿宋" w:eastAsia="仿宋" w:cs="仿宋"/>
          <w:bCs/>
          <w:snapToGrid w:val="0"/>
          <w:kern w:val="0"/>
          <w:sz w:val="32"/>
          <w:szCs w:val="32"/>
          <w:highlight w:val="none"/>
        </w:rPr>
        <w:t>2021年</w:t>
      </w:r>
      <w:r>
        <w:rPr>
          <w:rFonts w:hint="eastAsia" w:ascii="仿宋" w:hAnsi="仿宋" w:eastAsia="仿宋" w:cs="仿宋"/>
          <w:bCs/>
          <w:snapToGrid w:val="0"/>
          <w:kern w:val="0"/>
          <w:sz w:val="32"/>
          <w:szCs w:val="32"/>
          <w:highlight w:val="none"/>
          <w:lang w:val="en-US" w:eastAsia="zh-CN"/>
        </w:rPr>
        <w:t xml:space="preserve"> 7 </w:t>
      </w:r>
      <w:r>
        <w:rPr>
          <w:rFonts w:hint="eastAsia" w:ascii="仿宋" w:hAnsi="仿宋" w:eastAsia="仿宋" w:cs="仿宋"/>
          <w:bCs/>
          <w:snapToGrid w:val="0"/>
          <w:kern w:val="0"/>
          <w:sz w:val="32"/>
          <w:szCs w:val="32"/>
          <w:highlight w:val="none"/>
        </w:rPr>
        <w:t>月</w:t>
      </w:r>
      <w:r>
        <w:rPr>
          <w:rFonts w:hint="eastAsia" w:ascii="仿宋" w:hAnsi="仿宋" w:eastAsia="仿宋" w:cs="仿宋"/>
          <w:bCs/>
          <w:snapToGrid w:val="0"/>
          <w:kern w:val="0"/>
          <w:sz w:val="32"/>
          <w:szCs w:val="32"/>
          <w:highlight w:val="none"/>
          <w:lang w:val="en-US" w:eastAsia="zh-CN"/>
        </w:rPr>
        <w:t xml:space="preserve"> 26 </w:t>
      </w:r>
      <w:r>
        <w:rPr>
          <w:rFonts w:hint="eastAsia" w:ascii="仿宋" w:hAnsi="仿宋" w:eastAsia="仿宋" w:cs="仿宋"/>
          <w:bCs/>
          <w:snapToGrid w:val="0"/>
          <w:kern w:val="0"/>
          <w:sz w:val="32"/>
          <w:szCs w:val="32"/>
          <w:highlight w:val="none"/>
        </w:rPr>
        <w:t>日</w:t>
      </w:r>
    </w:p>
    <w:p>
      <w:pPr>
        <w:rPr>
          <w:rFonts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附件：</w:t>
      </w:r>
    </w:p>
    <w:p>
      <w:pPr>
        <w:jc w:val="center"/>
        <w:rPr>
          <w:rFonts w:ascii="仿宋" w:hAnsi="仿宋" w:eastAsia="仿宋" w:cs="仿宋"/>
          <w:sz w:val="28"/>
          <w:szCs w:val="28"/>
        </w:rPr>
      </w:pPr>
      <w:r>
        <w:rPr>
          <w:rFonts w:hint="eastAsia" w:ascii="仿宋" w:hAnsi="仿宋" w:eastAsia="仿宋" w:cs="仿宋"/>
          <w:sz w:val="28"/>
          <w:szCs w:val="28"/>
        </w:rPr>
        <w:t>一、比选报价函</w:t>
      </w:r>
    </w:p>
    <w:p>
      <w:pPr>
        <w:tabs>
          <w:tab w:val="left" w:pos="2640"/>
        </w:tabs>
        <w:autoSpaceDE w:val="0"/>
        <w:autoSpaceDN w:val="0"/>
        <w:adjustRightInd w:val="0"/>
        <w:snapToGrid w:val="0"/>
        <w:spacing w:line="500" w:lineRule="exact"/>
        <w:ind w:left="120"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u w:val="single"/>
        </w:rPr>
        <w:t>重庆城市综合交通枢纽（集团）有限公司</w:t>
      </w:r>
      <w:r>
        <w:rPr>
          <w:rFonts w:hint="eastAsia" w:ascii="仿宋" w:hAnsi="仿宋" w:eastAsia="仿宋" w:cs="仿宋"/>
          <w:snapToGrid w:val="0"/>
          <w:kern w:val="0"/>
          <w:sz w:val="28"/>
          <w:szCs w:val="28"/>
        </w:rPr>
        <w:t>：</w:t>
      </w:r>
    </w:p>
    <w:p>
      <w:pPr>
        <w:adjustRightInd w:val="0"/>
        <w:snapToGrid w:val="0"/>
        <w:spacing w:line="500" w:lineRule="exact"/>
        <w:jc w:val="left"/>
        <w:rPr>
          <w:rFonts w:ascii="仿宋" w:hAnsi="仿宋" w:eastAsia="仿宋" w:cs="仿宋"/>
          <w:sz w:val="28"/>
          <w:szCs w:val="28"/>
        </w:rPr>
      </w:pPr>
      <w:r>
        <w:rPr>
          <w:rFonts w:hint="eastAsia" w:ascii="仿宋" w:hAnsi="仿宋" w:eastAsia="仿宋" w:cs="仿宋"/>
          <w:sz w:val="28"/>
          <w:szCs w:val="28"/>
        </w:rPr>
        <w:t xml:space="preserve">     根据贵单位《</w:t>
      </w:r>
      <w:r>
        <w:rPr>
          <w:rFonts w:hint="eastAsia" w:ascii="仿宋" w:hAnsi="仿宋" w:eastAsia="仿宋" w:cs="仿宋"/>
          <w:color w:val="4472C4" w:themeColor="accent5"/>
          <w:sz w:val="28"/>
          <w:szCs w:val="28"/>
          <w14:textFill>
            <w14:solidFill>
              <w14:schemeClr w14:val="accent5"/>
            </w14:solidFill>
          </w14:textFill>
        </w:rPr>
        <w:t>锦鑫苑、冉家坝等10个公交站场及华新街一体化换乘枢纽项目</w:t>
      </w:r>
      <w:r>
        <w:rPr>
          <w:rFonts w:hint="eastAsia" w:ascii="仿宋" w:hAnsi="仿宋" w:eastAsia="仿宋" w:cs="仿宋"/>
          <w:sz w:val="28"/>
          <w:szCs w:val="28"/>
        </w:rPr>
        <w:t>设计单位比选文件邀请函》的要求，本公司正式授权的下述签字人 （姓名和职务）代表本公司（被邀请比选人名称），提交本比选函。</w:t>
      </w:r>
    </w:p>
    <w:p>
      <w:pPr>
        <w:adjustRightInd w:val="0"/>
        <w:snapToGrid w:val="0"/>
        <w:spacing w:line="5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据此函，签字人兹宣布同意如下：</w:t>
      </w:r>
    </w:p>
    <w:p>
      <w:pPr>
        <w:numPr>
          <w:ilvl w:val="0"/>
          <w:numId w:val="2"/>
        </w:num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愿意接受比选文件邀请函中提出的酬金支付方式与合同条款并按照比选函附录中各标段的下浮比例作为</w:t>
      </w:r>
      <w:r>
        <w:rPr>
          <w:rFonts w:hint="eastAsia" w:ascii="仿宋" w:hAnsi="仿宋" w:eastAsia="仿宋" w:cs="仿宋"/>
          <w:color w:val="4472C4" w:themeColor="accent5"/>
          <w:sz w:val="28"/>
          <w:szCs w:val="28"/>
          <w14:textFill>
            <w14:solidFill>
              <w14:schemeClr w14:val="accent5"/>
            </w14:solidFill>
          </w14:textFill>
        </w:rPr>
        <w:t>锦鑫苑、冉家坝等10个公交站场及华新街一体化换乘枢纽项目的报价（所填报数字必须保留至小数点后1位，小数点后数字不能填写0，例如下浮32.3%）。</w:t>
      </w:r>
      <w:r>
        <w:rPr>
          <w:rFonts w:hint="eastAsia" w:ascii="仿宋" w:hAnsi="仿宋" w:eastAsia="仿宋" w:cs="仿宋"/>
          <w:sz w:val="28"/>
          <w:szCs w:val="28"/>
        </w:rPr>
        <w:t>该费用包干使用，</w:t>
      </w:r>
      <w:r>
        <w:rPr>
          <w:rFonts w:hint="eastAsia" w:ascii="仿宋" w:hAnsi="仿宋" w:eastAsia="仿宋" w:cs="仿宋"/>
          <w:sz w:val="28"/>
          <w:szCs w:val="28"/>
          <w:lang w:eastAsia="zh-CN"/>
        </w:rPr>
        <w:t>包括但不限于</w:t>
      </w:r>
      <w:r>
        <w:rPr>
          <w:rFonts w:hint="eastAsia" w:ascii="仿宋" w:hAnsi="仿宋" w:eastAsia="仿宋" w:cs="仿宋"/>
          <w:sz w:val="28"/>
          <w:szCs w:val="28"/>
        </w:rPr>
        <w:t>设计费、评审费等</w:t>
      </w:r>
      <w:r>
        <w:rPr>
          <w:rFonts w:hint="eastAsia" w:ascii="仿宋" w:hAnsi="仿宋" w:eastAsia="仿宋" w:cs="仿宋"/>
          <w:sz w:val="28"/>
          <w:szCs w:val="28"/>
          <w:lang w:eastAsia="zh-CN"/>
        </w:rPr>
        <w:t>为完成项目设计所需的</w:t>
      </w:r>
      <w:r>
        <w:rPr>
          <w:rFonts w:hint="eastAsia" w:ascii="仿宋" w:hAnsi="仿宋" w:eastAsia="仿宋" w:cs="仿宋"/>
          <w:sz w:val="28"/>
          <w:szCs w:val="28"/>
        </w:rPr>
        <w:t>全部费用。</w:t>
      </w:r>
    </w:p>
    <w:p>
      <w:pPr>
        <w:pStyle w:val="2"/>
        <w:rPr>
          <w:rFonts w:hint="eastAsia" w:ascii="仿宋" w:hAnsi="仿宋" w:eastAsia="仿宋" w:cs="仿宋"/>
        </w:rPr>
      </w:pPr>
      <w:r>
        <w:rPr>
          <w:rFonts w:hint="eastAsia" w:ascii="仿宋" w:hAnsi="仿宋" w:eastAsia="仿宋" w:cs="仿宋"/>
          <w:sz w:val="28"/>
          <w:szCs w:val="28"/>
          <w:lang w:val="en-US" w:eastAsia="zh-CN"/>
        </w:rPr>
        <w:t>2、</w:t>
      </w:r>
      <w:r>
        <w:rPr>
          <w:rFonts w:hint="eastAsia" w:ascii="仿宋" w:hAnsi="仿宋" w:eastAsia="仿宋" w:cs="仿宋"/>
          <w:sz w:val="28"/>
          <w:szCs w:val="28"/>
        </w:rPr>
        <w:t>我司承诺满足贵单位比选邀请函中的“比选被邀请人资格要求”</w:t>
      </w:r>
      <w:r>
        <w:rPr>
          <w:rFonts w:hint="eastAsia" w:ascii="仿宋" w:hAnsi="仿宋" w:eastAsia="仿宋" w:cs="仿宋"/>
          <w:sz w:val="28"/>
          <w:szCs w:val="28"/>
        </w:rPr>
        <w:sym w:font="Wingdings" w:char="00A8"/>
      </w:r>
      <w:r>
        <w:rPr>
          <w:rFonts w:hint="eastAsia" w:ascii="仿宋" w:hAnsi="仿宋" w:eastAsia="仿宋" w:cs="仿宋"/>
          <w:sz w:val="28"/>
          <w:szCs w:val="28"/>
        </w:rPr>
        <w:t>资质要求</w:t>
      </w:r>
      <w:r>
        <w:rPr>
          <w:rFonts w:hint="eastAsia" w:ascii="仿宋" w:hAnsi="仿宋" w:eastAsia="仿宋" w:cs="仿宋"/>
          <w:sz w:val="28"/>
          <w:szCs w:val="28"/>
        </w:rPr>
        <w:sym w:font="Wingdings" w:char="00A8"/>
      </w:r>
      <w:r>
        <w:rPr>
          <w:rFonts w:hint="eastAsia" w:ascii="仿宋" w:hAnsi="仿宋" w:eastAsia="仿宋" w:cs="仿宋"/>
          <w:sz w:val="28"/>
          <w:szCs w:val="28"/>
        </w:rPr>
        <w:t>业绩要求</w:t>
      </w:r>
      <w:r>
        <w:rPr>
          <w:rFonts w:hint="eastAsia" w:ascii="仿宋" w:hAnsi="仿宋" w:eastAsia="仿宋" w:cs="仿宋"/>
          <w:sz w:val="28"/>
          <w:szCs w:val="28"/>
        </w:rPr>
        <w:sym w:font="Wingdings" w:char="00A8"/>
      </w:r>
      <w:r>
        <w:rPr>
          <w:rFonts w:hint="eastAsia" w:ascii="仿宋" w:hAnsi="仿宋" w:eastAsia="仿宋" w:cs="仿宋"/>
          <w:sz w:val="28"/>
          <w:szCs w:val="28"/>
        </w:rPr>
        <w:t>人员要求的指标（勾选）</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、我们已详细阅读了比选文件全部内容，我们知道必须放弃提出含糊不清或误解的问题的权利。</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、我们保证根据规定履行比选文件中的责任和义务，不得要求变更我司所报设计费金额。</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、本比选函自开启之日起至项目全部完成之内有效。</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被邀请比选人全称（公章）：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通信地址：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电话、传真：</w:t>
      </w:r>
    </w:p>
    <w:p>
      <w:pPr>
        <w:tabs>
          <w:tab w:val="left" w:pos="7140"/>
          <w:tab w:val="left" w:pos="7560"/>
          <w:tab w:val="left" w:pos="8300"/>
        </w:tabs>
        <w:autoSpaceDE w:val="0"/>
        <w:autoSpaceDN w:val="0"/>
        <w:adjustRightInd w:val="0"/>
        <w:snapToGrid w:val="0"/>
        <w:spacing w:line="560" w:lineRule="exact"/>
        <w:ind w:right="210"/>
        <w:rPr>
          <w:rFonts w:ascii="仿宋" w:hAnsi="仿宋" w:eastAsia="仿宋" w:cs="仿宋"/>
          <w:sz w:val="28"/>
          <w:szCs w:val="28"/>
        </w:rPr>
      </w:pPr>
      <w:r>
        <w:rPr>
          <w:rFonts w:hint="eastAsia" w:ascii="仿宋" w:hAnsi="仿宋" w:eastAsia="仿宋" w:cs="仿宋"/>
          <w:sz w:val="28"/>
          <w:szCs w:val="28"/>
        </w:rPr>
        <w:t>法定代表人或授权代理人签字：</w:t>
      </w:r>
    </w:p>
    <w:p>
      <w:pPr>
        <w:tabs>
          <w:tab w:val="left" w:pos="7140"/>
          <w:tab w:val="left" w:pos="7560"/>
          <w:tab w:val="left" w:pos="8300"/>
        </w:tabs>
        <w:wordWrap w:val="0"/>
        <w:autoSpaceDE w:val="0"/>
        <w:autoSpaceDN w:val="0"/>
        <w:adjustRightInd w:val="0"/>
        <w:spacing w:line="370" w:lineRule="auto"/>
        <w:ind w:right="210" w:firstLine="4900" w:firstLineChars="1750"/>
        <w:rPr>
          <w:rFonts w:ascii="仿宋" w:hAnsi="仿宋" w:eastAsia="仿宋" w:cs="仿宋"/>
          <w:snapToGrid w:val="0"/>
          <w:kern w:val="0"/>
          <w:sz w:val="28"/>
          <w:szCs w:val="28"/>
        </w:rPr>
      </w:pPr>
      <w:r>
        <w:rPr>
          <w:rFonts w:hint="eastAsia" w:ascii="仿宋" w:hAnsi="仿宋" w:eastAsia="仿宋" w:cs="仿宋"/>
          <w:snapToGrid w:val="0"/>
          <w:kern w:val="0"/>
          <w:sz w:val="28"/>
          <w:szCs w:val="28"/>
        </w:rPr>
        <w:t>日期：2021年   月    日</w:t>
      </w:r>
    </w:p>
    <w:p>
      <w:pPr>
        <w:pStyle w:val="5"/>
        <w:jc w:val="center"/>
        <w:rPr>
          <w:rFonts w:ascii="仿宋" w:hAnsi="仿宋" w:eastAsia="仿宋" w:cs="仿宋"/>
          <w:b w:val="0"/>
          <w:sz w:val="28"/>
          <w:szCs w:val="28"/>
        </w:rPr>
      </w:pPr>
      <w:bookmarkStart w:id="0" w:name="_Toc463688772"/>
      <w:r>
        <w:rPr>
          <w:rFonts w:hint="eastAsia" w:ascii="仿宋" w:hAnsi="仿宋" w:eastAsia="仿宋" w:cs="仿宋"/>
          <w:b w:val="0"/>
          <w:sz w:val="28"/>
          <w:szCs w:val="28"/>
        </w:rPr>
        <w:t>二、比选函附录</w:t>
      </w:r>
    </w:p>
    <w:p>
      <w:pPr>
        <w:jc w:val="center"/>
        <w:rPr>
          <w:rFonts w:ascii="仿宋" w:hAnsi="仿宋" w:eastAsia="仿宋" w:cs="仿宋"/>
          <w:b/>
          <w:sz w:val="28"/>
          <w:szCs w:val="28"/>
        </w:rPr>
      </w:pPr>
      <w:r>
        <w:rPr>
          <w:rFonts w:hint="eastAsia" w:ascii="仿宋" w:hAnsi="仿宋" w:eastAsia="仿宋" w:cs="仿宋"/>
          <w:b/>
          <w:sz w:val="28"/>
          <w:szCs w:val="28"/>
        </w:rPr>
        <w:t>设计费报价清单</w:t>
      </w:r>
    </w:p>
    <w:tbl>
      <w:tblPr>
        <w:tblStyle w:val="1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027"/>
        <w:gridCol w:w="2607"/>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3027" w:type="dxa"/>
            <w:vAlign w:val="center"/>
          </w:tcPr>
          <w:p>
            <w:pPr>
              <w:jc w:val="center"/>
              <w:rPr>
                <w:rFonts w:ascii="仿宋" w:hAnsi="仿宋" w:eastAsia="仿宋" w:cs="仿宋"/>
                <w:sz w:val="24"/>
                <w:szCs w:val="24"/>
              </w:rPr>
            </w:pPr>
            <w:r>
              <w:rPr>
                <w:rFonts w:hint="eastAsia" w:ascii="仿宋" w:hAnsi="仿宋" w:eastAsia="仿宋" w:cs="仿宋"/>
                <w:sz w:val="24"/>
                <w:szCs w:val="24"/>
              </w:rPr>
              <w:t>项目名称</w:t>
            </w:r>
          </w:p>
        </w:tc>
        <w:tc>
          <w:tcPr>
            <w:tcW w:w="2607"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根据设计收费标准</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下浮比例（</w:t>
            </w:r>
            <w:r>
              <w:rPr>
                <w:rFonts w:hint="eastAsia" w:ascii="仿宋" w:hAnsi="仿宋" w:eastAsia="仿宋" w:cs="仿宋"/>
                <w:sz w:val="24"/>
                <w:szCs w:val="24"/>
              </w:rPr>
              <w:t>%</w:t>
            </w:r>
            <w:r>
              <w:rPr>
                <w:rFonts w:hint="eastAsia" w:ascii="仿宋" w:hAnsi="仿宋" w:eastAsia="仿宋" w:cs="仿宋"/>
                <w:sz w:val="24"/>
                <w:szCs w:val="24"/>
                <w:lang w:eastAsia="zh-CN"/>
              </w:rPr>
              <w:t>）</w:t>
            </w:r>
          </w:p>
          <w:p>
            <w:pPr>
              <w:jc w:val="center"/>
              <w:rPr>
                <w:sz w:val="20"/>
                <w:szCs w:val="18"/>
              </w:rPr>
            </w:pPr>
            <w:r>
              <w:rPr>
                <w:rFonts w:hint="eastAsia" w:ascii="仿宋" w:hAnsi="仿宋" w:eastAsia="仿宋" w:cs="仿宋"/>
                <w:sz w:val="24"/>
                <w:szCs w:val="24"/>
                <w:lang w:eastAsia="zh-CN"/>
              </w:rPr>
              <w:t>（至少下浮</w:t>
            </w:r>
            <w:r>
              <w:rPr>
                <w:rFonts w:hint="eastAsia" w:ascii="仿宋" w:hAnsi="仿宋" w:eastAsia="仿宋" w:cs="仿宋"/>
                <w:sz w:val="24"/>
                <w:szCs w:val="24"/>
                <w:lang w:val="en-US" w:eastAsia="zh-CN"/>
              </w:rPr>
              <w:t>20%）</w:t>
            </w:r>
          </w:p>
        </w:tc>
        <w:tc>
          <w:tcPr>
            <w:tcW w:w="2075" w:type="dxa"/>
            <w:vAlign w:val="center"/>
          </w:tcPr>
          <w:p>
            <w:pPr>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锦鑫苑公交站场</w:t>
            </w:r>
          </w:p>
        </w:tc>
        <w:tc>
          <w:tcPr>
            <w:tcW w:w="2607" w:type="dxa"/>
            <w:vAlign w:val="center"/>
          </w:tcPr>
          <w:p>
            <w:pPr>
              <w:jc w:val="center"/>
              <w:rPr>
                <w:rFonts w:ascii="仿宋" w:hAnsi="仿宋" w:eastAsia="仿宋" w:cs="仿宋"/>
                <w:color w:val="4472C4" w:themeColor="accent5"/>
                <w:sz w:val="24"/>
                <w:szCs w:val="24"/>
                <w14:textFill>
                  <w14:solidFill>
                    <w14:schemeClr w14:val="accent5"/>
                  </w14:solidFill>
                </w14:textFill>
              </w:rPr>
            </w:pPr>
          </w:p>
        </w:tc>
        <w:tc>
          <w:tcPr>
            <w:tcW w:w="2075" w:type="dxa"/>
            <w:vMerge w:val="restart"/>
            <w:vAlign w:val="center"/>
          </w:tcPr>
          <w:p>
            <w:pPr>
              <w:adjustRightInd w:val="0"/>
              <w:snapToGrid w:val="0"/>
              <w:spacing w:line="320" w:lineRule="exact"/>
              <w:rPr>
                <w:rFonts w:ascii="仿宋" w:hAnsi="仿宋" w:eastAsia="仿宋" w:cs="仿宋"/>
                <w:color w:val="4472C4" w:themeColor="accent5"/>
                <w:sz w:val="24"/>
                <w:szCs w:val="24"/>
                <w14:textFill>
                  <w14:solidFill>
                    <w14:schemeClr w14:val="accent5"/>
                  </w14:solidFill>
                </w14:textFill>
              </w:rPr>
            </w:pPr>
          </w:p>
          <w:p>
            <w:pPr>
              <w:adjustRightInd w:val="0"/>
              <w:snapToGrid w:val="0"/>
              <w:spacing w:line="320" w:lineRule="exac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该报价为</w:t>
            </w:r>
            <w:r>
              <w:rPr>
                <w:rFonts w:hint="eastAsia" w:ascii="仿宋" w:hAnsi="仿宋" w:eastAsia="仿宋" w:cs="仿宋"/>
                <w:color w:val="4472C4" w:themeColor="accent5"/>
                <w:sz w:val="24"/>
                <w:szCs w:val="24"/>
                <w:lang w:eastAsia="zh-CN"/>
                <w14:textFill>
                  <w14:solidFill>
                    <w14:schemeClr w14:val="accent5"/>
                  </w14:solidFill>
                </w14:textFill>
              </w:rPr>
              <w:t>综合费率包干</w:t>
            </w:r>
            <w:r>
              <w:rPr>
                <w:rFonts w:hint="eastAsia" w:ascii="仿宋" w:hAnsi="仿宋" w:eastAsia="仿宋" w:cs="仿宋"/>
                <w:color w:val="4472C4" w:themeColor="accent5"/>
                <w:sz w:val="24"/>
                <w:szCs w:val="24"/>
                <w14:textFill>
                  <w14:solidFill>
                    <w14:schemeClr w14:val="accent5"/>
                  </w14:solidFill>
                </w14:textFill>
              </w:rPr>
              <w:t>,</w:t>
            </w:r>
            <w:r>
              <w:rPr>
                <w:rFonts w:hint="eastAsia" w:ascii="仿宋" w:hAnsi="仿宋" w:eastAsia="仿宋" w:cs="仿宋"/>
                <w:color w:val="4472C4" w:themeColor="accent5"/>
                <w:sz w:val="24"/>
                <w:szCs w:val="24"/>
                <w:lang w:eastAsia="zh-CN"/>
                <w14:textFill>
                  <w14:solidFill>
                    <w14:schemeClr w14:val="accent5"/>
                  </w14:solidFill>
                </w14:textFill>
              </w:rPr>
              <w:t>包括但不限于</w:t>
            </w:r>
            <w:r>
              <w:rPr>
                <w:rFonts w:hint="eastAsia" w:ascii="仿宋" w:hAnsi="仿宋" w:eastAsia="仿宋" w:cs="仿宋"/>
                <w:color w:val="4472C4" w:themeColor="accent5"/>
                <w:sz w:val="24"/>
                <w:szCs w:val="24"/>
                <w14:textFill>
                  <w14:solidFill>
                    <w14:schemeClr w14:val="accent5"/>
                  </w14:solidFill>
                </w14:textFill>
              </w:rPr>
              <w:t>设计费、评审费等</w:t>
            </w:r>
            <w:r>
              <w:rPr>
                <w:rFonts w:hint="eastAsia" w:ascii="仿宋" w:hAnsi="仿宋" w:eastAsia="仿宋" w:cs="仿宋"/>
                <w:color w:val="4472C4" w:themeColor="accent5"/>
                <w:sz w:val="24"/>
                <w:szCs w:val="24"/>
                <w:lang w:eastAsia="zh-CN"/>
                <w14:textFill>
                  <w14:solidFill>
                    <w14:schemeClr w14:val="accent5"/>
                  </w14:solidFill>
                </w14:textFill>
              </w:rPr>
              <w:t>为完成项目设计所需的</w:t>
            </w:r>
            <w:r>
              <w:rPr>
                <w:rFonts w:hint="eastAsia" w:ascii="仿宋" w:hAnsi="仿宋" w:eastAsia="仿宋" w:cs="仿宋"/>
                <w:color w:val="4472C4" w:themeColor="accent5"/>
                <w:sz w:val="24"/>
                <w:szCs w:val="24"/>
                <w14:textFill>
                  <w14:solidFill>
                    <w14:schemeClr w14:val="accent5"/>
                  </w14:solidFill>
                </w14:textFill>
              </w:rPr>
              <w:t>全部费用。委托内容包含：</w:t>
            </w:r>
          </w:p>
          <w:p>
            <w:pPr>
              <w:adjustRightInd w:val="0"/>
              <w:snapToGrid w:val="0"/>
              <w:spacing w:line="320" w:lineRule="exac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一）初步设计、施工图设计（其中界石后子冲公交站场（一期）项目包含方案设计内容）。设计成果按照建筑主管部门要求及深度提供。其中初设和施设包含绿建（二星）、BIM技术应用（审查深度）、海绵城市、节能、基坑边坡、装配式、室内装饰（初装修）、景观园林、室外工程、智能化（监控、智能道闸、安防、综合网络布线）及交通工程设计。</w:t>
            </w:r>
          </w:p>
          <w:p>
            <w:pPr>
              <w:adjustRightInd w:val="0"/>
              <w:snapToGrid w:val="0"/>
              <w:spacing w:line="320" w:lineRule="exac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（二）配合建设单位进行报建审批等工作。</w:t>
            </w:r>
          </w:p>
          <w:p>
            <w:pPr>
              <w:adjustRightInd w:val="0"/>
              <w:snapToGrid w:val="0"/>
              <w:spacing w:line="320" w:lineRule="exac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（三）协助建设单位进行公交站场标准化建设。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冉家坝公交站场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adjustRightInd w:val="0"/>
              <w:snapToGrid w:val="0"/>
              <w:spacing w:line="320" w:lineRule="exact"/>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华新街一体化换乘枢纽项目、跑马坪公交站场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adjustRightInd w:val="0"/>
              <w:snapToGrid w:val="0"/>
              <w:spacing w:line="320" w:lineRule="exact"/>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4</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奥园越时代公交站场</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adjustRightInd w:val="0"/>
              <w:snapToGrid w:val="0"/>
              <w:spacing w:line="320" w:lineRule="exact"/>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5</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学知路口公交站场秉文路公交站场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jc w:val="center"/>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黄角堡公交站场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jc w:val="center"/>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界石后子冲公交站场（一期）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jc w:val="center"/>
              <w:rPr>
                <w:rFonts w:ascii="仿宋" w:hAnsi="仿宋" w:eastAsia="仿宋" w:cs="仿宋"/>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0" w:hRule="atLeast"/>
        </w:trPr>
        <w:tc>
          <w:tcPr>
            <w:tcW w:w="811" w:type="dxa"/>
            <w:vAlign w:val="center"/>
          </w:tcPr>
          <w:p>
            <w:pPr>
              <w:jc w:val="center"/>
              <w:rPr>
                <w:rFonts w:ascii="仿宋" w:hAnsi="仿宋" w:eastAsia="仿宋" w:cs="仿宋"/>
                <w:sz w:val="24"/>
                <w:szCs w:val="24"/>
              </w:rPr>
            </w:pPr>
            <w:r>
              <w:rPr>
                <w:rFonts w:hint="eastAsia" w:ascii="仿宋" w:hAnsi="仿宋" w:eastAsia="仿宋" w:cs="仿宋"/>
                <w:sz w:val="24"/>
                <w:szCs w:val="24"/>
              </w:rPr>
              <w:t>8</w:t>
            </w:r>
          </w:p>
        </w:tc>
        <w:tc>
          <w:tcPr>
            <w:tcW w:w="3027" w:type="dxa"/>
            <w:vAlign w:val="center"/>
          </w:tcPr>
          <w:p>
            <w:pPr>
              <w:jc w:val="left"/>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 xml:space="preserve">欣和佳苑公交站场 </w:t>
            </w:r>
          </w:p>
        </w:tc>
        <w:tc>
          <w:tcPr>
            <w:tcW w:w="2607" w:type="dxa"/>
            <w:vAlign w:val="center"/>
          </w:tcPr>
          <w:p>
            <w:pPr>
              <w:jc w:val="center"/>
              <w:rPr>
                <w:rFonts w:ascii="仿宋" w:hAnsi="仿宋" w:eastAsia="仿宋" w:cs="仿宋"/>
                <w:color w:val="4472C4" w:themeColor="accent5"/>
                <w:sz w:val="28"/>
                <w:szCs w:val="28"/>
                <w14:textFill>
                  <w14:solidFill>
                    <w14:schemeClr w14:val="accent5"/>
                  </w14:solidFill>
                </w14:textFill>
              </w:rPr>
            </w:pPr>
          </w:p>
        </w:tc>
        <w:tc>
          <w:tcPr>
            <w:tcW w:w="2075" w:type="dxa"/>
            <w:vMerge w:val="continue"/>
            <w:vAlign w:val="center"/>
          </w:tcPr>
          <w:p>
            <w:pPr>
              <w:jc w:val="center"/>
              <w:rPr>
                <w:rFonts w:ascii="仿宋" w:hAnsi="仿宋" w:eastAsia="仿宋" w:cs="仿宋"/>
                <w:color w:val="4472C4" w:themeColor="accent5"/>
                <w:sz w:val="28"/>
                <w:szCs w:val="28"/>
                <w14:textFill>
                  <w14:solidFill>
                    <w14:schemeClr w14:val="accent5"/>
                  </w14:solidFill>
                </w14:textFill>
              </w:rPr>
            </w:pPr>
          </w:p>
        </w:tc>
      </w:tr>
    </w:tbl>
    <w:p>
      <w:pPr>
        <w:pStyle w:val="11"/>
        <w:rPr>
          <w:rFonts w:ascii="仿宋" w:hAnsi="仿宋" w:eastAsia="仿宋" w:cs="仿宋"/>
          <w:sz w:val="28"/>
          <w:szCs w:val="28"/>
        </w:rPr>
      </w:pPr>
      <w:r>
        <w:rPr>
          <w:rFonts w:hint="eastAsia" w:ascii="仿宋" w:hAnsi="仿宋" w:eastAsia="仿宋" w:cs="仿宋"/>
          <w:sz w:val="28"/>
          <w:szCs w:val="28"/>
        </w:rPr>
        <w:br w:type="page"/>
      </w:r>
    </w:p>
    <w:p>
      <w:pPr>
        <w:pStyle w:val="11"/>
        <w:rPr>
          <w:rFonts w:ascii="仿宋" w:hAnsi="仿宋" w:eastAsia="仿宋" w:cs="仿宋"/>
          <w:sz w:val="28"/>
          <w:szCs w:val="28"/>
        </w:rPr>
      </w:pPr>
      <w:r>
        <w:rPr>
          <w:rFonts w:hint="eastAsia" w:ascii="仿宋" w:hAnsi="仿宋" w:eastAsia="仿宋" w:cs="仿宋"/>
          <w:sz w:val="28"/>
          <w:szCs w:val="28"/>
        </w:rPr>
        <w:t>三、各阶段文本初稿响应时间</w:t>
      </w:r>
      <w:bookmarkEnd w:id="0"/>
      <w:r>
        <w:rPr>
          <w:rFonts w:hint="eastAsia" w:ascii="仿宋" w:hAnsi="仿宋" w:eastAsia="仿宋" w:cs="仿宋"/>
          <w:sz w:val="28"/>
          <w:szCs w:val="28"/>
        </w:rPr>
        <w:t>承诺函</w:t>
      </w:r>
    </w:p>
    <w:p>
      <w:pPr>
        <w:wordWrap w:val="0"/>
        <w:autoSpaceDE w:val="0"/>
        <w:autoSpaceDN w:val="0"/>
        <w:adjustRightInd w:val="0"/>
        <w:jc w:val="left"/>
        <w:rPr>
          <w:rFonts w:ascii="仿宋" w:hAnsi="仿宋" w:eastAsia="仿宋" w:cs="仿宋"/>
          <w:snapToGrid w:val="0"/>
          <w:kern w:val="0"/>
          <w:sz w:val="28"/>
          <w:szCs w:val="28"/>
        </w:rPr>
      </w:pPr>
    </w:p>
    <w:p>
      <w:pPr>
        <w:tabs>
          <w:tab w:val="left" w:pos="2640"/>
        </w:tabs>
        <w:wordWrap w:val="0"/>
        <w:autoSpaceDE w:val="0"/>
        <w:autoSpaceDN w:val="0"/>
        <w:adjustRightInd w:val="0"/>
        <w:ind w:left="120"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u w:val="single"/>
        </w:rPr>
        <w:t>重庆城市综合交通枢纽（集团）有限公司</w:t>
      </w:r>
      <w:r>
        <w:rPr>
          <w:rFonts w:hint="eastAsia" w:ascii="仿宋" w:hAnsi="仿宋" w:eastAsia="仿宋" w:cs="仿宋"/>
          <w:snapToGrid w:val="0"/>
          <w:kern w:val="0"/>
          <w:sz w:val="28"/>
          <w:szCs w:val="28"/>
        </w:rPr>
        <w:t>：</w:t>
      </w:r>
    </w:p>
    <w:p>
      <w:pPr>
        <w:wordWrap w:val="0"/>
        <w:autoSpaceDE w:val="0"/>
        <w:autoSpaceDN w:val="0"/>
        <w:adjustRightInd w:val="0"/>
        <w:spacing w:line="140" w:lineRule="exact"/>
        <w:jc w:val="left"/>
        <w:rPr>
          <w:rFonts w:ascii="仿宋" w:hAnsi="仿宋" w:eastAsia="仿宋" w:cs="仿宋"/>
          <w:snapToGrid w:val="0"/>
          <w:kern w:val="0"/>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按照工作内容，本公司将按以下时间提交文本初稿：</w:t>
      </w:r>
    </w:p>
    <w:p>
      <w:pPr>
        <w:pStyle w:val="2"/>
        <w:adjustRightInd w:val="0"/>
        <w:snapToGrid w:val="0"/>
        <w:spacing w:after="0" w:line="520" w:lineRule="exact"/>
        <w:ind w:left="141" w:leftChars="67" w:firstLineChars="150"/>
        <w:jc w:val="left"/>
        <w:rPr>
          <w:rFonts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1.方案设计：在设计合同签订后 20个工作日内提交方案设计文件。</w:t>
      </w:r>
    </w:p>
    <w:p>
      <w:pPr>
        <w:pStyle w:val="2"/>
        <w:adjustRightInd w:val="0"/>
        <w:snapToGrid w:val="0"/>
        <w:spacing w:after="0" w:line="560" w:lineRule="exact"/>
        <w:ind w:firstLine="560" w:firstLineChars="200"/>
        <w:jc w:val="left"/>
        <w:rPr>
          <w:rFonts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2.初步设计：在项目取得工程规划许可后20个工作日内提交初步设计文件。</w:t>
      </w:r>
    </w:p>
    <w:p>
      <w:pPr>
        <w:pStyle w:val="2"/>
        <w:adjustRightInd w:val="0"/>
        <w:snapToGrid w:val="0"/>
        <w:spacing w:after="0" w:line="560" w:lineRule="exact"/>
        <w:ind w:firstLine="560" w:firstLineChars="200"/>
        <w:jc w:val="left"/>
        <w:rPr>
          <w:rFonts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3.施工图设计：取得初设批复后20个工作日内提交施工图设计文件。</w:t>
      </w:r>
    </w:p>
    <w:p>
      <w:pPr>
        <w:pStyle w:val="2"/>
        <w:adjustRightInd w:val="0"/>
        <w:snapToGrid w:val="0"/>
        <w:spacing w:after="0" w:line="520" w:lineRule="exact"/>
        <w:ind w:firstLine="560" w:firstLineChars="200"/>
        <w:rPr>
          <w:rFonts w:ascii="仿宋" w:hAnsi="仿宋" w:eastAsia="仿宋" w:cs="仿宋"/>
          <w:sz w:val="28"/>
          <w:szCs w:val="28"/>
        </w:rPr>
      </w:pP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 xml:space="preserve">  被邀请比选人：（盖单位公章）</w:t>
      </w: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 xml:space="preserve">  法定代表人或授权代理人：（签字或盖章）</w:t>
      </w:r>
    </w:p>
    <w:p>
      <w:pPr>
        <w:tabs>
          <w:tab w:val="left" w:pos="7140"/>
          <w:tab w:val="left" w:pos="7560"/>
          <w:tab w:val="left" w:pos="8300"/>
        </w:tabs>
        <w:wordWrap w:val="0"/>
        <w:autoSpaceDE w:val="0"/>
        <w:autoSpaceDN w:val="0"/>
        <w:adjustRightInd w:val="0"/>
        <w:spacing w:line="312" w:lineRule="auto"/>
        <w:ind w:right="210"/>
        <w:jc w:val="right"/>
        <w:rPr>
          <w:rFonts w:ascii="仿宋" w:hAnsi="仿宋" w:eastAsia="仿宋" w:cs="仿宋"/>
          <w:snapToGrid w:val="0"/>
          <w:kern w:val="0"/>
          <w:sz w:val="28"/>
          <w:szCs w:val="28"/>
        </w:rPr>
      </w:pPr>
      <w:r>
        <w:rPr>
          <w:rFonts w:hint="eastAsia" w:ascii="仿宋" w:hAnsi="仿宋" w:eastAsia="仿宋" w:cs="仿宋"/>
          <w:snapToGrid w:val="0"/>
          <w:kern w:val="0"/>
          <w:sz w:val="28"/>
          <w:szCs w:val="28"/>
        </w:rPr>
        <w:t>日期：2021年     月    日</w:t>
      </w: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r>
        <w:rPr>
          <w:rFonts w:hint="eastAsia" w:ascii="仿宋" w:hAnsi="仿宋" w:eastAsia="仿宋" w:cs="仿宋"/>
          <w:snapToGrid w:val="0"/>
          <w:kern w:val="0"/>
          <w:sz w:val="28"/>
          <w:szCs w:val="28"/>
        </w:rPr>
        <w:t>四、企业资质证书</w:t>
      </w: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p>
    <w:p>
      <w:pPr>
        <w:numPr>
          <w:ilvl w:val="0"/>
          <w:numId w:val="3"/>
        </w:numPr>
        <w:tabs>
          <w:tab w:val="left" w:pos="8300"/>
        </w:tabs>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企业营业执照</w:t>
      </w:r>
    </w:p>
    <w:p>
      <w:pPr>
        <w:tabs>
          <w:tab w:val="left" w:pos="8300"/>
        </w:tabs>
        <w:autoSpaceDE w:val="0"/>
        <w:autoSpaceDN w:val="0"/>
        <w:adjustRightInd w:val="0"/>
        <w:spacing w:line="312" w:lineRule="auto"/>
        <w:ind w:right="-20"/>
        <w:jc w:val="left"/>
        <w:rPr>
          <w:rFonts w:ascii="仿宋" w:hAnsi="仿宋" w:eastAsia="仿宋" w:cs="仿宋"/>
          <w:snapToGrid w:val="0"/>
          <w:kern w:val="0"/>
          <w:sz w:val="28"/>
          <w:szCs w:val="28"/>
        </w:rPr>
      </w:pPr>
    </w:p>
    <w:p>
      <w:pPr>
        <w:pStyle w:val="11"/>
        <w:jc w:val="left"/>
        <w:rPr>
          <w:rFonts w:ascii="仿宋" w:hAnsi="仿宋" w:eastAsia="仿宋" w:cs="仿宋"/>
          <w:b w:val="0"/>
          <w:sz w:val="28"/>
          <w:szCs w:val="28"/>
        </w:rPr>
      </w:pPr>
      <w:r>
        <w:rPr>
          <w:rFonts w:hint="eastAsia" w:ascii="仿宋" w:hAnsi="仿宋" w:eastAsia="仿宋" w:cs="仿宋"/>
          <w:b w:val="0"/>
          <w:sz w:val="28"/>
          <w:szCs w:val="28"/>
        </w:rPr>
        <w:t>六、业绩证明材料（提供原签订的设计合同复印件）</w:t>
      </w:r>
    </w:p>
    <w:p>
      <w:pPr>
        <w:rPr>
          <w:rFonts w:ascii="仿宋" w:hAnsi="仿宋" w:eastAsia="仿宋" w:cs="仿宋"/>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pPr>
        <w:tabs>
          <w:tab w:val="left" w:pos="8300"/>
        </w:tabs>
        <w:wordWrap w:val="0"/>
        <w:autoSpaceDE w:val="0"/>
        <w:autoSpaceDN w:val="0"/>
        <w:adjustRightInd w:val="0"/>
        <w:spacing w:line="312" w:lineRule="auto"/>
        <w:ind w:right="-20"/>
        <w:jc w:val="left"/>
        <w:rPr>
          <w:rFonts w:ascii="仿宋" w:hAnsi="仿宋" w:eastAsia="仿宋" w:cs="仿宋"/>
          <w:kern w:val="0"/>
          <w:sz w:val="28"/>
          <w:szCs w:val="28"/>
        </w:rPr>
      </w:pPr>
      <w:r>
        <w:rPr>
          <w:rFonts w:hint="eastAsia" w:ascii="仿宋" w:hAnsi="仿宋" w:eastAsia="仿宋" w:cs="仿宋"/>
          <w:snapToGrid w:val="0"/>
          <w:kern w:val="0"/>
          <w:sz w:val="28"/>
          <w:szCs w:val="28"/>
        </w:rPr>
        <w:t>七、</w:t>
      </w:r>
      <w:r>
        <w:rPr>
          <w:rFonts w:hint="eastAsia" w:ascii="仿宋" w:hAnsi="仿宋" w:eastAsia="仿宋" w:cs="仿宋"/>
          <w:kern w:val="0"/>
          <w:sz w:val="28"/>
          <w:szCs w:val="28"/>
        </w:rPr>
        <w:t>单位概况及拟进入项目主要人员情况。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kern w:val="0"/>
          <w:sz w:val="28"/>
          <w:szCs w:val="28"/>
        </w:rPr>
        <w:t>1、单位概况：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widowControl/>
        <w:spacing w:before="100" w:beforeAutospacing="1" w:after="100" w:afterAutospacing="1" w:line="252" w:lineRule="atLeast"/>
        <w:rPr>
          <w:rFonts w:ascii="仿宋" w:hAnsi="仿宋" w:eastAsia="仿宋" w:cs="仿宋"/>
          <w:bCs/>
          <w:kern w:val="0"/>
          <w:sz w:val="28"/>
          <w:szCs w:val="28"/>
        </w:rPr>
      </w:pPr>
      <w:r>
        <w:rPr>
          <w:rFonts w:hint="eastAsia" w:ascii="仿宋" w:hAnsi="仿宋" w:eastAsia="仿宋" w:cs="仿宋"/>
          <w:bCs/>
          <w:kern w:val="0"/>
          <w:sz w:val="28"/>
          <w:szCs w:val="28"/>
        </w:rPr>
        <w:t>2、</w:t>
      </w:r>
      <w:r>
        <w:rPr>
          <w:rFonts w:hint="eastAsia" w:ascii="仿宋" w:hAnsi="仿宋" w:eastAsia="仿宋" w:cs="仿宋"/>
          <w:kern w:val="0"/>
          <w:sz w:val="28"/>
          <w:szCs w:val="28"/>
        </w:rPr>
        <w:t>拟进入本项目主要人员情况表</w:t>
      </w:r>
    </w:p>
    <w:tbl>
      <w:tblPr>
        <w:tblStyle w:val="14"/>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552"/>
        <w:gridCol w:w="1440"/>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姓名</w:t>
            </w: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资质证书/职称</w:t>
            </w: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专业</w:t>
            </w: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拟在项目任职（或设计内容）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bl>
    <w:p>
      <w:pPr>
        <w:autoSpaceDE w:val="0"/>
        <w:autoSpaceDN w:val="0"/>
        <w:adjustRightInd w:val="0"/>
        <w:snapToGrid w:val="0"/>
        <w:spacing w:line="360" w:lineRule="auto"/>
        <w:jc w:val="left"/>
        <w:rPr>
          <w:rFonts w:ascii="仿宋" w:hAnsi="仿宋" w:eastAsia="仿宋" w:cs="仿宋"/>
          <w:b/>
          <w:snapToGrid w:val="0"/>
          <w:kern w:val="0"/>
          <w:sz w:val="28"/>
          <w:szCs w:val="28"/>
        </w:rPr>
      </w:pPr>
    </w:p>
    <w:p>
      <w:pPr>
        <w:autoSpaceDE w:val="0"/>
        <w:autoSpaceDN w:val="0"/>
        <w:adjustRightInd w:val="0"/>
        <w:snapToGrid w:val="0"/>
        <w:spacing w:line="360" w:lineRule="auto"/>
        <w:jc w:val="left"/>
        <w:rPr>
          <w:rFonts w:ascii="仿宋" w:hAnsi="仿宋" w:eastAsia="仿宋" w:cs="仿宋"/>
          <w:sz w:val="28"/>
          <w:szCs w:val="28"/>
        </w:rPr>
      </w:pPr>
      <w:r>
        <w:rPr>
          <w:rFonts w:hint="eastAsia" w:ascii="仿宋" w:hAnsi="仿宋" w:eastAsia="仿宋" w:cs="仿宋"/>
          <w:snapToGrid w:val="0"/>
          <w:kern w:val="0"/>
          <w:sz w:val="28"/>
          <w:szCs w:val="28"/>
        </w:rPr>
        <w:t>3、</w:t>
      </w:r>
      <w:r>
        <w:rPr>
          <w:rFonts w:hint="eastAsia" w:ascii="仿宋" w:hAnsi="仿宋" w:eastAsia="仿宋" w:cs="仿宋"/>
          <w:kern w:val="0"/>
          <w:sz w:val="28"/>
          <w:szCs w:val="28"/>
        </w:rPr>
        <w:t>项目设计负责人资质证明材料：提供</w:t>
      </w:r>
      <w:r>
        <w:rPr>
          <w:rFonts w:hint="eastAsia" w:ascii="仿宋" w:hAnsi="仿宋" w:eastAsia="仿宋" w:cs="仿宋"/>
          <w:sz w:val="28"/>
          <w:szCs w:val="28"/>
        </w:rPr>
        <w:t>国家一级建筑师注册证书、高级工程师职称证（职称证不能证明工程类专业的，可以补充提交建筑工程专业的学历毕业证书）</w:t>
      </w:r>
    </w:p>
    <w:p>
      <w:pPr>
        <w:jc w:val="center"/>
        <w:rPr>
          <w:rFonts w:ascii="仿宋" w:hAnsi="仿宋" w:eastAsia="仿宋" w:cs="仿宋"/>
          <w:b/>
          <w:snapToGrid w:val="0"/>
          <w:kern w:val="0"/>
          <w:sz w:val="28"/>
          <w:szCs w:val="28"/>
        </w:rPr>
      </w:pPr>
    </w:p>
    <w:p>
      <w:pPr>
        <w:rPr>
          <w:rFonts w:ascii="仿宋" w:hAnsi="仿宋" w:eastAsia="仿宋" w:cs="仿宋"/>
          <w:b/>
          <w:snapToGrid w:val="0"/>
          <w:kern w:val="0"/>
          <w:sz w:val="28"/>
          <w:szCs w:val="28"/>
        </w:rPr>
      </w:pPr>
    </w:p>
    <w:p>
      <w:pPr>
        <w:jc w:val="center"/>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pPr>
        <w:jc w:val="center"/>
        <w:rPr>
          <w:rFonts w:ascii="仿宋" w:hAnsi="仿宋" w:eastAsia="仿宋" w:cs="仿宋"/>
          <w:kern w:val="0"/>
          <w:sz w:val="28"/>
          <w:szCs w:val="28"/>
        </w:rPr>
      </w:pPr>
      <w:r>
        <w:rPr>
          <w:rFonts w:hint="eastAsia" w:ascii="仿宋" w:hAnsi="仿宋" w:eastAsia="仿宋" w:cs="仿宋"/>
          <w:snapToGrid w:val="0"/>
          <w:kern w:val="0"/>
          <w:sz w:val="28"/>
          <w:szCs w:val="28"/>
        </w:rPr>
        <w:t>八、</w:t>
      </w:r>
      <w:r>
        <w:rPr>
          <w:rFonts w:hint="eastAsia" w:ascii="仿宋" w:hAnsi="仿宋" w:eastAsia="仿宋" w:cs="仿宋"/>
          <w:sz w:val="28"/>
          <w:szCs w:val="28"/>
        </w:rPr>
        <w:t>法定代表人授权委托书</w:t>
      </w:r>
    </w:p>
    <w:p>
      <w:pPr>
        <w:widowControl/>
        <w:snapToGrid w:val="0"/>
        <w:spacing w:before="100" w:beforeAutospacing="1" w:after="100" w:afterAutospacing="1" w:line="360" w:lineRule="auto"/>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  本授权书声明：注册于</w:t>
      </w:r>
      <w:r>
        <w:rPr>
          <w:rFonts w:hint="eastAsia" w:ascii="仿宋" w:hAnsi="仿宋" w:eastAsia="仿宋" w:cs="仿宋"/>
          <w:bCs/>
          <w:kern w:val="0"/>
          <w:sz w:val="28"/>
          <w:szCs w:val="28"/>
          <w:u w:val="single"/>
        </w:rPr>
        <w:t>                       （注册地址）</w:t>
      </w:r>
      <w:r>
        <w:rPr>
          <w:rFonts w:hint="eastAsia" w:ascii="仿宋" w:hAnsi="仿宋" w:eastAsia="仿宋" w:cs="仿宋"/>
          <w:bCs/>
          <w:kern w:val="0"/>
          <w:sz w:val="28"/>
          <w:szCs w:val="28"/>
        </w:rPr>
        <w:t>的</w:t>
      </w:r>
      <w:r>
        <w:rPr>
          <w:rFonts w:hint="eastAsia" w:ascii="仿宋" w:hAnsi="仿宋" w:eastAsia="仿宋" w:cs="仿宋"/>
          <w:bCs/>
          <w:kern w:val="0"/>
          <w:sz w:val="28"/>
          <w:szCs w:val="28"/>
          <w:u w:val="single"/>
        </w:rPr>
        <w:t>                    （公司名称）</w:t>
      </w:r>
      <w:r>
        <w:rPr>
          <w:rFonts w:hint="eastAsia" w:ascii="仿宋" w:hAnsi="仿宋" w:eastAsia="仿宋" w:cs="仿宋"/>
          <w:bCs/>
          <w:kern w:val="0"/>
          <w:sz w:val="28"/>
          <w:szCs w:val="28"/>
        </w:rPr>
        <w:t>公司的在下面签字的</w:t>
      </w:r>
      <w:r>
        <w:rPr>
          <w:rFonts w:hint="eastAsia" w:ascii="仿宋" w:hAnsi="仿宋" w:eastAsia="仿宋" w:cs="仿宋"/>
          <w:bCs/>
          <w:kern w:val="0"/>
          <w:sz w:val="28"/>
          <w:szCs w:val="28"/>
          <w:u w:val="single"/>
        </w:rPr>
        <w:t xml:space="preserve">           </w:t>
      </w:r>
      <w:r>
        <w:rPr>
          <w:rFonts w:hint="eastAsia" w:ascii="仿宋" w:hAnsi="仿宋" w:eastAsia="仿宋" w:cs="仿宋"/>
          <w:bCs/>
          <w:kern w:val="0"/>
          <w:sz w:val="28"/>
          <w:szCs w:val="28"/>
        </w:rPr>
        <w:t>（法定代表人姓名、职务）代表本公司授权在下面签字的被授权人（姓名、职务）为本公司的合法代理人，就重庆城市综合交通枢纽（集团）</w:t>
      </w:r>
      <w:r>
        <w:rPr>
          <w:rFonts w:hint="eastAsia" w:ascii="仿宋" w:hAnsi="仿宋" w:eastAsia="仿宋" w:cs="仿宋"/>
          <w:bCs/>
          <w:color w:val="4472C4" w:themeColor="accent5"/>
          <w:kern w:val="0"/>
          <w:sz w:val="28"/>
          <w:szCs w:val="28"/>
          <w14:textFill>
            <w14:solidFill>
              <w14:schemeClr w14:val="accent5"/>
            </w14:solidFill>
          </w14:textFill>
        </w:rPr>
        <w:t>锦鑫苑、冉家坝等10个公交站场及华新街一体化换乘枢纽项目</w:t>
      </w:r>
      <w:r>
        <w:rPr>
          <w:rFonts w:hint="eastAsia" w:ascii="仿宋" w:hAnsi="仿宋" w:eastAsia="仿宋" w:cs="仿宋"/>
          <w:kern w:val="0"/>
          <w:sz w:val="28"/>
          <w:szCs w:val="28"/>
        </w:rPr>
        <w:t>设计工作</w:t>
      </w:r>
      <w:r>
        <w:rPr>
          <w:rFonts w:hint="eastAsia" w:ascii="仿宋" w:hAnsi="仿宋" w:eastAsia="仿宋" w:cs="仿宋"/>
          <w:bCs/>
          <w:kern w:val="0"/>
          <w:sz w:val="28"/>
          <w:szCs w:val="28"/>
        </w:rPr>
        <w:t>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被邀请比选人名称（盖章）：         </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被邀请比选人地址：</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snapToGrid w:val="0"/>
          <w:kern w:val="0"/>
          <w:sz w:val="28"/>
          <w:szCs w:val="28"/>
        </w:rPr>
        <w:t>授权人（法定代表人）签字：</w:t>
      </w:r>
    </w:p>
    <w:p>
      <w:pPr>
        <w:widowControl/>
        <w:snapToGrid w:val="0"/>
        <w:spacing w:before="100" w:beforeAutospacing="1" w:after="100" w:afterAutospacing="1" w:line="252" w:lineRule="atLeast"/>
        <w:jc w:val="left"/>
        <w:textAlignment w:val="bottom"/>
        <w:rPr>
          <w:rFonts w:ascii="仿宋" w:hAnsi="仿宋" w:eastAsia="仿宋" w:cs="仿宋"/>
          <w:bCs/>
          <w:kern w:val="0"/>
          <w:sz w:val="28"/>
          <w:szCs w:val="28"/>
        </w:rPr>
      </w:pPr>
      <w:r>
        <w:rPr>
          <w:rFonts w:hint="eastAsia" w:ascii="仿宋" w:hAnsi="仿宋" w:eastAsia="仿宋" w:cs="仿宋"/>
          <w:kern w:val="0"/>
          <w:sz w:val="28"/>
          <w:szCs w:val="28"/>
        </w:rPr>
        <w:t>被授权人（代理人）签字：   </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BjrzZX5AQAA9wMAAA4AAABkcnMvZTJvRG9jLnhtbK1T&#10;S44TMRDdI3EHy3vSnUYzk2mlMxKEsEGANHCAij/dlvyT7Ul3LgA3YMWGPeeac1B2MiEDLBCiF+5y&#10;VfnVq1f28mYymuxEiMrZjs5nNSXCMseV7Tv68cPm2YKSmMBy0M6Kju5FpDerp0+Wo29F4wanuQgE&#10;QWxsR9/RISXfVlVkgzAQZ84Li0HpgoGE29BXPMCI6EZXTV1fVqML3AfHRIzoXR+CdFXwpRQsvZMy&#10;ikR0R5FbKmso6zav1WoJbR/AD4odacA/sDCgLBY9Qa0hAbkL6jcoo1hw0ck0Y85UTkrFROkBu5nX&#10;v3RzO4AXpRcUJ/qTTPH/wbK3u/eBKN7RhhILBkd0/+Xz/dfv998+kcssz+hji1m3HvPS9MJNOOYH&#10;f0Rn7nqSweQ/9kMwjkLvT+KKKRGGzub6ar6oMcQw1jRXi+eLIn/187gPMb0WzpBsdDTg9IqosHsT&#10;E1LB1IeUXC06rfhGaV02od++1IHsACe9KV9miUcepWlLxo5eXzQXSATwwkkNCU3jUYJo+1Lv0Yl4&#10;DlyX70/Amdga4nAgUBByGrRGJRGKNQjgrywnae9RZovvgWYyRnBKtMDnk62SmUDpv8nE7rTNRUS5&#10;6keV8sQOk8lWmrYTgmZz6/gep3jng+oHFLjMscoRvF1Fq+NLyNf3fI/2+Xtd/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musw2QAAAAoBAAAPAAAAAAAAAAEAIAAAACIAAABkcnMvZG93bnJldi54&#10;bWxQSwECFAAUAAAACACHTuJAGOvNlfkBAAD3AwAADgAAAAAAAAABACAAAAAoAQAAZHJzL2Uyb0Rv&#10;Yy54bWxQSwUGAAAAAAYABgBZAQAAkwU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v:textbox>
              </v:shape>
            </w:pict>
          </mc:Fallback>
        </mc:AlternateContent>
      </w:r>
      <w:bookmarkEnd w:id="1"/>
      <w:r>
        <w:rPr>
          <w:rFonts w:hint="eastAsia" w:ascii="仿宋" w:hAnsi="仿宋" w:eastAsia="仿宋" w:cs="仿宋"/>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A28bIi9wEAAPcDAAAOAAAAZHJzL2Uyb0RvYy54bWyt&#10;U0uOEzEQ3SNxB8t70j2NwoRWOiNBCBsESAMHqPjTbck/2Z505wJwA1Zs2HOunGPKTggZYIEQvXCX&#10;Xc+vql65ljeT0WQnQlTOdvRqVlMiLHNc2b6jHz9sniwoiQksB+2s6OheRHqzevxoOfpWNG5wmotA&#10;kMTGdvQdHVLybVVFNggDcea8sOiULhhIuA19xQOMyG501dT1s2p0gfvgmIgRT9dHJ10VfikFS++k&#10;jCIR3VHMLZU1lHWb12q1hLYP4AfFTmnAP2RhQFkMeqZaQwJyF9RvVEax4KKTacacqZyUiolSA1Zz&#10;Vf9Sze0AXpRaUJzozzLF/0fL3u7eB6I49o4SCwZbdPjy+fD1++HbJzLP8ow+toi69YhL0ws3Zejp&#10;POJhrnqSweQ/1kPQj0Lvz+KKKRGGh81ifj2v0cXQ1zTXi6eLIn/187oPMb0WzpBsdDRg94qosHsT&#10;E4ZE6A9IjhadVnyjtC6b0G9f6kB2gJ3elC9niVcewLQlY0efz5s5JgL44KSGhKbxKEG0fYn34Ea8&#10;JK7L9yfinNga4nBMoDBkGLRGJRGKNQjgrywnae9RZovzQHMyRnBKtMDxyVZBJlD6b5BYnbY5iChP&#10;/aRS7tixM9lK03ZC0mxuHd9jF+98UP2AApc+VtmDr6todZqE/Hwv92hfzuv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zNBHaAAAACgEAAA8AAAAAAAAAAQAgAAAAIgAAAGRycy9kb3ducmV2Lnht&#10;bFBLAQIUABQAAAAIAIdO4kA28bIi9wEAAPcDAAAOAAAAAAAAAAEAIAAAACkBAABkcnMvZTJvRG9j&#10;LnhtbFBLBQYAAAAABgAGAFkBAACSBQ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v:textbox>
              </v:shape>
            </w:pict>
          </mc:Fallback>
        </mc:AlternateConten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br w:type="page"/>
      </w:r>
    </w:p>
    <w:p>
      <w:pPr>
        <w:pStyle w:val="10"/>
        <w:spacing w:before="0" w:beforeAutospacing="0" w:after="0" w:afterAutospacing="0" w:line="720" w:lineRule="exact"/>
        <w:jc w:val="both"/>
        <w:rPr>
          <w:rFonts w:hint="eastAsia" w:ascii="仿宋" w:hAnsi="仿宋" w:eastAsia="仿宋" w:cs="仿宋"/>
          <w:sz w:val="36"/>
          <w:szCs w:val="36"/>
        </w:rPr>
      </w:pPr>
      <w:r>
        <w:rPr>
          <w:rFonts w:hint="eastAsia" w:ascii="仿宋" w:hAnsi="仿宋" w:eastAsia="仿宋" w:cs="仿宋"/>
          <w:sz w:val="28"/>
          <w:szCs w:val="28"/>
        </w:rPr>
        <w:t>附件</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r>
        <w:rPr>
          <w:rFonts w:hint="eastAsia" w:ascii="仿宋" w:hAnsi="仿宋" w:eastAsia="仿宋" w:cs="仿宋"/>
          <w:b/>
          <w:bCs/>
          <w:sz w:val="28"/>
          <w:szCs w:val="28"/>
        </w:rPr>
        <w:t xml:space="preserve">         </w:t>
      </w:r>
      <w:r>
        <w:rPr>
          <w:rFonts w:hint="eastAsia" w:ascii="仿宋" w:hAnsi="仿宋" w:eastAsia="仿宋" w:cs="仿宋"/>
          <w:b/>
          <w:bCs/>
          <w:sz w:val="36"/>
          <w:szCs w:val="36"/>
        </w:rPr>
        <w:t>合同条款</w:t>
      </w:r>
    </w:p>
    <w:p>
      <w:pPr>
        <w:rPr>
          <w:rFonts w:ascii="仿宋" w:hAnsi="仿宋" w:eastAsia="仿宋" w:cs="仿宋"/>
          <w:sz w:val="24"/>
        </w:rPr>
      </w:pPr>
    </w:p>
    <w:p>
      <w:pPr>
        <w:rPr>
          <w:rFonts w:ascii="仿宋" w:hAnsi="仿宋" w:eastAsia="仿宋" w:cs="仿宋"/>
          <w:b/>
          <w:bCs/>
          <w:sz w:val="24"/>
        </w:rPr>
      </w:pPr>
      <w:r>
        <w:rPr>
          <w:rFonts w:hint="eastAsia" w:ascii="仿宋" w:hAnsi="仿宋" w:eastAsia="仿宋" w:cs="仿宋"/>
          <w:b/>
          <w:bCs/>
          <w:sz w:val="24"/>
        </w:rPr>
        <w:t>发包人：</w:t>
      </w:r>
      <w:r>
        <w:rPr>
          <w:rFonts w:hint="eastAsia" w:ascii="仿宋" w:hAnsi="仿宋" w:eastAsia="仿宋" w:cs="仿宋"/>
          <w:b/>
          <w:bCs/>
          <w:sz w:val="24"/>
          <w:u w:val="single"/>
        </w:rPr>
        <w:t>重庆城市综合交通枢纽(集团)有限公司（以下简称“发包人”）</w:t>
      </w:r>
    </w:p>
    <w:p>
      <w:pPr>
        <w:jc w:val="left"/>
        <w:rPr>
          <w:rFonts w:ascii="仿宋" w:hAnsi="仿宋" w:eastAsia="仿宋" w:cs="仿宋"/>
          <w:b/>
          <w:bCs/>
          <w:sz w:val="24"/>
        </w:rPr>
      </w:pPr>
      <w:r>
        <w:rPr>
          <w:rFonts w:hint="eastAsia" w:ascii="仿宋" w:hAnsi="仿宋" w:eastAsia="仿宋" w:cs="仿宋"/>
          <w:b/>
          <w:bCs/>
          <w:sz w:val="24"/>
        </w:rPr>
        <w:t>设计人：</w:t>
      </w:r>
      <w:r>
        <w:rPr>
          <w:rFonts w:hint="eastAsia" w:ascii="仿宋" w:hAnsi="仿宋" w:eastAsia="仿宋" w:cs="仿宋"/>
          <w:b/>
          <w:bCs/>
          <w:sz w:val="24"/>
          <w:u w:val="single"/>
        </w:rPr>
        <w:t xml:space="preserve">XX公司                           （以下简称“设计人”） </w:t>
      </w:r>
    </w:p>
    <w:p>
      <w:pPr>
        <w:ind w:firstLine="480" w:firstLineChars="200"/>
        <w:jc w:val="left"/>
        <w:rPr>
          <w:rFonts w:ascii="仿宋" w:hAnsi="仿宋" w:eastAsia="仿宋" w:cs="仿宋"/>
          <w:sz w:val="24"/>
        </w:rPr>
      </w:pPr>
      <w:r>
        <w:rPr>
          <w:rFonts w:hint="eastAsia" w:ascii="仿宋" w:hAnsi="仿宋" w:eastAsia="仿宋" w:cs="仿宋"/>
          <w:sz w:val="24"/>
        </w:rPr>
        <w:t>发包人委托设计人承担</w:t>
      </w:r>
      <w:r>
        <w:rPr>
          <w:rFonts w:hint="eastAsia" w:ascii="仿宋" w:hAnsi="仿宋" w:eastAsia="仿宋" w:cs="仿宋"/>
          <w:color w:val="4472C4" w:themeColor="accent5"/>
          <w:sz w:val="24"/>
          <w:lang w:val="en-US" w:eastAsia="zh-CN"/>
          <w14:textFill>
            <w14:solidFill>
              <w14:schemeClr w14:val="accent5"/>
            </w14:solidFill>
          </w14:textFill>
        </w:rPr>
        <w:t>xxxxxxxx</w:t>
      </w:r>
      <w:r>
        <w:rPr>
          <w:rFonts w:hint="eastAsia" w:ascii="仿宋" w:hAnsi="仿宋" w:eastAsia="仿宋" w:cs="仿宋"/>
          <w:sz w:val="24"/>
        </w:rPr>
        <w:t>项目</w:t>
      </w:r>
      <w:r>
        <w:rPr>
          <w:rFonts w:hint="eastAsia" w:ascii="仿宋" w:hAnsi="仿宋" w:eastAsia="仿宋" w:cs="仿宋"/>
          <w:color w:val="4472C4" w:themeColor="accent5"/>
          <w:sz w:val="24"/>
          <w14:textFill>
            <w14:solidFill>
              <w14:schemeClr w14:val="accent5"/>
            </w14:solidFill>
          </w14:textFill>
        </w:rPr>
        <w:t>方案设计、初步设计及施工图设计</w:t>
      </w:r>
      <w:r>
        <w:rPr>
          <w:rFonts w:hint="eastAsia" w:ascii="仿宋" w:hAnsi="仿宋" w:eastAsia="仿宋" w:cs="仿宋"/>
          <w:sz w:val="24"/>
        </w:rPr>
        <w:t>，经双方协商一致，签订本合同。</w:t>
      </w:r>
    </w:p>
    <w:p>
      <w:pPr>
        <w:ind w:firstLine="482" w:firstLineChars="200"/>
        <w:rPr>
          <w:rFonts w:ascii="仿宋" w:hAnsi="仿宋" w:eastAsia="仿宋" w:cs="仿宋"/>
          <w:bCs/>
          <w:sz w:val="24"/>
        </w:rPr>
      </w:pPr>
      <w:r>
        <w:rPr>
          <w:rFonts w:hint="eastAsia" w:ascii="仿宋" w:hAnsi="仿宋" w:eastAsia="仿宋" w:cs="仿宋"/>
          <w:b/>
          <w:sz w:val="24"/>
        </w:rPr>
        <w:t xml:space="preserve">第一条  </w:t>
      </w:r>
      <w:r>
        <w:rPr>
          <w:rFonts w:hint="eastAsia" w:ascii="仿宋" w:hAnsi="仿宋" w:eastAsia="仿宋" w:cs="仿宋"/>
          <w:bCs/>
          <w:sz w:val="24"/>
        </w:rPr>
        <w:t>合同依据</w:t>
      </w:r>
    </w:p>
    <w:p>
      <w:pPr>
        <w:ind w:firstLine="480" w:firstLineChars="200"/>
        <w:rPr>
          <w:rFonts w:ascii="仿宋" w:hAnsi="仿宋" w:eastAsia="仿宋" w:cs="仿宋"/>
          <w:sz w:val="24"/>
        </w:rPr>
      </w:pPr>
      <w:r>
        <w:rPr>
          <w:rFonts w:hint="eastAsia" w:ascii="仿宋" w:hAnsi="仿宋" w:eastAsia="仿宋" w:cs="仿宋"/>
          <w:sz w:val="24"/>
        </w:rPr>
        <w:t>本合同依据下列文件签订：</w:t>
      </w:r>
    </w:p>
    <w:p>
      <w:pPr>
        <w:numPr>
          <w:ilvl w:val="1"/>
          <w:numId w:val="4"/>
        </w:numPr>
        <w:ind w:firstLine="480" w:firstLineChars="200"/>
        <w:rPr>
          <w:rFonts w:ascii="仿宋" w:hAnsi="仿宋" w:eastAsia="仿宋" w:cs="仿宋"/>
          <w:sz w:val="24"/>
        </w:rPr>
      </w:pPr>
      <w:r>
        <w:rPr>
          <w:rFonts w:hint="eastAsia" w:ascii="仿宋" w:hAnsi="仿宋" w:eastAsia="仿宋" w:cs="仿宋"/>
          <w:sz w:val="24"/>
        </w:rPr>
        <w:t>《中华人民共和国民法典》</w:t>
      </w:r>
    </w:p>
    <w:p>
      <w:pPr>
        <w:numPr>
          <w:ilvl w:val="1"/>
          <w:numId w:val="4"/>
        </w:numPr>
        <w:ind w:firstLine="480" w:firstLineChars="200"/>
        <w:rPr>
          <w:rFonts w:ascii="仿宋" w:hAnsi="仿宋" w:eastAsia="仿宋" w:cs="仿宋"/>
          <w:sz w:val="24"/>
        </w:rPr>
      </w:pPr>
      <w:r>
        <w:rPr>
          <w:rFonts w:hint="eastAsia" w:ascii="仿宋" w:hAnsi="仿宋" w:eastAsia="仿宋" w:cs="仿宋"/>
          <w:sz w:val="24"/>
        </w:rPr>
        <w:t>国家及地方有关建设工程勘察设计管理法规和规章。</w:t>
      </w:r>
    </w:p>
    <w:p>
      <w:pPr>
        <w:ind w:firstLine="480" w:firstLineChars="200"/>
        <w:rPr>
          <w:rFonts w:ascii="仿宋" w:hAnsi="仿宋" w:eastAsia="仿宋" w:cs="仿宋"/>
          <w:sz w:val="24"/>
        </w:rPr>
      </w:pPr>
      <w:r>
        <w:rPr>
          <w:rFonts w:hint="eastAsia" w:ascii="仿宋" w:hAnsi="仿宋" w:eastAsia="仿宋" w:cs="仿宋"/>
          <w:sz w:val="24"/>
        </w:rPr>
        <w:t>1.3 建设工程批准文件。</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 xml:space="preserve">第二条  </w:t>
      </w:r>
      <w:r>
        <w:rPr>
          <w:rFonts w:hint="eastAsia" w:ascii="仿宋" w:hAnsi="仿宋" w:eastAsia="仿宋" w:cs="仿宋"/>
          <w:bCs/>
          <w:sz w:val="24"/>
        </w:rPr>
        <w:t>项目概况及设计内容</w:t>
      </w:r>
    </w:p>
    <w:p>
      <w:pPr>
        <w:ind w:firstLine="480" w:firstLineChars="200"/>
        <w:rPr>
          <w:rFonts w:ascii="仿宋" w:hAnsi="仿宋" w:eastAsia="仿宋" w:cs="仿宋"/>
          <w:sz w:val="24"/>
        </w:rPr>
      </w:pPr>
      <w:r>
        <w:rPr>
          <w:rFonts w:hint="eastAsia" w:ascii="仿宋" w:hAnsi="仿宋" w:eastAsia="仿宋" w:cs="仿宋"/>
          <w:sz w:val="24"/>
        </w:rPr>
        <w:t>2.1工程名称：</w:t>
      </w:r>
    </w:p>
    <w:p>
      <w:pPr>
        <w:numPr>
          <w:ilvl w:val="0"/>
          <w:numId w:val="5"/>
        </w:numPr>
        <w:rPr>
          <w:rFonts w:ascii="仿宋" w:hAnsi="仿宋" w:eastAsia="仿宋" w:cs="仿宋"/>
          <w:color w:val="4472C4" w:themeColor="accent5"/>
          <w:sz w:val="24"/>
          <w14:textFill>
            <w14:solidFill>
              <w14:schemeClr w14:val="accent5"/>
            </w14:solidFill>
          </w14:textFill>
        </w:rPr>
      </w:pPr>
      <w:r>
        <w:rPr>
          <w:rFonts w:hint="eastAsia" w:ascii="仿宋" w:hAnsi="仿宋" w:eastAsia="仿宋" w:cs="仿宋"/>
          <w:color w:val="4472C4" w:themeColor="accent5"/>
          <w:sz w:val="24"/>
          <w:lang w:val="en-US" w:eastAsia="zh-CN"/>
          <w14:textFill>
            <w14:solidFill>
              <w14:schemeClr w14:val="accent5"/>
            </w14:solidFill>
          </w14:textFill>
        </w:rPr>
        <w:t>xxxxx</w:t>
      </w:r>
      <w:r>
        <w:rPr>
          <w:rFonts w:hint="eastAsia" w:ascii="仿宋" w:hAnsi="仿宋" w:eastAsia="仿宋" w:cs="仿宋"/>
          <w:color w:val="4472C4" w:themeColor="accent5"/>
          <w:sz w:val="24"/>
          <w14:textFill>
            <w14:solidFill>
              <w14:schemeClr w14:val="accent5"/>
            </w14:solidFill>
          </w14:textFill>
        </w:rPr>
        <w:t>项目</w:t>
      </w:r>
    </w:p>
    <w:p>
      <w:pPr>
        <w:numPr>
          <w:ilvl w:val="0"/>
          <w:numId w:val="5"/>
        </w:numPr>
        <w:rPr>
          <w:rFonts w:ascii="仿宋" w:hAnsi="仿宋" w:eastAsia="仿宋" w:cs="仿宋"/>
          <w:color w:val="4472C4" w:themeColor="accent5"/>
          <w:sz w:val="24"/>
          <w14:textFill>
            <w14:solidFill>
              <w14:schemeClr w14:val="accent5"/>
            </w14:solidFill>
          </w14:textFill>
        </w:rPr>
      </w:pPr>
      <w:r>
        <w:rPr>
          <w:rFonts w:hint="eastAsia" w:ascii="仿宋" w:hAnsi="仿宋" w:eastAsia="仿宋" w:cs="仿宋"/>
          <w:sz w:val="24"/>
        </w:rPr>
        <w:t>工程建设地点</w:t>
      </w:r>
      <w:r>
        <w:rPr>
          <w:rFonts w:hint="eastAsia" w:ascii="仿宋" w:hAnsi="仿宋" w:eastAsia="仿宋" w:cs="仿宋"/>
          <w:sz w:val="24"/>
          <w:u w:val="single"/>
        </w:rPr>
        <w:t xml:space="preserve">： </w:t>
      </w:r>
      <w:r>
        <w:rPr>
          <w:rFonts w:hint="eastAsia" w:ascii="仿宋" w:hAnsi="仿宋" w:eastAsia="仿宋" w:cs="仿宋"/>
          <w:color w:val="4472C4" w:themeColor="accent5"/>
          <w:sz w:val="24"/>
          <w:u w:val="single"/>
          <w14:textFill>
            <w14:solidFill>
              <w14:schemeClr w14:val="accent5"/>
            </w14:solidFill>
          </w14:textFill>
        </w:rPr>
        <w:t>重庆市北碚区</w:t>
      </w:r>
      <w:r>
        <w:rPr>
          <w:rFonts w:hint="eastAsia" w:ascii="仿宋" w:hAnsi="仿宋" w:eastAsia="仿宋" w:cs="仿宋"/>
          <w:color w:val="4472C4" w:themeColor="accent5"/>
          <w:sz w:val="24"/>
          <w:u w:val="single"/>
          <w:lang w:val="en-US" w:eastAsia="zh-CN"/>
          <w14:textFill>
            <w14:solidFill>
              <w14:schemeClr w14:val="accent5"/>
            </w14:solidFill>
          </w14:textFill>
        </w:rPr>
        <w:t>/</w:t>
      </w:r>
      <w:r>
        <w:rPr>
          <w:rFonts w:hint="eastAsia" w:ascii="仿宋" w:hAnsi="仿宋" w:eastAsia="仿宋" w:cs="仿宋"/>
          <w:color w:val="4472C4" w:themeColor="accent5"/>
          <w:sz w:val="24"/>
          <w:u w:val="single"/>
          <w14:textFill>
            <w14:solidFill>
              <w14:schemeClr w14:val="accent5"/>
            </w14:solidFill>
          </w14:textFill>
        </w:rPr>
        <w:t>渝北区</w:t>
      </w:r>
      <w:r>
        <w:rPr>
          <w:rFonts w:hint="eastAsia" w:ascii="仿宋" w:hAnsi="仿宋" w:eastAsia="仿宋" w:cs="仿宋"/>
          <w:color w:val="4472C4" w:themeColor="accent5"/>
          <w:sz w:val="24"/>
          <w:u w:val="single"/>
          <w:lang w:val="en-US" w:eastAsia="zh-CN"/>
          <w14:textFill>
            <w14:solidFill>
              <w14:schemeClr w14:val="accent5"/>
            </w14:solidFill>
          </w14:textFill>
        </w:rPr>
        <w:t>/</w:t>
      </w:r>
      <w:r>
        <w:rPr>
          <w:rFonts w:hint="eastAsia" w:ascii="仿宋" w:hAnsi="仿宋" w:eastAsia="仿宋" w:cs="仿宋"/>
          <w:color w:val="4472C4" w:themeColor="accent5"/>
          <w:sz w:val="24"/>
          <w:u w:val="single"/>
          <w14:textFill>
            <w14:solidFill>
              <w14:schemeClr w14:val="accent5"/>
            </w14:solidFill>
          </w14:textFill>
        </w:rPr>
        <w:t>江北区</w:t>
      </w:r>
      <w:r>
        <w:rPr>
          <w:rFonts w:hint="eastAsia" w:ascii="仿宋" w:hAnsi="仿宋" w:eastAsia="仿宋" w:cs="仿宋"/>
          <w:color w:val="4472C4" w:themeColor="accent5"/>
          <w:sz w:val="24"/>
          <w:u w:val="single"/>
          <w:lang w:val="en-US" w:eastAsia="zh-CN"/>
          <w14:textFill>
            <w14:solidFill>
              <w14:schemeClr w14:val="accent5"/>
            </w14:solidFill>
          </w14:textFill>
        </w:rPr>
        <w:t>/</w:t>
      </w:r>
      <w:r>
        <w:rPr>
          <w:rFonts w:hint="eastAsia" w:ascii="仿宋" w:hAnsi="仿宋" w:eastAsia="仿宋" w:cs="仿宋"/>
          <w:color w:val="4472C4" w:themeColor="accent5"/>
          <w:sz w:val="24"/>
          <w:u w:val="single"/>
          <w14:textFill>
            <w14:solidFill>
              <w14:schemeClr w14:val="accent5"/>
            </w14:solidFill>
          </w14:textFill>
        </w:rPr>
        <w:t>南岸区</w:t>
      </w:r>
      <w:r>
        <w:rPr>
          <w:rFonts w:hint="eastAsia" w:ascii="仿宋" w:hAnsi="仿宋" w:eastAsia="仿宋" w:cs="仿宋"/>
          <w:color w:val="4472C4" w:themeColor="accent5"/>
          <w:sz w:val="24"/>
          <w:u w:val="single"/>
          <w:lang w:val="en-US" w:eastAsia="zh-CN"/>
          <w14:textFill>
            <w14:solidFill>
              <w14:schemeClr w14:val="accent5"/>
            </w14:solidFill>
          </w14:textFill>
        </w:rPr>
        <w:t>/</w:t>
      </w:r>
      <w:r>
        <w:rPr>
          <w:rFonts w:hint="eastAsia" w:ascii="仿宋" w:hAnsi="仿宋" w:eastAsia="仿宋" w:cs="仿宋"/>
          <w:color w:val="4472C4" w:themeColor="accent5"/>
          <w:sz w:val="24"/>
          <w:u w:val="single"/>
          <w14:textFill>
            <w14:solidFill>
              <w14:schemeClr w14:val="accent5"/>
            </w14:solidFill>
          </w14:textFill>
        </w:rPr>
        <w:t>大渡口区</w:t>
      </w:r>
      <w:r>
        <w:rPr>
          <w:rFonts w:hint="eastAsia" w:ascii="仿宋" w:hAnsi="仿宋" w:eastAsia="仿宋" w:cs="仿宋"/>
          <w:color w:val="4472C4" w:themeColor="accent5"/>
          <w:sz w:val="24"/>
          <w:u w:val="single"/>
          <w:lang w:val="en-US" w:eastAsia="zh-CN"/>
          <w14:textFill>
            <w14:solidFill>
              <w14:schemeClr w14:val="accent5"/>
            </w14:solidFill>
          </w14:textFill>
        </w:rPr>
        <w:t>/</w:t>
      </w:r>
      <w:r>
        <w:rPr>
          <w:rFonts w:hint="eastAsia" w:ascii="仿宋" w:hAnsi="仿宋" w:eastAsia="仿宋" w:cs="仿宋"/>
          <w:color w:val="4472C4" w:themeColor="accent5"/>
          <w:sz w:val="24"/>
          <w:u w:val="single"/>
          <w14:textFill>
            <w14:solidFill>
              <w14:schemeClr w14:val="accent5"/>
            </w14:solidFill>
          </w14:textFill>
        </w:rPr>
        <w:t>巴南区</w:t>
      </w:r>
    </w:p>
    <w:p>
      <w:pPr>
        <w:ind w:firstLine="480" w:firstLineChars="200"/>
        <w:rPr>
          <w:rFonts w:ascii="仿宋" w:hAnsi="仿宋" w:eastAsia="仿宋" w:cs="仿宋"/>
          <w:sz w:val="24"/>
        </w:rPr>
      </w:pPr>
      <w:r>
        <w:rPr>
          <w:rFonts w:hint="eastAsia" w:ascii="仿宋" w:hAnsi="仿宋" w:eastAsia="仿宋" w:cs="仿宋"/>
          <w:sz w:val="24"/>
        </w:rPr>
        <w:t>2.2工程建设规模及投资：</w:t>
      </w:r>
    </w:p>
    <w:tbl>
      <w:tblPr>
        <w:tblStyle w:val="14"/>
        <w:tblW w:w="7443" w:type="dxa"/>
        <w:jc w:val="center"/>
        <w:tblInd w:w="0" w:type="dxa"/>
        <w:tblLayout w:type="fixed"/>
        <w:tblCellMar>
          <w:top w:w="0" w:type="dxa"/>
          <w:left w:w="108" w:type="dxa"/>
          <w:bottom w:w="0" w:type="dxa"/>
          <w:right w:w="108" w:type="dxa"/>
        </w:tblCellMar>
      </w:tblPr>
      <w:tblGrid>
        <w:gridCol w:w="1249"/>
        <w:gridCol w:w="2857"/>
        <w:gridCol w:w="937"/>
        <w:gridCol w:w="1332"/>
        <w:gridCol w:w="1068"/>
      </w:tblGrid>
      <w:tr>
        <w:tblPrEx>
          <w:tblLayout w:type="fixed"/>
          <w:tblCellMar>
            <w:top w:w="0" w:type="dxa"/>
            <w:left w:w="108" w:type="dxa"/>
            <w:bottom w:w="0" w:type="dxa"/>
            <w:right w:w="108" w:type="dxa"/>
          </w:tblCellMar>
        </w:tblPrEx>
        <w:trPr>
          <w:trHeight w:val="788" w:hRule="atLeast"/>
          <w:jc w:val="center"/>
        </w:trPr>
        <w:tc>
          <w:tcPr>
            <w:tcW w:w="12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行政区</w:t>
            </w:r>
          </w:p>
        </w:tc>
        <w:tc>
          <w:tcPr>
            <w:tcW w:w="28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站场名称</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开工</w:t>
            </w:r>
          </w:p>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年限</w:t>
            </w:r>
          </w:p>
        </w:tc>
        <w:tc>
          <w:tcPr>
            <w:tcW w:w="1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用地面积（公顷）</w:t>
            </w:r>
          </w:p>
        </w:tc>
        <w:tc>
          <w:tcPr>
            <w:tcW w:w="10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建安投资      （万元）</w:t>
            </w:r>
          </w:p>
        </w:tc>
      </w:tr>
      <w:tr>
        <w:tblPrEx>
          <w:tblLayout w:type="fixed"/>
          <w:tblCellMar>
            <w:top w:w="0" w:type="dxa"/>
            <w:left w:w="108" w:type="dxa"/>
            <w:bottom w:w="0" w:type="dxa"/>
            <w:right w:w="108" w:type="dxa"/>
          </w:tblCellMar>
        </w:tblPrEx>
        <w:trPr>
          <w:trHeight w:val="7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北碚区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锦鑫苑公交站场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2023</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2.07</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2800 </w:t>
            </w:r>
          </w:p>
        </w:tc>
      </w:tr>
      <w:tr>
        <w:tblPrEx>
          <w:tblLayout w:type="fixed"/>
          <w:tblCellMar>
            <w:top w:w="0" w:type="dxa"/>
            <w:left w:w="108" w:type="dxa"/>
            <w:bottom w:w="0" w:type="dxa"/>
            <w:right w:w="108" w:type="dxa"/>
          </w:tblCellMar>
        </w:tblPrEx>
        <w:trPr>
          <w:trHeight w:val="7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渝北区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冉家坝公交站场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2022</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1</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1400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江北区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华新街一体化换乘枢纽项目</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2022</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0.46</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600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江北区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跑马坪公交站场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2022</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0.16</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200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南岸区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奥园越时代公交站场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2023</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0.31</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400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南岸区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学知路口公交站场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2023</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0.6</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800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南岸区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秉文路公交站场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2023</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0.66</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900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大渡口区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黄角堡公交站场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2022</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1.01</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1400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巴南区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界石后子冲公交站场（一期）</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2021</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1</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1400 </w:t>
            </w:r>
          </w:p>
        </w:tc>
      </w:tr>
      <w:tr>
        <w:tblPrEx>
          <w:tblLayout w:type="fixed"/>
          <w:tblCellMar>
            <w:top w:w="0" w:type="dxa"/>
            <w:left w:w="108" w:type="dxa"/>
            <w:bottom w:w="0" w:type="dxa"/>
            <w:right w:w="108" w:type="dxa"/>
          </w:tblCellMar>
        </w:tblPrEx>
        <w:trPr>
          <w:trHeight w:val="300" w:hRule="atLeast"/>
          <w:jc w:val="center"/>
        </w:trPr>
        <w:tc>
          <w:tcPr>
            <w:tcW w:w="1249"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北碚区</w:t>
            </w:r>
          </w:p>
        </w:tc>
        <w:tc>
          <w:tcPr>
            <w:tcW w:w="2857"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欣和佳苑公交站场</w:t>
            </w:r>
          </w:p>
        </w:tc>
        <w:tc>
          <w:tcPr>
            <w:tcW w:w="937"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2022</w:t>
            </w:r>
          </w:p>
        </w:tc>
        <w:tc>
          <w:tcPr>
            <w:tcW w:w="1332"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0.5</w:t>
            </w:r>
          </w:p>
        </w:tc>
        <w:tc>
          <w:tcPr>
            <w:tcW w:w="1068" w:type="dxa"/>
            <w:tcBorders>
              <w:top w:val="nil"/>
              <w:left w:val="nil"/>
              <w:bottom w:val="single" w:color="auto" w:sz="4" w:space="0"/>
              <w:right w:val="single" w:color="auto" w:sz="4" w:space="0"/>
            </w:tcBorders>
            <w:shd w:val="clear" w:color="auto" w:fill="auto"/>
            <w:vAlign w:val="center"/>
          </w:tcPr>
          <w:p>
            <w:pPr>
              <w:widowControl/>
              <w:jc w:val="right"/>
              <w:rPr>
                <w:rFonts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 xml:space="preserve">700 </w:t>
            </w:r>
          </w:p>
        </w:tc>
      </w:tr>
    </w:tbl>
    <w:p>
      <w:pPr>
        <w:ind w:firstLine="480" w:firstLineChars="200"/>
        <w:rPr>
          <w:rFonts w:hint="eastAsia" w:ascii="仿宋" w:hAnsi="仿宋" w:eastAsia="仿宋" w:cs="仿宋"/>
          <w:b w:val="0"/>
          <w:bCs w:val="0"/>
          <w:color w:val="4472C4" w:themeColor="accent5"/>
          <w:sz w:val="24"/>
          <w:szCs w:val="24"/>
          <w:lang w:eastAsia="zh-CN"/>
          <w14:textFill>
            <w14:solidFill>
              <w14:schemeClr w14:val="accent5"/>
            </w14:solidFill>
          </w14:textFill>
        </w:rPr>
      </w:pPr>
    </w:p>
    <w:p>
      <w:pPr>
        <w:ind w:firstLine="480" w:firstLineChars="200"/>
        <w:rPr>
          <w:rFonts w:ascii="仿宋" w:hAnsi="仿宋" w:eastAsia="仿宋" w:cs="仿宋"/>
          <w:sz w:val="24"/>
          <w:highlight w:val="green"/>
          <w:u w:val="single"/>
        </w:rPr>
      </w:pPr>
      <w:r>
        <w:rPr>
          <w:rFonts w:hint="eastAsia" w:ascii="仿宋" w:hAnsi="仿宋" w:eastAsia="仿宋" w:cs="仿宋"/>
          <w:b w:val="0"/>
          <w:bCs w:val="0"/>
          <w:color w:val="4472C4" w:themeColor="accent5"/>
          <w:sz w:val="24"/>
          <w:szCs w:val="24"/>
          <w:lang w:eastAsia="zh-CN"/>
          <w14:textFill>
            <w14:solidFill>
              <w14:schemeClr w14:val="accent5"/>
            </w14:solidFill>
          </w14:textFill>
        </w:rPr>
        <w:t>特别说明：合同履行过程中，以委托人实际开展设计工作的项目为准，由于土地等原因委托范围和项目个数发生变化，设计人应无条件同意，并不得向委托人进行索赔。</w:t>
      </w:r>
    </w:p>
    <w:p>
      <w:pPr>
        <w:ind w:firstLine="480" w:firstLineChars="200"/>
        <w:rPr>
          <w:rFonts w:hint="eastAsia" w:ascii="仿宋" w:hAnsi="仿宋" w:eastAsia="仿宋" w:cs="仿宋"/>
          <w:sz w:val="24"/>
        </w:rPr>
      </w:pPr>
    </w:p>
    <w:p>
      <w:pPr>
        <w:ind w:firstLine="480" w:firstLineChars="200"/>
        <w:rPr>
          <w:rFonts w:hint="eastAsia" w:ascii="仿宋" w:hAnsi="仿宋" w:eastAsia="仿宋" w:cs="仿宋"/>
          <w:color w:val="4472C4" w:themeColor="accent5"/>
          <w:highlight w:val="none"/>
          <w14:textFill>
            <w14:solidFill>
              <w14:schemeClr w14:val="accent5"/>
            </w14:solidFill>
          </w14:textFill>
        </w:rPr>
      </w:pPr>
      <w:r>
        <w:rPr>
          <w:rFonts w:hint="eastAsia" w:ascii="仿宋" w:hAnsi="仿宋" w:eastAsia="仿宋" w:cs="仿宋"/>
          <w:sz w:val="24"/>
        </w:rPr>
        <w:t>2.3主要建设</w:t>
      </w:r>
      <w:r>
        <w:rPr>
          <w:rFonts w:hint="eastAsia" w:ascii="仿宋" w:hAnsi="仿宋" w:eastAsia="仿宋" w:cs="仿宋"/>
          <w:sz w:val="24"/>
          <w:highlight w:val="none"/>
        </w:rPr>
        <w:t>内容：</w:t>
      </w:r>
      <w:r>
        <w:rPr>
          <w:rFonts w:hint="eastAsia" w:ascii="仿宋" w:hAnsi="仿宋" w:eastAsia="仿宋" w:cs="仿宋"/>
          <w:color w:val="4472C4" w:themeColor="accent5"/>
          <w:sz w:val="24"/>
          <w:highlight w:val="none"/>
          <w:u w:val="single"/>
          <w14:textFill>
            <w14:solidFill>
              <w14:schemeClr w14:val="accent5"/>
            </w14:solidFill>
          </w14:textFill>
        </w:rPr>
        <w:t>公交站场，配套站务用房，配套设施，园林绿化，站场交通工程，室内装饰，视频监控系统、智能道闸系统等。（具体建设内容以项目批复的规划方案为准）</w:t>
      </w:r>
    </w:p>
    <w:p>
      <w:pPr>
        <w:ind w:firstLine="480" w:firstLineChars="200"/>
        <w:rPr>
          <w:rFonts w:ascii="仿宋" w:hAnsi="仿宋" w:eastAsia="仿宋" w:cs="仿宋"/>
          <w:color w:val="4472C4" w:themeColor="accent5"/>
          <w:sz w:val="24"/>
          <w14:textFill>
            <w14:solidFill>
              <w14:schemeClr w14:val="accent5"/>
            </w14:solidFill>
          </w14:textFill>
        </w:rPr>
      </w:pPr>
      <w:r>
        <w:rPr>
          <w:rFonts w:hint="eastAsia" w:ascii="仿宋" w:hAnsi="仿宋" w:eastAsia="仿宋" w:cs="仿宋"/>
          <w:sz w:val="24"/>
        </w:rPr>
        <w:t>2.4设计阶段：</w:t>
      </w:r>
      <w:r>
        <w:rPr>
          <w:rFonts w:hint="eastAsia" w:ascii="仿宋" w:hAnsi="仿宋" w:eastAsia="仿宋" w:cs="仿宋"/>
          <w:color w:val="4472C4" w:themeColor="accent5"/>
          <w:sz w:val="24"/>
          <w14:textFill>
            <w14:solidFill>
              <w14:schemeClr w14:val="accent5"/>
            </w14:solidFill>
          </w14:textFill>
        </w:rPr>
        <w:t>初步设计、施工图设计（</w:t>
      </w:r>
      <w:r>
        <w:rPr>
          <w:rFonts w:hint="eastAsia" w:ascii="仿宋" w:hAnsi="仿宋" w:eastAsia="仿宋" w:cs="仿宋"/>
          <w:color w:val="4472C4" w:themeColor="accent5"/>
          <w:sz w:val="24"/>
          <w:szCs w:val="24"/>
          <w14:textFill>
            <w14:solidFill>
              <w14:schemeClr w14:val="accent5"/>
            </w14:solidFill>
          </w14:textFill>
        </w:rPr>
        <w:t>其中界石后子冲公交站场（一期）项目包含方案设计内容</w:t>
      </w:r>
      <w:r>
        <w:rPr>
          <w:rFonts w:hint="eastAsia" w:ascii="仿宋" w:hAnsi="仿宋" w:eastAsia="仿宋" w:cs="仿宋"/>
          <w:color w:val="4472C4" w:themeColor="accent5"/>
          <w:sz w:val="24"/>
          <w14:textFill>
            <w14:solidFill>
              <w14:schemeClr w14:val="accent5"/>
            </w14:solidFill>
          </w14:textFill>
        </w:rPr>
        <w:t>）</w:t>
      </w:r>
    </w:p>
    <w:p>
      <w:pPr>
        <w:ind w:firstLine="480" w:firstLineChars="200"/>
        <w:rPr>
          <w:rFonts w:ascii="仿宋" w:hAnsi="仿宋" w:eastAsia="仿宋" w:cs="仿宋"/>
          <w:sz w:val="24"/>
        </w:rPr>
      </w:pPr>
      <w:r>
        <w:rPr>
          <w:rFonts w:hint="eastAsia" w:ascii="仿宋" w:hAnsi="仿宋" w:eastAsia="仿宋" w:cs="仿宋"/>
          <w:sz w:val="24"/>
        </w:rPr>
        <w:t>2.5设计范围：</w:t>
      </w:r>
    </w:p>
    <w:p>
      <w:pPr>
        <w:pStyle w:val="11"/>
        <w:numPr>
          <w:ilvl w:val="0"/>
          <w:numId w:val="6"/>
        </w:numPr>
        <w:adjustRightInd w:val="0"/>
        <w:snapToGrid w:val="0"/>
        <w:spacing w:before="0" w:after="0" w:line="500" w:lineRule="exact"/>
        <w:ind w:firstLine="480" w:firstLineChars="200"/>
        <w:jc w:val="left"/>
        <w:rPr>
          <w:rFonts w:hint="eastAsia"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初步设计、施工图设计（其中界石后子冲公交站场（一期）项目包含方案设计内容）。设计成果按照建筑主管部门要求及深度提供。其中初设和施设包含绿建（二星）、BIM技术应用（审查深度）、海绵城市、节能、基坑边坡、装配式、室内装饰（初装修）、景观园林、室外工程、智能化（监控、智能道闸、安防、综合网络布线）及交通工程设计。</w:t>
      </w:r>
    </w:p>
    <w:p>
      <w:pPr>
        <w:pStyle w:val="11"/>
        <w:numPr>
          <w:ilvl w:val="0"/>
          <w:numId w:val="6"/>
        </w:numPr>
        <w:adjustRightInd w:val="0"/>
        <w:snapToGrid w:val="0"/>
        <w:spacing w:before="0" w:after="0" w:line="500" w:lineRule="exact"/>
        <w:ind w:firstLine="480" w:firstLineChars="200"/>
        <w:jc w:val="left"/>
        <w:rPr>
          <w:rFonts w:hint="eastAsia"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配合建设单位进行报建审批等工作。</w:t>
      </w:r>
    </w:p>
    <w:p>
      <w:pPr>
        <w:pStyle w:val="11"/>
        <w:numPr>
          <w:ilvl w:val="0"/>
          <w:numId w:val="6"/>
        </w:numPr>
        <w:adjustRightInd w:val="0"/>
        <w:snapToGrid w:val="0"/>
        <w:spacing w:before="0" w:after="0" w:line="500" w:lineRule="exact"/>
        <w:ind w:firstLine="480" w:firstLineChars="200"/>
        <w:jc w:val="left"/>
        <w:rPr>
          <w:rFonts w:ascii="仿宋" w:hAnsi="仿宋" w:eastAsia="仿宋" w:cs="仿宋"/>
          <w:b w:val="0"/>
          <w:bCs w:val="0"/>
          <w:color w:val="4472C4" w:themeColor="accent5"/>
          <w:sz w:val="24"/>
          <w:szCs w:val="24"/>
          <w14:textFill>
            <w14:solidFill>
              <w14:schemeClr w14:val="accent5"/>
            </w14:solidFill>
          </w14:textFill>
        </w:rPr>
      </w:pPr>
      <w:r>
        <w:rPr>
          <w:rFonts w:hint="eastAsia" w:ascii="仿宋" w:hAnsi="仿宋" w:eastAsia="仿宋" w:cs="仿宋"/>
          <w:b w:val="0"/>
          <w:bCs w:val="0"/>
          <w:color w:val="4472C4" w:themeColor="accent5"/>
          <w:sz w:val="24"/>
          <w:szCs w:val="24"/>
          <w14:textFill>
            <w14:solidFill>
              <w14:schemeClr w14:val="accent5"/>
            </w14:solidFill>
          </w14:textFill>
        </w:rPr>
        <w:t>协助建设单位进行公交站场标准化建设。</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 xml:space="preserve">第三条  </w:t>
      </w:r>
      <w:r>
        <w:rPr>
          <w:rFonts w:hint="eastAsia" w:ascii="仿宋" w:hAnsi="仿宋" w:eastAsia="仿宋" w:cs="仿宋"/>
          <w:bCs/>
          <w:sz w:val="24"/>
        </w:rPr>
        <w:t>发包人应向设计人提交的有关资料及文件</w:t>
      </w:r>
    </w:p>
    <w:tbl>
      <w:tblPr>
        <w:tblStyle w:val="14"/>
        <w:tblW w:w="9287"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7"/>
        <w:gridCol w:w="3258"/>
        <w:gridCol w:w="815"/>
        <w:gridCol w:w="2667"/>
        <w:gridCol w:w="16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88" w:hRule="atLeast"/>
          <w:jc w:val="center"/>
        </w:trPr>
        <w:tc>
          <w:tcPr>
            <w:tcW w:w="937" w:type="dxa"/>
            <w:tcBorders>
              <w:top w:val="single" w:color="auto" w:sz="8" w:space="0"/>
              <w:left w:val="single" w:color="auto" w:sz="8" w:space="0"/>
              <w:bottom w:val="single" w:color="auto" w:sz="6" w:space="0"/>
              <w:right w:val="single" w:color="auto" w:sz="6" w:space="0"/>
            </w:tcBorders>
            <w:vAlign w:val="center"/>
          </w:tcPr>
          <w:p>
            <w:pPr>
              <w:jc w:val="left"/>
              <w:rPr>
                <w:rFonts w:ascii="仿宋" w:hAnsi="仿宋" w:eastAsia="仿宋" w:cs="仿宋"/>
                <w:sz w:val="22"/>
                <w:szCs w:val="22"/>
              </w:rPr>
            </w:pPr>
            <w:r>
              <w:rPr>
                <w:rFonts w:hint="eastAsia" w:ascii="仿宋" w:hAnsi="仿宋" w:eastAsia="仿宋" w:cs="仿宋"/>
                <w:sz w:val="22"/>
                <w:szCs w:val="22"/>
              </w:rPr>
              <w:t>序号</w:t>
            </w:r>
          </w:p>
        </w:tc>
        <w:tc>
          <w:tcPr>
            <w:tcW w:w="3258" w:type="dxa"/>
            <w:tcBorders>
              <w:top w:val="single" w:color="auto" w:sz="8" w:space="0"/>
              <w:left w:val="single" w:color="auto" w:sz="6" w:space="0"/>
              <w:bottom w:val="single" w:color="auto" w:sz="6" w:space="0"/>
              <w:right w:val="single" w:color="auto" w:sz="6" w:space="0"/>
            </w:tcBorders>
            <w:vAlign w:val="center"/>
          </w:tcPr>
          <w:p>
            <w:pPr>
              <w:jc w:val="left"/>
              <w:rPr>
                <w:rFonts w:ascii="仿宋" w:hAnsi="仿宋" w:eastAsia="仿宋" w:cs="仿宋"/>
                <w:sz w:val="22"/>
                <w:szCs w:val="22"/>
              </w:rPr>
            </w:pPr>
            <w:r>
              <w:rPr>
                <w:rFonts w:hint="eastAsia" w:ascii="仿宋" w:hAnsi="仿宋" w:eastAsia="仿宋" w:cs="仿宋"/>
                <w:sz w:val="22"/>
                <w:szCs w:val="22"/>
              </w:rPr>
              <w:t>资料及文件名称</w:t>
            </w:r>
          </w:p>
        </w:tc>
        <w:tc>
          <w:tcPr>
            <w:tcW w:w="815" w:type="dxa"/>
            <w:tcBorders>
              <w:top w:val="single" w:color="auto" w:sz="8" w:space="0"/>
              <w:left w:val="single" w:color="auto" w:sz="6" w:space="0"/>
              <w:bottom w:val="single" w:color="auto" w:sz="6" w:space="0"/>
              <w:right w:val="single" w:color="auto" w:sz="6" w:space="0"/>
            </w:tcBorders>
            <w:vAlign w:val="center"/>
          </w:tcPr>
          <w:p>
            <w:pPr>
              <w:jc w:val="left"/>
              <w:rPr>
                <w:rFonts w:ascii="仿宋" w:hAnsi="仿宋" w:eastAsia="仿宋" w:cs="仿宋"/>
                <w:sz w:val="22"/>
                <w:szCs w:val="22"/>
              </w:rPr>
            </w:pPr>
            <w:r>
              <w:rPr>
                <w:rFonts w:hint="eastAsia" w:ascii="仿宋" w:hAnsi="仿宋" w:eastAsia="仿宋" w:cs="仿宋"/>
                <w:sz w:val="22"/>
                <w:szCs w:val="22"/>
              </w:rPr>
              <w:t>份数</w:t>
            </w:r>
          </w:p>
        </w:tc>
        <w:tc>
          <w:tcPr>
            <w:tcW w:w="2667" w:type="dxa"/>
            <w:tcBorders>
              <w:top w:val="single" w:color="auto" w:sz="8" w:space="0"/>
              <w:left w:val="single" w:color="auto" w:sz="6" w:space="0"/>
              <w:bottom w:val="single" w:color="auto" w:sz="6" w:space="0"/>
              <w:right w:val="single" w:color="auto" w:sz="6" w:space="0"/>
            </w:tcBorders>
            <w:vAlign w:val="center"/>
          </w:tcPr>
          <w:p>
            <w:pPr>
              <w:jc w:val="center"/>
              <w:rPr>
                <w:rFonts w:ascii="仿宋" w:hAnsi="仿宋" w:eastAsia="仿宋" w:cs="仿宋"/>
                <w:sz w:val="22"/>
                <w:szCs w:val="22"/>
              </w:rPr>
            </w:pPr>
            <w:r>
              <w:rPr>
                <w:rFonts w:hint="eastAsia" w:ascii="仿宋" w:hAnsi="仿宋" w:eastAsia="仿宋" w:cs="仿宋"/>
                <w:sz w:val="22"/>
                <w:szCs w:val="22"/>
              </w:rPr>
              <w:t>提交日期</w:t>
            </w:r>
          </w:p>
        </w:tc>
        <w:tc>
          <w:tcPr>
            <w:tcW w:w="1610" w:type="dxa"/>
            <w:tcBorders>
              <w:top w:val="single" w:color="auto" w:sz="8" w:space="0"/>
              <w:left w:val="single" w:color="auto" w:sz="6" w:space="0"/>
              <w:bottom w:val="single" w:color="auto" w:sz="6" w:space="0"/>
              <w:right w:val="single" w:color="auto" w:sz="8" w:space="0"/>
            </w:tcBorders>
            <w:vAlign w:val="center"/>
          </w:tcPr>
          <w:p>
            <w:pPr>
              <w:jc w:val="left"/>
              <w:rPr>
                <w:rFonts w:ascii="仿宋" w:hAnsi="仿宋" w:eastAsia="仿宋" w:cs="仿宋"/>
                <w:sz w:val="22"/>
                <w:szCs w:val="22"/>
              </w:rPr>
            </w:pPr>
            <w:r>
              <w:rPr>
                <w:rFonts w:hint="eastAsia" w:ascii="仿宋" w:hAnsi="仿宋" w:eastAsia="仿宋" w:cs="仿宋"/>
                <w:sz w:val="22"/>
                <w:szCs w:val="22"/>
              </w:rPr>
              <w:t>有关事宜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7" w:hRule="atLeast"/>
          <w:jc w:val="center"/>
        </w:trPr>
        <w:tc>
          <w:tcPr>
            <w:tcW w:w="937" w:type="dxa"/>
            <w:tcBorders>
              <w:top w:val="single" w:color="auto" w:sz="6" w:space="0"/>
              <w:left w:val="single" w:color="auto" w:sz="8" w:space="0"/>
              <w:bottom w:val="single" w:color="auto" w:sz="6" w:space="0"/>
              <w:right w:val="single" w:color="auto" w:sz="6" w:space="0"/>
            </w:tcBorders>
            <w:vAlign w:val="center"/>
          </w:tcPr>
          <w:p>
            <w:pPr>
              <w:shd w:val="clear"/>
              <w:spacing w:line="360" w:lineRule="auto"/>
              <w:jc w:val="center"/>
              <w:rPr>
                <w:rFonts w:ascii="仿宋" w:hAnsi="仿宋" w:eastAsia="仿宋" w:cs="仿宋"/>
                <w:sz w:val="22"/>
                <w:szCs w:val="22"/>
                <w:highlight w:val="none"/>
              </w:rPr>
            </w:pPr>
            <w:r>
              <w:rPr>
                <w:rFonts w:hint="eastAsia" w:ascii="仿宋" w:hAnsi="仿宋" w:eastAsia="仿宋" w:cs="仿宋"/>
                <w:sz w:val="22"/>
                <w:szCs w:val="22"/>
                <w:highlight w:val="none"/>
              </w:rPr>
              <w:t>1</w:t>
            </w:r>
          </w:p>
        </w:tc>
        <w:tc>
          <w:tcPr>
            <w:tcW w:w="3258" w:type="dxa"/>
            <w:tcBorders>
              <w:top w:val="single" w:color="auto" w:sz="6" w:space="0"/>
              <w:left w:val="single" w:color="auto" w:sz="6" w:space="0"/>
              <w:bottom w:val="single" w:color="auto" w:sz="6" w:space="0"/>
              <w:right w:val="single" w:color="auto" w:sz="6" w:space="0"/>
            </w:tcBorders>
            <w:vAlign w:val="center"/>
          </w:tcPr>
          <w:p>
            <w:pPr>
              <w:shd w:val="clear"/>
              <w:jc w:val="left"/>
              <w:rPr>
                <w:rFonts w:ascii="仿宋" w:hAnsi="仿宋" w:eastAsia="仿宋" w:cs="仿宋"/>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批准的设计任务书；已通过审批的方案及有关批文；地勘资料；道路规划资料设计要求等</w:t>
            </w:r>
          </w:p>
        </w:tc>
        <w:tc>
          <w:tcPr>
            <w:tcW w:w="815" w:type="dxa"/>
            <w:tcBorders>
              <w:top w:val="single" w:color="auto" w:sz="6" w:space="0"/>
              <w:left w:val="single" w:color="auto" w:sz="6" w:space="0"/>
              <w:bottom w:val="single" w:color="auto" w:sz="6" w:space="0"/>
              <w:right w:val="single" w:color="auto" w:sz="6" w:space="0"/>
            </w:tcBorders>
            <w:vAlign w:val="center"/>
          </w:tcPr>
          <w:p>
            <w:pPr>
              <w:shd w:val="clear"/>
              <w:spacing w:line="360" w:lineRule="auto"/>
              <w:jc w:val="center"/>
              <w:rPr>
                <w:rFonts w:ascii="仿宋" w:hAnsi="仿宋" w:eastAsia="仿宋" w:cs="仿宋"/>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1</w:t>
            </w:r>
          </w:p>
        </w:tc>
        <w:tc>
          <w:tcPr>
            <w:tcW w:w="2667" w:type="dxa"/>
            <w:tcBorders>
              <w:top w:val="single" w:color="auto" w:sz="6" w:space="0"/>
              <w:left w:val="single" w:color="auto" w:sz="6" w:space="0"/>
              <w:bottom w:val="single" w:color="auto" w:sz="6" w:space="0"/>
              <w:right w:val="single" w:color="auto" w:sz="6" w:space="0"/>
            </w:tcBorders>
            <w:vAlign w:val="center"/>
          </w:tcPr>
          <w:p>
            <w:pPr>
              <w:shd w:val="clear"/>
              <w:spacing w:line="360" w:lineRule="auto"/>
              <w:jc w:val="center"/>
              <w:rPr>
                <w:rFonts w:ascii="仿宋" w:hAnsi="仿宋" w:eastAsia="仿宋" w:cs="仿宋"/>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合同签</w:t>
            </w:r>
            <w:r>
              <w:rPr>
                <w:rFonts w:hint="eastAsia" w:ascii="仿宋" w:hAnsi="仿宋" w:eastAsia="仿宋" w:cs="仿宋"/>
                <w:color w:val="4472C4" w:themeColor="accent5"/>
                <w:sz w:val="22"/>
                <w:szCs w:val="22"/>
                <w:highlight w:val="none"/>
                <w:lang w:val="en-US" w:eastAsia="zh-CN"/>
                <w14:textFill>
                  <w14:solidFill>
                    <w14:schemeClr w14:val="accent5"/>
                  </w14:solidFill>
                </w14:textFill>
              </w:rPr>
              <w:t>订</w:t>
            </w:r>
            <w:r>
              <w:rPr>
                <w:rFonts w:hint="eastAsia" w:ascii="仿宋" w:hAnsi="仿宋" w:eastAsia="仿宋" w:cs="仿宋"/>
                <w:color w:val="4472C4" w:themeColor="accent5"/>
                <w:sz w:val="22"/>
                <w:szCs w:val="22"/>
                <w:highlight w:val="none"/>
                <w14:textFill>
                  <w14:solidFill>
                    <w14:schemeClr w14:val="accent5"/>
                  </w14:solidFill>
                </w14:textFill>
              </w:rPr>
              <w:t>后5日</w:t>
            </w:r>
          </w:p>
        </w:tc>
        <w:tc>
          <w:tcPr>
            <w:tcW w:w="1610" w:type="dxa"/>
            <w:tcBorders>
              <w:top w:val="single" w:color="auto" w:sz="6" w:space="0"/>
              <w:left w:val="single" w:color="auto" w:sz="6" w:space="0"/>
              <w:bottom w:val="single" w:color="auto" w:sz="6" w:space="0"/>
              <w:right w:val="single" w:color="auto" w:sz="8" w:space="0"/>
            </w:tcBorders>
            <w:vAlign w:val="center"/>
          </w:tcPr>
          <w:p>
            <w:pPr>
              <w:shd w:val="clear"/>
              <w:spacing w:line="360" w:lineRule="auto"/>
              <w:jc w:val="left"/>
              <w:rPr>
                <w:rFonts w:ascii="仿宋" w:hAnsi="仿宋" w:eastAsia="仿宋" w:cs="仿宋"/>
                <w:sz w:val="22"/>
                <w:szCs w:val="22"/>
                <w:highlight w:val="none"/>
              </w:rPr>
            </w:pPr>
          </w:p>
        </w:tc>
      </w:tr>
    </w:tbl>
    <w:p>
      <w:pPr>
        <w:shd w:val="clea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 xml:space="preserve">第四条  </w:t>
      </w:r>
      <w:r>
        <w:rPr>
          <w:rFonts w:hint="eastAsia" w:ascii="仿宋" w:hAnsi="仿宋" w:eastAsia="仿宋" w:cs="仿宋"/>
          <w:bCs/>
          <w:sz w:val="24"/>
          <w:highlight w:val="none"/>
        </w:rPr>
        <w:t>设计人应向发包人交付的设计资料及文件</w:t>
      </w:r>
    </w:p>
    <w:tbl>
      <w:tblPr>
        <w:tblStyle w:val="14"/>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471"/>
        <w:gridCol w:w="554"/>
        <w:gridCol w:w="1112"/>
        <w:gridCol w:w="4484"/>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trPr>
        <w:tc>
          <w:tcPr>
            <w:tcW w:w="847"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序号</w:t>
            </w:r>
          </w:p>
        </w:tc>
        <w:tc>
          <w:tcPr>
            <w:tcW w:w="1471"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资料及文件名称</w:t>
            </w:r>
          </w:p>
        </w:tc>
        <w:tc>
          <w:tcPr>
            <w:tcW w:w="554"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份数</w:t>
            </w:r>
          </w:p>
        </w:tc>
        <w:tc>
          <w:tcPr>
            <w:tcW w:w="1112"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光盘份数</w:t>
            </w:r>
          </w:p>
        </w:tc>
        <w:tc>
          <w:tcPr>
            <w:tcW w:w="4484"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提交日期</w:t>
            </w:r>
          </w:p>
        </w:tc>
        <w:tc>
          <w:tcPr>
            <w:tcW w:w="927" w:type="dxa"/>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有关</w:t>
            </w:r>
          </w:p>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4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1</w:t>
            </w:r>
          </w:p>
        </w:tc>
        <w:tc>
          <w:tcPr>
            <w:tcW w:w="1471"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方案设计</w:t>
            </w:r>
          </w:p>
        </w:tc>
        <w:tc>
          <w:tcPr>
            <w:tcW w:w="554"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4</w:t>
            </w:r>
          </w:p>
        </w:tc>
        <w:tc>
          <w:tcPr>
            <w:tcW w:w="1112"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1</w:t>
            </w:r>
          </w:p>
        </w:tc>
        <w:tc>
          <w:tcPr>
            <w:tcW w:w="4484" w:type="dxa"/>
            <w:tcBorders>
              <w:bottom w:val="single" w:color="auto" w:sz="4" w:space="0"/>
            </w:tcBorders>
            <w:vAlign w:val="center"/>
          </w:tcPr>
          <w:p>
            <w:pPr>
              <w:shd w:val="clear"/>
              <w:spacing w:line="360" w:lineRule="exact"/>
              <w:jc w:val="left"/>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在设计合同签订后20个工作日内提交方案设计文件。</w:t>
            </w:r>
          </w:p>
        </w:tc>
        <w:tc>
          <w:tcPr>
            <w:tcW w:w="92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84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2</w:t>
            </w:r>
          </w:p>
        </w:tc>
        <w:tc>
          <w:tcPr>
            <w:tcW w:w="1471"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初步设计</w:t>
            </w:r>
          </w:p>
        </w:tc>
        <w:tc>
          <w:tcPr>
            <w:tcW w:w="554"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4</w:t>
            </w:r>
          </w:p>
        </w:tc>
        <w:tc>
          <w:tcPr>
            <w:tcW w:w="1112"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1</w:t>
            </w:r>
          </w:p>
        </w:tc>
        <w:tc>
          <w:tcPr>
            <w:tcW w:w="4484" w:type="dxa"/>
            <w:vAlign w:val="center"/>
          </w:tcPr>
          <w:p>
            <w:pPr>
              <w:shd w:val="clear"/>
              <w:spacing w:line="360" w:lineRule="exact"/>
              <w:jc w:val="left"/>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在项目取得工程规划许可后20个工作日内提交初步设计文件。</w:t>
            </w:r>
          </w:p>
        </w:tc>
        <w:tc>
          <w:tcPr>
            <w:tcW w:w="92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84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r>
              <w:rPr>
                <w:rFonts w:hint="eastAsia" w:ascii="仿宋" w:hAnsi="仿宋" w:eastAsia="仿宋" w:cs="仿宋"/>
                <w:bCs/>
                <w:sz w:val="22"/>
                <w:szCs w:val="22"/>
                <w:highlight w:val="none"/>
              </w:rPr>
              <w:t>3</w:t>
            </w:r>
          </w:p>
        </w:tc>
        <w:tc>
          <w:tcPr>
            <w:tcW w:w="1471"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施工图设计</w:t>
            </w:r>
          </w:p>
        </w:tc>
        <w:tc>
          <w:tcPr>
            <w:tcW w:w="554" w:type="dxa"/>
            <w:tcBorders>
              <w:bottom w:val="single" w:color="auto" w:sz="4" w:space="0"/>
            </w:tcBorders>
            <w:vAlign w:val="center"/>
          </w:tcPr>
          <w:p>
            <w:pPr>
              <w:shd w:val="clear"/>
              <w:spacing w:line="360" w:lineRule="exact"/>
              <w:jc w:val="center"/>
              <w:rPr>
                <w:rFonts w:hint="eastAsia" w:ascii="仿宋" w:hAnsi="仿宋" w:eastAsia="仿宋" w:cs="仿宋"/>
                <w:bCs/>
                <w:color w:val="4472C4" w:themeColor="accent5"/>
                <w:sz w:val="22"/>
                <w:szCs w:val="22"/>
                <w:highlight w:val="none"/>
                <w:lang w:val="en-US" w:eastAsia="zh-CN"/>
                <w14:textFill>
                  <w14:solidFill>
                    <w14:schemeClr w14:val="accent5"/>
                  </w14:solidFill>
                </w14:textFill>
              </w:rPr>
            </w:pP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8</w:t>
            </w:r>
          </w:p>
        </w:tc>
        <w:tc>
          <w:tcPr>
            <w:tcW w:w="1112"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1</w:t>
            </w:r>
          </w:p>
        </w:tc>
        <w:tc>
          <w:tcPr>
            <w:tcW w:w="4484" w:type="dxa"/>
            <w:vAlign w:val="center"/>
          </w:tcPr>
          <w:p>
            <w:pPr>
              <w:shd w:val="clear"/>
              <w:spacing w:line="360" w:lineRule="exact"/>
              <w:jc w:val="left"/>
              <w:rPr>
                <w:rFonts w:ascii="仿宋" w:hAnsi="仿宋" w:eastAsia="仿宋" w:cs="仿宋"/>
                <w:color w:val="4472C4" w:themeColor="accent5"/>
                <w:sz w:val="22"/>
                <w:szCs w:val="22"/>
                <w:highlight w:val="none"/>
                <w14:textFill>
                  <w14:solidFill>
                    <w14:schemeClr w14:val="accent5"/>
                  </w14:solidFill>
                </w14:textFill>
              </w:rPr>
            </w:pPr>
            <w:r>
              <w:rPr>
                <w:rFonts w:hint="eastAsia" w:ascii="仿宋" w:hAnsi="仿宋" w:eastAsia="仿宋" w:cs="仿宋"/>
                <w:color w:val="4472C4" w:themeColor="accent5"/>
                <w:sz w:val="22"/>
                <w:szCs w:val="22"/>
                <w:highlight w:val="none"/>
                <w14:textFill>
                  <w14:solidFill>
                    <w14:schemeClr w14:val="accent5"/>
                  </w14:solidFill>
                </w14:textFill>
              </w:rPr>
              <w:t>取得初设批复后20个工作日内提交施工图设计文件。</w:t>
            </w:r>
          </w:p>
        </w:tc>
        <w:tc>
          <w:tcPr>
            <w:tcW w:w="92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84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c>
          <w:tcPr>
            <w:tcW w:w="1471" w:type="dxa"/>
            <w:tcBorders>
              <w:bottom w:val="single" w:color="auto" w:sz="4" w:space="0"/>
            </w:tcBorders>
            <w:vAlign w:val="center"/>
          </w:tcPr>
          <w:p>
            <w:pPr>
              <w:shd w:val="clear"/>
              <w:spacing w:line="360" w:lineRule="exact"/>
              <w:jc w:val="center"/>
              <w:rPr>
                <w:rFonts w:ascii="仿宋" w:hAnsi="仿宋" w:eastAsia="仿宋" w:cs="仿宋"/>
                <w:bCs/>
                <w:color w:val="4472C4" w:themeColor="accent5"/>
                <w:sz w:val="22"/>
                <w:szCs w:val="22"/>
                <w:highlight w:val="none"/>
                <w14:textFill>
                  <w14:solidFill>
                    <w14:schemeClr w14:val="accent5"/>
                  </w14:solidFill>
                </w14:textFill>
              </w:rPr>
            </w:pPr>
          </w:p>
        </w:tc>
        <w:tc>
          <w:tcPr>
            <w:tcW w:w="554"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c>
          <w:tcPr>
            <w:tcW w:w="1112"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c>
          <w:tcPr>
            <w:tcW w:w="4484" w:type="dxa"/>
            <w:vAlign w:val="center"/>
          </w:tcPr>
          <w:p>
            <w:pPr>
              <w:shd w:val="clear"/>
              <w:spacing w:line="360" w:lineRule="exact"/>
              <w:jc w:val="left"/>
              <w:rPr>
                <w:rFonts w:ascii="仿宋" w:hAnsi="仿宋" w:eastAsia="仿宋" w:cs="仿宋"/>
                <w:sz w:val="22"/>
                <w:szCs w:val="22"/>
                <w:highlight w:val="none"/>
              </w:rPr>
            </w:pPr>
          </w:p>
        </w:tc>
        <w:tc>
          <w:tcPr>
            <w:tcW w:w="927" w:type="dxa"/>
            <w:tcBorders>
              <w:bottom w:val="single" w:color="auto" w:sz="4" w:space="0"/>
            </w:tcBorders>
            <w:vAlign w:val="center"/>
          </w:tcPr>
          <w:p>
            <w:pPr>
              <w:shd w:val="clear"/>
              <w:spacing w:line="360" w:lineRule="exact"/>
              <w:jc w:val="center"/>
              <w:rPr>
                <w:rFonts w:ascii="仿宋" w:hAnsi="仿宋" w:eastAsia="仿宋" w:cs="仿宋"/>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847" w:type="dxa"/>
            <w:tcBorders>
              <w:bottom w:val="single" w:color="auto" w:sz="4" w:space="0"/>
            </w:tcBorders>
            <w:vAlign w:val="center"/>
          </w:tcPr>
          <w:p>
            <w:pPr>
              <w:spacing w:line="360" w:lineRule="exact"/>
              <w:jc w:val="center"/>
              <w:rPr>
                <w:rFonts w:ascii="仿宋" w:hAnsi="仿宋" w:eastAsia="仿宋" w:cs="仿宋"/>
                <w:bCs/>
                <w:sz w:val="22"/>
                <w:szCs w:val="22"/>
              </w:rPr>
            </w:pPr>
          </w:p>
        </w:tc>
        <w:tc>
          <w:tcPr>
            <w:tcW w:w="8548" w:type="dxa"/>
            <w:gridSpan w:val="5"/>
            <w:tcBorders>
              <w:bottom w:val="single" w:color="auto" w:sz="4" w:space="0"/>
            </w:tcBorders>
            <w:vAlign w:val="center"/>
          </w:tcPr>
          <w:p>
            <w:pPr>
              <w:spacing w:line="360" w:lineRule="exact"/>
              <w:jc w:val="left"/>
              <w:rPr>
                <w:rFonts w:ascii="仿宋" w:hAnsi="仿宋" w:eastAsia="仿宋" w:cs="仿宋"/>
                <w:bCs/>
                <w:sz w:val="22"/>
                <w:szCs w:val="22"/>
              </w:rPr>
            </w:pPr>
            <w:r>
              <w:rPr>
                <w:rFonts w:hint="eastAsia" w:ascii="仿宋" w:hAnsi="仿宋" w:eastAsia="仿宋" w:cs="仿宋"/>
                <w:bCs/>
                <w:sz w:val="22"/>
                <w:szCs w:val="22"/>
              </w:rPr>
              <w:t>注：</w:t>
            </w:r>
          </w:p>
          <w:p>
            <w:pPr>
              <w:spacing w:line="360" w:lineRule="exact"/>
              <w:jc w:val="left"/>
              <w:rPr>
                <w:rFonts w:ascii="仿宋" w:hAnsi="仿宋" w:eastAsia="仿宋" w:cs="仿宋"/>
                <w:bCs/>
                <w:sz w:val="22"/>
                <w:szCs w:val="22"/>
              </w:rPr>
            </w:pPr>
            <w:r>
              <w:rPr>
                <w:rFonts w:hint="eastAsia" w:ascii="仿宋" w:hAnsi="仿宋" w:eastAsia="仿宋" w:cs="仿宋"/>
                <w:bCs/>
                <w:sz w:val="22"/>
                <w:szCs w:val="22"/>
              </w:rPr>
              <w:t>1.如发包方原因影响设计进度，则设计周期顺延。</w:t>
            </w:r>
          </w:p>
          <w:p>
            <w:pPr>
              <w:spacing w:line="360" w:lineRule="exact"/>
              <w:jc w:val="left"/>
              <w:rPr>
                <w:rFonts w:ascii="仿宋" w:hAnsi="仿宋" w:eastAsia="仿宋" w:cs="仿宋"/>
                <w:bCs/>
                <w:sz w:val="22"/>
                <w:szCs w:val="22"/>
              </w:rPr>
            </w:pPr>
            <w:r>
              <w:rPr>
                <w:rFonts w:hint="eastAsia" w:ascii="仿宋" w:hAnsi="仿宋" w:eastAsia="仿宋" w:cs="仿宋"/>
                <w:bCs/>
                <w:sz w:val="22"/>
                <w:szCs w:val="22"/>
              </w:rPr>
              <w:t>2.各阶段设计成果资料除提交文本资料外，均应提交电子成果存档，且电子成果必须与纸质资料保持一致。</w:t>
            </w:r>
          </w:p>
          <w:p>
            <w:pPr>
              <w:spacing w:line="360" w:lineRule="exact"/>
              <w:jc w:val="left"/>
              <w:rPr>
                <w:rFonts w:ascii="仿宋" w:hAnsi="仿宋" w:eastAsia="仿宋" w:cs="仿宋"/>
                <w:bCs/>
                <w:sz w:val="22"/>
                <w:szCs w:val="22"/>
              </w:rPr>
            </w:pPr>
            <w:r>
              <w:rPr>
                <w:rFonts w:hint="eastAsia" w:ascii="仿宋" w:hAnsi="仿宋" w:eastAsia="仿宋" w:cs="仿宋"/>
                <w:bCs/>
                <w:sz w:val="22"/>
                <w:szCs w:val="22"/>
              </w:rPr>
              <w:t>3.其他应按相关规定提交的设计文件资料。</w:t>
            </w:r>
          </w:p>
          <w:p>
            <w:pPr>
              <w:spacing w:line="360" w:lineRule="exact"/>
              <w:jc w:val="left"/>
              <w:rPr>
                <w:rFonts w:hint="eastAsia" w:ascii="仿宋" w:hAnsi="仿宋" w:eastAsia="仿宋" w:cs="仿宋"/>
                <w:sz w:val="24"/>
                <w:szCs w:val="24"/>
              </w:rPr>
            </w:pPr>
            <w:r>
              <w:rPr>
                <w:rFonts w:hint="eastAsia" w:ascii="仿宋" w:hAnsi="仿宋" w:eastAsia="仿宋" w:cs="仿宋"/>
                <w:bCs/>
                <w:sz w:val="22"/>
                <w:szCs w:val="22"/>
              </w:rPr>
              <w:t>4.所需成果份数超过规定数时由发包人按成本价购买。</w:t>
            </w:r>
          </w:p>
        </w:tc>
      </w:tr>
    </w:tbl>
    <w:p>
      <w:pPr>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b/>
          <w:sz w:val="24"/>
        </w:rPr>
        <w:t xml:space="preserve">第五条 </w:t>
      </w:r>
      <w:r>
        <w:rPr>
          <w:rFonts w:hint="eastAsia" w:ascii="仿宋" w:hAnsi="仿宋" w:eastAsia="仿宋" w:cs="仿宋"/>
          <w:bCs/>
          <w:sz w:val="24"/>
        </w:rPr>
        <w:t>合同支付及结算</w:t>
      </w:r>
    </w:p>
    <w:p>
      <w:pPr>
        <w:keepNext w:val="0"/>
        <w:keepLines w:val="0"/>
        <w:pageBreakBefore w:val="0"/>
        <w:widowControl w:val="0"/>
        <w:kinsoku/>
        <w:wordWrap/>
        <w:overflowPunct/>
        <w:topLinePunct w:val="0"/>
        <w:autoSpaceDE/>
        <w:autoSpaceDN/>
        <w:bidi w:val="0"/>
        <w:adjustRightInd/>
        <w:snapToGrid/>
        <w:ind w:left="0" w:leftChars="0" w:right="0" w:rightChars="0" w:firstLine="440" w:firstLineChars="200"/>
        <w:textAlignment w:val="auto"/>
        <w:outlineLvl w:val="9"/>
        <w:rPr>
          <w:rFonts w:hint="eastAsia" w:ascii="仿宋" w:hAnsi="仿宋" w:eastAsia="仿宋" w:cs="仿宋"/>
          <w:bCs/>
          <w:sz w:val="22"/>
          <w:szCs w:val="22"/>
        </w:rPr>
      </w:pPr>
      <w:r>
        <w:rPr>
          <w:rFonts w:hint="eastAsia" w:ascii="仿宋" w:hAnsi="仿宋" w:eastAsia="仿宋" w:cs="仿宋"/>
          <w:bCs/>
          <w:sz w:val="22"/>
          <w:szCs w:val="22"/>
          <w:lang w:val="en-US" w:eastAsia="zh-CN"/>
        </w:rPr>
        <w:t xml:space="preserve">5.1合同价款： </w:t>
      </w:r>
      <w:r>
        <w:rPr>
          <w:rFonts w:hint="eastAsia" w:ascii="仿宋" w:hAnsi="仿宋" w:eastAsia="仿宋" w:cs="仿宋"/>
          <w:bCs/>
          <w:sz w:val="22"/>
          <w:szCs w:val="22"/>
        </w:rPr>
        <w:t>本合同设计费用建议参考重庆市勘察设计协会2020年4月发布的渝设协字【2020】3号《重庆市建筑市政工程勘察、设计收费指导意见》工程设计收费要求以工程造价（建安费）进行插值取费，所有系数取1，方案阶段比例取20%，初设比例取25%，施工图比例取45%，施工配合阶段取10%。设计费结算根据概算批复工程造价金额结算，若无法取得概算批复按照清单工程造价费用结算。设计费用中标下浮比率为</w:t>
      </w:r>
      <w:r>
        <w:rPr>
          <w:rFonts w:hint="eastAsia" w:ascii="仿宋" w:hAnsi="仿宋" w:eastAsia="仿宋" w:cs="仿宋"/>
          <w:bCs/>
          <w:color w:val="4472C4" w:themeColor="accent5"/>
          <w:sz w:val="22"/>
          <w:szCs w:val="22"/>
          <w:u w:val="single"/>
          <w14:textFill>
            <w14:solidFill>
              <w14:schemeClr w14:val="accent5"/>
            </w14:solidFill>
          </w14:textFill>
        </w:rPr>
        <w:t xml:space="preserve">     </w:t>
      </w:r>
      <w:r>
        <w:rPr>
          <w:rFonts w:hint="eastAsia" w:ascii="仿宋" w:hAnsi="仿宋" w:eastAsia="仿宋" w:cs="仿宋"/>
          <w:bCs/>
          <w:color w:val="4472C4" w:themeColor="accent5"/>
          <w:sz w:val="22"/>
          <w:szCs w:val="22"/>
          <w14:textFill>
            <w14:solidFill>
              <w14:schemeClr w14:val="accent5"/>
            </w14:solidFill>
          </w14:textFill>
        </w:rPr>
        <w:t xml:space="preserve">% </w:t>
      </w:r>
      <w:r>
        <w:rPr>
          <w:rFonts w:hint="eastAsia" w:ascii="仿宋" w:hAnsi="仿宋" w:eastAsia="仿宋" w:cs="仿宋"/>
          <w:bCs/>
          <w:sz w:val="22"/>
          <w:szCs w:val="22"/>
        </w:rPr>
        <w:t>，若发生工程项目安全评估（论证），其他专项设计等其他服务内容，参考《重庆市建筑市政工程勘察、设计收费指导意见》的单项收费标准，并按照下浮比例结算支付相应费用。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sz w:val="22"/>
          <w:szCs w:val="22"/>
          <w:highlight w:val="none"/>
        </w:rPr>
      </w:pPr>
      <w:r>
        <w:rPr>
          <w:rFonts w:hint="eastAsia" w:ascii="仿宋" w:hAnsi="仿宋" w:eastAsia="仿宋" w:cs="仿宋"/>
          <w:bCs/>
          <w:sz w:val="22"/>
          <w:szCs w:val="22"/>
          <w:highlight w:val="none"/>
        </w:rPr>
        <w:t>本工程总投资暂估为</w:t>
      </w:r>
      <w:r>
        <w:rPr>
          <w:rFonts w:hint="eastAsia" w:ascii="仿宋" w:hAnsi="仿宋" w:eastAsia="仿宋" w:cs="仿宋"/>
          <w:bCs/>
          <w:sz w:val="22"/>
          <w:szCs w:val="22"/>
          <w:highlight w:val="none"/>
          <w:lang w:val="en-US" w:eastAsia="zh-CN"/>
        </w:rPr>
        <w:t>xx万</w:t>
      </w:r>
      <w:r>
        <w:rPr>
          <w:rFonts w:hint="eastAsia" w:ascii="仿宋" w:hAnsi="仿宋" w:eastAsia="仿宋" w:cs="仿宋"/>
          <w:bCs/>
          <w:sz w:val="22"/>
          <w:szCs w:val="22"/>
          <w:highlight w:val="none"/>
        </w:rPr>
        <w:t>元，根据收费标准计算设计费用限价为</w:t>
      </w: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xx</w:t>
      </w:r>
      <w:r>
        <w:rPr>
          <w:rFonts w:hint="eastAsia" w:ascii="仿宋" w:hAnsi="仿宋" w:eastAsia="仿宋" w:cs="仿宋"/>
          <w:bCs/>
          <w:color w:val="4472C4" w:themeColor="accent5"/>
          <w:sz w:val="22"/>
          <w:szCs w:val="22"/>
          <w:highlight w:val="none"/>
          <w14:textFill>
            <w14:solidFill>
              <w14:schemeClr w14:val="accent5"/>
            </w14:solidFill>
          </w14:textFill>
        </w:rPr>
        <w:t>万元</w:t>
      </w:r>
      <w:r>
        <w:rPr>
          <w:rFonts w:hint="eastAsia" w:ascii="仿宋" w:hAnsi="仿宋" w:eastAsia="仿宋" w:cs="仿宋"/>
          <w:bCs/>
          <w:sz w:val="22"/>
          <w:szCs w:val="22"/>
          <w:highlight w:val="none"/>
        </w:rPr>
        <w:t>。结合中标下浮比率计算本合同暂定价为：</w:t>
      </w:r>
      <w:r>
        <w:rPr>
          <w:rFonts w:hint="eastAsia" w:ascii="仿宋" w:hAnsi="仿宋" w:eastAsia="仿宋" w:cs="仿宋"/>
          <w:bCs/>
          <w:sz w:val="22"/>
          <w:szCs w:val="22"/>
          <w:highlight w:val="none"/>
          <w:lang w:val="en-US" w:eastAsia="zh-CN"/>
        </w:rPr>
        <w:t>xxx项目</w:t>
      </w:r>
      <w:r>
        <w:rPr>
          <w:rFonts w:hint="eastAsia" w:ascii="仿宋" w:hAnsi="仿宋" w:eastAsia="仿宋" w:cs="仿宋"/>
          <w:bCs/>
          <w:sz w:val="22"/>
          <w:szCs w:val="22"/>
          <w:highlight w:val="none"/>
        </w:rPr>
        <w:t>设计费为</w:t>
      </w:r>
      <w:r>
        <w:rPr>
          <w:rFonts w:hint="eastAsia" w:ascii="仿宋" w:hAnsi="仿宋" w:eastAsia="仿宋" w:cs="仿宋"/>
          <w:bCs/>
          <w:sz w:val="22"/>
          <w:szCs w:val="22"/>
          <w:highlight w:val="none"/>
          <w:lang w:val="en-US" w:eastAsia="zh-CN"/>
        </w:rPr>
        <w:t>xxx</w:t>
      </w:r>
      <w:r>
        <w:rPr>
          <w:rFonts w:hint="eastAsia" w:ascii="仿宋" w:hAnsi="仿宋" w:eastAsia="仿宋" w:cs="仿宋"/>
          <w:bCs/>
          <w:sz w:val="22"/>
          <w:szCs w:val="22"/>
          <w:highlight w:val="none"/>
        </w:rPr>
        <w:t xml:space="preserve">×（1－    %）= </w:t>
      </w:r>
      <w:r>
        <w:rPr>
          <w:rFonts w:hint="eastAsia" w:ascii="仿宋" w:hAnsi="仿宋" w:eastAsia="仿宋" w:cs="仿宋"/>
          <w:bCs/>
          <w:sz w:val="22"/>
          <w:szCs w:val="22"/>
          <w:highlight w:val="none"/>
          <w:lang w:eastAsia="zh-CN"/>
        </w:rPr>
        <w:t>人民币</w:t>
      </w:r>
      <w:r>
        <w:rPr>
          <w:rFonts w:hint="eastAsia" w:ascii="仿宋" w:hAnsi="仿宋" w:eastAsia="仿宋" w:cs="仿宋"/>
          <w:bCs/>
          <w:sz w:val="22"/>
          <w:szCs w:val="22"/>
          <w:highlight w:val="none"/>
          <w:u w:val="single"/>
        </w:rPr>
        <w:t xml:space="preserve">    </w:t>
      </w:r>
      <w:r>
        <w:rPr>
          <w:rFonts w:hint="eastAsia" w:ascii="仿宋" w:hAnsi="仿宋" w:eastAsia="仿宋" w:cs="仿宋"/>
          <w:bCs/>
          <w:sz w:val="22"/>
          <w:szCs w:val="22"/>
          <w:highlight w:val="none"/>
        </w:rPr>
        <w:t>元</w:t>
      </w:r>
      <w:r>
        <w:rPr>
          <w:rFonts w:hint="eastAsia" w:ascii="仿宋" w:hAnsi="仿宋" w:eastAsia="仿宋" w:cs="仿宋"/>
          <w:bCs/>
          <w:sz w:val="22"/>
          <w:szCs w:val="22"/>
          <w:highlight w:val="none"/>
          <w:lang w:eastAsia="zh-CN"/>
        </w:rPr>
        <w:t>，大写</w:t>
      </w:r>
      <w:r>
        <w:rPr>
          <w:rFonts w:hint="eastAsia" w:ascii="仿宋" w:hAnsi="仿宋" w:eastAsia="仿宋" w:cs="仿宋"/>
          <w:bCs/>
          <w:sz w:val="22"/>
          <w:szCs w:val="22"/>
          <w:highlight w:val="none"/>
          <w:u w:val="single"/>
          <w:lang w:val="en-US" w:eastAsia="zh-CN"/>
        </w:rPr>
        <w:t xml:space="preserve">              </w:t>
      </w:r>
      <w:r>
        <w:rPr>
          <w:rFonts w:hint="eastAsia" w:ascii="仿宋" w:hAnsi="仿宋" w:eastAsia="仿宋" w:cs="仿宋"/>
          <w:bCs/>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sz w:val="22"/>
          <w:szCs w:val="22"/>
        </w:rPr>
      </w:pPr>
      <w:r>
        <w:rPr>
          <w:rFonts w:hint="eastAsia" w:ascii="仿宋" w:hAnsi="仿宋" w:eastAsia="仿宋" w:cs="仿宋"/>
          <w:bCs/>
          <w:sz w:val="22"/>
          <w:szCs w:val="22"/>
        </w:rPr>
        <w:t>方案设计费、初步设计费、施工图设计费按批复的总投资中的建安费进行结算。该价格包含开展设计工作所产生的所有费用，包含但不限于专家评审费、材料费、人工费、综合管理费、利润、税金等相关手续的所有费用。</w:t>
      </w:r>
    </w:p>
    <w:p>
      <w:pPr>
        <w:keepNext w:val="0"/>
        <w:keepLines w:val="0"/>
        <w:pageBreakBefore w:val="0"/>
        <w:widowControl w:val="0"/>
        <w:kinsoku/>
        <w:wordWrap/>
        <w:overflowPunct/>
        <w:topLinePunct w:val="0"/>
        <w:autoSpaceDE/>
        <w:autoSpaceDN/>
        <w:bidi w:val="0"/>
        <w:adjustRightInd/>
        <w:snapToGrid/>
        <w:ind w:left="0" w:leftChars="0" w:right="0" w:rightChars="0" w:firstLine="482" w:firstLineChars="200"/>
        <w:textAlignment w:val="auto"/>
        <w:outlineLvl w:val="9"/>
        <w:rPr>
          <w:rFonts w:hint="eastAsia" w:ascii="仿宋" w:hAnsi="仿宋" w:eastAsia="仿宋" w:cs="仿宋"/>
          <w:b/>
          <w:bCs w:val="0"/>
          <w:color w:val="4472C4" w:themeColor="accent5"/>
          <w:sz w:val="24"/>
          <w14:textFill>
            <w14:solidFill>
              <w14:schemeClr w14:val="accent5"/>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sz w:val="22"/>
          <w:szCs w:val="22"/>
        </w:rPr>
      </w:pPr>
      <w:r>
        <w:rPr>
          <w:rFonts w:hint="eastAsia" w:ascii="仿宋" w:hAnsi="仿宋" w:eastAsia="仿宋" w:cs="仿宋"/>
          <w:bCs/>
          <w:sz w:val="22"/>
          <w:szCs w:val="22"/>
          <w:lang w:val="en-US" w:eastAsia="zh-CN"/>
        </w:rPr>
        <w:t xml:space="preserve">5.2 </w:t>
      </w:r>
      <w:r>
        <w:rPr>
          <w:rFonts w:hint="eastAsia" w:ascii="仿宋" w:hAnsi="仿宋" w:eastAsia="仿宋" w:cs="仿宋"/>
          <w:bCs/>
          <w:sz w:val="22"/>
          <w:szCs w:val="22"/>
        </w:rPr>
        <w:t>设计费支付进度：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1）</w:t>
      </w:r>
      <w:r>
        <w:rPr>
          <w:rFonts w:hint="eastAsia" w:ascii="仿宋" w:hAnsi="仿宋" w:eastAsia="仿宋" w:cs="仿宋"/>
          <w:bCs/>
          <w:color w:val="4472C4" w:themeColor="accent5"/>
          <w:sz w:val="22"/>
          <w:szCs w:val="22"/>
          <w14:textFill>
            <w14:solidFill>
              <w14:schemeClr w14:val="accent5"/>
            </w14:solidFill>
          </w14:textFill>
        </w:rPr>
        <w:t>界石后子冲公交站场（一期）支付方式：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14:textFill>
            <w14:solidFill>
              <w14:schemeClr w14:val="accent5"/>
            </w14:solidFill>
          </w14:textFill>
        </w:rPr>
      </w:pPr>
      <w:r>
        <w:rPr>
          <w:rFonts w:hint="eastAsia" w:ascii="仿宋" w:hAnsi="仿宋" w:eastAsia="仿宋" w:cs="仿宋"/>
          <w:bCs/>
          <w:color w:val="4472C4" w:themeColor="accent5"/>
          <w:sz w:val="22"/>
          <w:szCs w:val="22"/>
          <w14:textFill>
            <w14:solidFill>
              <w14:schemeClr w14:val="accent5"/>
            </w14:solidFill>
          </w14:textFill>
        </w:rPr>
        <w:t>第一次支付：合同签订后支付暂定合同费用的10%；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14:textFill>
            <w14:solidFill>
              <w14:schemeClr w14:val="accent5"/>
            </w14:solidFill>
          </w14:textFill>
        </w:rPr>
      </w:pPr>
      <w:r>
        <w:rPr>
          <w:rFonts w:hint="eastAsia" w:ascii="仿宋" w:hAnsi="仿宋" w:eastAsia="仿宋" w:cs="仿宋"/>
          <w:bCs/>
          <w:color w:val="4472C4" w:themeColor="accent5"/>
          <w:sz w:val="22"/>
          <w:szCs w:val="22"/>
          <w14:textFill>
            <w14:solidFill>
              <w14:schemeClr w14:val="accent5"/>
            </w14:solidFill>
          </w14:textFill>
        </w:rPr>
        <w:t>第二次支付：完成方案设计并经发包人同意后支付暂定合同费用的30%；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14:textFill>
            <w14:solidFill>
              <w14:schemeClr w14:val="accent5"/>
            </w14:solidFill>
          </w14:textFill>
        </w:rPr>
      </w:pPr>
      <w:r>
        <w:rPr>
          <w:rFonts w:hint="eastAsia" w:ascii="仿宋" w:hAnsi="仿宋" w:eastAsia="仿宋" w:cs="仿宋"/>
          <w:bCs/>
          <w:color w:val="4472C4" w:themeColor="accent5"/>
          <w:sz w:val="22"/>
          <w:szCs w:val="22"/>
          <w14:textFill>
            <w14:solidFill>
              <w14:schemeClr w14:val="accent5"/>
            </w14:solidFill>
          </w14:textFill>
        </w:rPr>
        <w:t>第三次支付：完成施工图技术审查报告后支付暂定合同费用的40%；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第四次支付：竣工验收后支付</w:t>
      </w:r>
      <w:r>
        <w:rPr>
          <w:rFonts w:hint="eastAsia" w:ascii="仿宋" w:hAnsi="仿宋" w:eastAsia="仿宋" w:cs="仿宋"/>
          <w:bCs/>
          <w:color w:val="4472C4" w:themeColor="accent5"/>
          <w:sz w:val="22"/>
          <w:szCs w:val="22"/>
          <w:highlight w:val="none"/>
          <w:lang w:eastAsia="zh-CN"/>
          <w14:textFill>
            <w14:solidFill>
              <w14:schemeClr w14:val="accent5"/>
            </w14:solidFill>
          </w14:textFill>
        </w:rPr>
        <w:t>至</w:t>
      </w:r>
      <w:r>
        <w:rPr>
          <w:rFonts w:hint="eastAsia" w:ascii="仿宋" w:hAnsi="仿宋" w:eastAsia="仿宋" w:cs="仿宋"/>
          <w:bCs/>
          <w:color w:val="4472C4" w:themeColor="accent5"/>
          <w:sz w:val="22"/>
          <w:szCs w:val="22"/>
          <w:highlight w:val="none"/>
          <w14:textFill>
            <w14:solidFill>
              <w14:schemeClr w14:val="accent5"/>
            </w14:solidFill>
          </w14:textFill>
        </w:rPr>
        <w:t>按照工程量限价清单</w:t>
      </w:r>
      <w:r>
        <w:rPr>
          <w:rFonts w:hint="eastAsia" w:ascii="仿宋" w:hAnsi="仿宋" w:eastAsia="仿宋" w:cs="仿宋"/>
          <w:bCs/>
          <w:color w:val="4472C4" w:themeColor="accent5"/>
          <w:sz w:val="22"/>
          <w:szCs w:val="22"/>
          <w:highlight w:val="none"/>
          <w:lang w:eastAsia="zh-CN"/>
          <w14:textFill>
            <w14:solidFill>
              <w14:schemeClr w14:val="accent5"/>
            </w14:solidFill>
          </w14:textFill>
        </w:rPr>
        <w:t>计算</w:t>
      </w:r>
      <w:r>
        <w:rPr>
          <w:rFonts w:hint="eastAsia" w:ascii="仿宋" w:hAnsi="仿宋" w:eastAsia="仿宋" w:cs="仿宋"/>
          <w:bCs/>
          <w:color w:val="4472C4" w:themeColor="accent5"/>
          <w:sz w:val="22"/>
          <w:szCs w:val="22"/>
          <w:highlight w:val="none"/>
          <w14:textFill>
            <w14:solidFill>
              <w14:schemeClr w14:val="accent5"/>
            </w14:solidFill>
          </w14:textFill>
        </w:rPr>
        <w:t>的设计费</w:t>
      </w:r>
      <w:r>
        <w:rPr>
          <w:rFonts w:hint="eastAsia" w:ascii="仿宋" w:hAnsi="仿宋" w:eastAsia="仿宋" w:cs="仿宋"/>
          <w:bCs/>
          <w:color w:val="4472C4" w:themeColor="accent5"/>
          <w:sz w:val="22"/>
          <w:szCs w:val="22"/>
          <w:highlight w:val="none"/>
          <w:lang w:eastAsia="zh-CN"/>
          <w14:textFill>
            <w14:solidFill>
              <w14:schemeClr w14:val="accent5"/>
            </w14:solidFill>
          </w14:textFill>
        </w:rPr>
        <w:t>的</w:t>
      </w: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100%</w:t>
      </w:r>
      <w:r>
        <w:rPr>
          <w:rFonts w:hint="eastAsia" w:ascii="仿宋" w:hAnsi="仿宋" w:eastAsia="仿宋" w:cs="仿宋"/>
          <w:bCs/>
          <w:color w:val="4472C4" w:themeColor="accent5"/>
          <w:sz w:val="22"/>
          <w:szCs w:val="22"/>
          <w:highlight w:val="none"/>
          <w:lang w:eastAsia="zh-CN"/>
          <w14:textFill>
            <w14:solidFill>
              <w14:schemeClr w14:val="accent5"/>
            </w14:solidFill>
          </w14:textFill>
        </w:rPr>
        <w:t>并支付补偿条款中明确的补偿设计费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2）</w:t>
      </w:r>
      <w:r>
        <w:rPr>
          <w:rFonts w:hint="eastAsia" w:ascii="仿宋" w:hAnsi="仿宋" w:eastAsia="仿宋" w:cs="仿宋"/>
          <w:bCs/>
          <w:color w:val="4472C4" w:themeColor="accent5"/>
          <w:sz w:val="22"/>
          <w:szCs w:val="22"/>
          <w:highlight w:val="none"/>
          <w14:textFill>
            <w14:solidFill>
              <w14:schemeClr w14:val="accent5"/>
            </w14:solidFill>
          </w14:textFill>
        </w:rPr>
        <w:t>其他项目支付方式：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第一次支付：合同签订后支付暂定合同费用的10%；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第二次支付：取得初设批复后支付暂定合同费用的30%；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第三次支付：取得施工图审查合格书后支付暂定合同费用的40%；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14:textFill>
            <w14:solidFill>
              <w14:schemeClr w14:val="accent5"/>
            </w14:solidFill>
          </w14:textFill>
        </w:rPr>
      </w:pPr>
      <w:r>
        <w:rPr>
          <w:rFonts w:hint="eastAsia" w:ascii="仿宋" w:hAnsi="仿宋" w:eastAsia="仿宋" w:cs="仿宋"/>
          <w:bCs/>
          <w:color w:val="4472C4" w:themeColor="accent5"/>
          <w:sz w:val="22"/>
          <w:szCs w:val="22"/>
          <w:highlight w:val="none"/>
          <w14:textFill>
            <w14:solidFill>
              <w14:schemeClr w14:val="accent5"/>
            </w14:solidFill>
          </w14:textFill>
        </w:rPr>
        <w:t>第四次支付：竣工验收后支付</w:t>
      </w:r>
      <w:r>
        <w:rPr>
          <w:rFonts w:hint="eastAsia" w:ascii="仿宋" w:hAnsi="仿宋" w:eastAsia="仿宋" w:cs="仿宋"/>
          <w:bCs/>
          <w:color w:val="4472C4" w:themeColor="accent5"/>
          <w:sz w:val="22"/>
          <w:szCs w:val="22"/>
          <w:highlight w:val="none"/>
          <w:lang w:eastAsia="zh-CN"/>
          <w14:textFill>
            <w14:solidFill>
              <w14:schemeClr w14:val="accent5"/>
            </w14:solidFill>
          </w14:textFill>
        </w:rPr>
        <w:t>至</w:t>
      </w:r>
      <w:r>
        <w:rPr>
          <w:rFonts w:hint="eastAsia" w:ascii="仿宋" w:hAnsi="仿宋" w:eastAsia="仿宋" w:cs="仿宋"/>
          <w:bCs/>
          <w:color w:val="4472C4" w:themeColor="accent5"/>
          <w:sz w:val="22"/>
          <w:szCs w:val="22"/>
          <w:highlight w:val="none"/>
          <w14:textFill>
            <w14:solidFill>
              <w14:schemeClr w14:val="accent5"/>
            </w14:solidFill>
          </w14:textFill>
        </w:rPr>
        <w:t>按照概算批复</w:t>
      </w:r>
      <w:r>
        <w:rPr>
          <w:rFonts w:hint="eastAsia" w:ascii="仿宋" w:hAnsi="仿宋" w:eastAsia="仿宋" w:cs="仿宋"/>
          <w:bCs/>
          <w:color w:val="4472C4" w:themeColor="accent5"/>
          <w:sz w:val="22"/>
          <w:szCs w:val="22"/>
          <w:highlight w:val="none"/>
          <w:lang w:eastAsia="zh-CN"/>
          <w14:textFill>
            <w14:solidFill>
              <w14:schemeClr w14:val="accent5"/>
            </w14:solidFill>
          </w14:textFill>
        </w:rPr>
        <w:t>计</w:t>
      </w:r>
      <w:r>
        <w:rPr>
          <w:rFonts w:hint="eastAsia" w:ascii="仿宋" w:hAnsi="仿宋" w:eastAsia="仿宋" w:cs="仿宋"/>
          <w:bCs/>
          <w:color w:val="4472C4" w:themeColor="accent5"/>
          <w:sz w:val="22"/>
          <w:szCs w:val="22"/>
          <w:highlight w:val="none"/>
          <w14:textFill>
            <w14:solidFill>
              <w14:schemeClr w14:val="accent5"/>
            </w14:solidFill>
          </w14:textFill>
        </w:rPr>
        <w:t>算的设计费</w:t>
      </w: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100%并支付</w:t>
      </w:r>
      <w:r>
        <w:rPr>
          <w:rFonts w:hint="eastAsia" w:ascii="仿宋" w:hAnsi="仿宋" w:eastAsia="仿宋" w:cs="仿宋"/>
          <w:bCs/>
          <w:color w:val="4472C4" w:themeColor="accent5"/>
          <w:sz w:val="22"/>
          <w:szCs w:val="22"/>
          <w:highlight w:val="none"/>
          <w:lang w:eastAsia="zh-CN"/>
          <w14:textFill>
            <w14:solidFill>
              <w14:schemeClr w14:val="accent5"/>
            </w14:solidFill>
          </w14:textFill>
        </w:rPr>
        <w:t>补偿条款中明确的补偿设计费</w:t>
      </w:r>
      <w:r>
        <w:rPr>
          <w:rFonts w:hint="eastAsia" w:ascii="仿宋" w:hAnsi="仿宋" w:eastAsia="仿宋" w:cs="仿宋"/>
          <w:bCs/>
          <w:color w:val="4472C4" w:themeColor="accent5"/>
          <w:sz w:val="22"/>
          <w:szCs w:val="22"/>
          <w:highlight w:val="none"/>
          <w14:textFill>
            <w14:solidFill>
              <w14:schemeClr w14:val="accent5"/>
            </w14:solidFill>
          </w14:textFill>
        </w:rPr>
        <w:t>；</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ascii="仿宋" w:hAnsi="仿宋" w:eastAsia="仿宋" w:cs="仿宋"/>
          <w:bCs/>
          <w:sz w:val="24"/>
        </w:rPr>
      </w:pPr>
      <w:r>
        <w:rPr>
          <w:rFonts w:hint="eastAsia" w:ascii="仿宋" w:hAnsi="仿宋" w:eastAsia="仿宋" w:cs="仿宋"/>
          <w:bCs/>
          <w:sz w:val="24"/>
        </w:rPr>
        <w:t>说明：付款前设计人应先向发包人提交等额符合发包人要求的发票（增值税专用发票）及支付申请。</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ascii="仿宋" w:hAnsi="仿宋" w:eastAsia="仿宋" w:cs="仿宋"/>
          <w:bCs/>
          <w:sz w:val="24"/>
        </w:rPr>
      </w:pPr>
      <w:r>
        <w:rPr>
          <w:rFonts w:hint="eastAsia" w:ascii="仿宋" w:hAnsi="仿宋" w:eastAsia="仿宋" w:cs="仿宋"/>
          <w:bCs/>
          <w:sz w:val="24"/>
        </w:rPr>
        <w:t>发包人开户信息及地址：</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eastAsia" w:ascii="仿宋" w:hAnsi="仿宋" w:eastAsia="仿宋" w:cs="仿宋"/>
          <w:bCs/>
          <w:sz w:val="24"/>
        </w:rPr>
      </w:pPr>
      <w:r>
        <w:rPr>
          <w:rFonts w:hint="eastAsia" w:ascii="仿宋" w:hAnsi="仿宋" w:eastAsia="仿宋" w:cs="仿宋"/>
          <w:bCs/>
          <w:sz w:val="24"/>
        </w:rPr>
        <w:t>名   称：重庆城市综合交通枢纽（集团）有限公司</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eastAsia" w:ascii="仿宋" w:hAnsi="仿宋" w:eastAsia="仿宋" w:cs="仿宋"/>
          <w:bCs/>
          <w:sz w:val="24"/>
        </w:rPr>
      </w:pPr>
      <w:r>
        <w:rPr>
          <w:rFonts w:hint="eastAsia" w:ascii="仿宋" w:hAnsi="仿宋" w:eastAsia="仿宋" w:cs="仿宋"/>
          <w:bCs/>
          <w:sz w:val="24"/>
        </w:rPr>
        <w:t>纳税人识别号：915000002030278529</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eastAsia" w:ascii="仿宋" w:hAnsi="仿宋" w:eastAsia="仿宋" w:cs="仿宋"/>
          <w:bCs/>
          <w:sz w:val="24"/>
        </w:rPr>
      </w:pPr>
      <w:r>
        <w:rPr>
          <w:rFonts w:hint="eastAsia" w:ascii="仿宋" w:hAnsi="仿宋" w:eastAsia="仿宋" w:cs="仿宋"/>
          <w:bCs/>
          <w:sz w:val="24"/>
        </w:rPr>
        <w:t>地址、电话：重庆市北部新区泰山大道东段梧桐路6号88602665</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ascii="仿宋" w:hAnsi="仿宋" w:eastAsia="仿宋" w:cs="仿宋"/>
          <w:bCs/>
          <w:sz w:val="24"/>
        </w:rPr>
      </w:pPr>
      <w:r>
        <w:rPr>
          <w:rFonts w:hint="eastAsia" w:ascii="仿宋" w:hAnsi="仿宋" w:eastAsia="仿宋" w:cs="仿宋"/>
          <w:bCs/>
          <w:sz w:val="24"/>
        </w:rPr>
        <w:t>开户行及账号：浦发银行解放碑支行83150154900000062</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firstLineChars="200"/>
        <w:jc w:val="left"/>
        <w:textAlignment w:val="auto"/>
        <w:outlineLvl w:val="9"/>
        <w:rPr>
          <w:rFonts w:hint="eastAsia" w:ascii="仿宋" w:hAnsi="仿宋" w:eastAsia="仿宋" w:cs="仿宋"/>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sz w:val="22"/>
          <w:szCs w:val="22"/>
        </w:rPr>
      </w:pPr>
      <w:r>
        <w:rPr>
          <w:rFonts w:hint="eastAsia" w:ascii="仿宋" w:hAnsi="仿宋" w:eastAsia="仿宋" w:cs="仿宋"/>
          <w:bCs/>
          <w:sz w:val="22"/>
          <w:szCs w:val="22"/>
          <w:lang w:val="en-US" w:eastAsia="zh-CN"/>
        </w:rPr>
        <w:t xml:space="preserve">5.3 </w:t>
      </w:r>
      <w:r>
        <w:rPr>
          <w:rFonts w:hint="eastAsia" w:ascii="仿宋" w:hAnsi="仿宋" w:eastAsia="仿宋" w:cs="仿宋"/>
          <w:bCs/>
          <w:sz w:val="22"/>
          <w:szCs w:val="22"/>
        </w:rPr>
        <w:t>发生重大调整与颠覆性变化时的设计费补偿条款</w:t>
      </w:r>
      <w:r>
        <w:rPr>
          <w:rFonts w:hint="eastAsia" w:ascii="仿宋" w:hAnsi="仿宋" w:eastAsia="仿宋" w:cs="仿宋"/>
          <w:bCs/>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14:textFill>
            <w14:solidFill>
              <w14:schemeClr w14:val="accent5"/>
            </w14:solidFill>
          </w14:textFill>
        </w:rPr>
      </w:pPr>
      <w:r>
        <w:rPr>
          <w:rFonts w:hint="eastAsia" w:ascii="仿宋" w:hAnsi="仿宋" w:eastAsia="仿宋" w:cs="仿宋"/>
          <w:bCs/>
          <w:color w:val="4472C4" w:themeColor="accent5"/>
          <w:sz w:val="22"/>
          <w:szCs w:val="22"/>
          <w14:textFill>
            <w14:solidFill>
              <w14:schemeClr w14:val="accent5"/>
            </w14:solidFill>
          </w14:textFill>
        </w:rPr>
        <w:t>设计人提交的成果经发包人认可后（内部审查会讨论通过并出具会议纪要），因发包人要求（交通开投集团和行政主管部门提出的修改意见不在此列）再次发生重大调整或颠覆性变化时按下列条款补偿设计人已完成设计工作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val="en-US" w:eastAsia="zh-CN"/>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1）</w:t>
      </w:r>
      <w:r>
        <w:rPr>
          <w:rFonts w:hint="eastAsia" w:ascii="仿宋" w:hAnsi="仿宋" w:eastAsia="仿宋" w:cs="仿宋"/>
          <w:bCs/>
          <w:color w:val="4472C4" w:themeColor="accent5"/>
          <w:sz w:val="22"/>
          <w:szCs w:val="22"/>
          <w:lang w:eastAsia="zh-CN"/>
          <w14:textFill>
            <w14:solidFill>
              <w14:schemeClr w14:val="accent5"/>
            </w14:solidFill>
          </w14:textFill>
        </w:rPr>
        <w:t>方案阶段</w:t>
      </w:r>
      <w:r>
        <w:rPr>
          <w:rFonts w:hint="eastAsia" w:ascii="仿宋" w:hAnsi="仿宋" w:eastAsia="仿宋" w:cs="仿宋"/>
          <w:bCs/>
          <w:color w:val="4472C4" w:themeColor="accent5"/>
          <w:sz w:val="22"/>
          <w:szCs w:val="22"/>
          <w:lang w:val="en-US" w:eastAsia="zh-CN"/>
          <w14:textFill>
            <w14:solidFill>
              <w14:schemeClr w14:val="accent5"/>
            </w14:solidFill>
          </w14:textFill>
        </w:rPr>
        <w:t>的补偿费用：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lang w:val="en-US" w:eastAsia="zh-CN"/>
          <w14:textFill>
            <w14:solidFill>
              <w14:schemeClr w14:val="accent5"/>
            </w14:solidFill>
          </w14:textFill>
        </w:rPr>
      </w:pP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（1）补偿已完工作80%费用：用地位置调整（地块编号变化）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highlight w:val="none"/>
          <w:lang w:val="en-US" w:eastAsia="zh-CN"/>
          <w14:textFill>
            <w14:solidFill>
              <w14:schemeClr w14:val="accent5"/>
            </w14:solidFill>
          </w14:textFill>
        </w:rPr>
      </w:pP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（2）补偿已完工作50%费用：用地条件发生重大调整：（a）用地面积增减超过原面积的30%；（b）建筑物（含地下）规模增减超过原规模50%；（c）场地重要控制点（场地出入口；建筑物±0.00）标高变化超过10m。</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val="en-US" w:eastAsia="zh-CN"/>
          <w14:textFill>
            <w14:solidFill>
              <w14:schemeClr w14:val="accent5"/>
            </w14:solidFill>
          </w14:textFill>
        </w:rPr>
      </w:pPr>
      <w:r>
        <w:rPr>
          <w:rFonts w:hint="eastAsia" w:ascii="仿宋" w:hAnsi="仿宋" w:eastAsia="仿宋" w:cs="仿宋"/>
          <w:bCs/>
          <w:color w:val="4472C4" w:themeColor="accent5"/>
          <w:sz w:val="22"/>
          <w:szCs w:val="22"/>
          <w:highlight w:val="none"/>
          <w:lang w:eastAsia="zh-CN"/>
          <w14:textFill>
            <w14:solidFill>
              <w14:schemeClr w14:val="accent5"/>
            </w14:solidFill>
          </w14:textFill>
        </w:rPr>
        <w:t>（</w:t>
      </w:r>
      <w:r>
        <w:rPr>
          <w:rFonts w:hint="eastAsia" w:ascii="仿宋" w:hAnsi="仿宋" w:eastAsia="仿宋" w:cs="仿宋"/>
          <w:bCs/>
          <w:color w:val="4472C4" w:themeColor="accent5"/>
          <w:sz w:val="22"/>
          <w:szCs w:val="22"/>
          <w:highlight w:val="none"/>
          <w14:textFill>
            <w14:solidFill>
              <w14:schemeClr w14:val="accent5"/>
            </w14:solidFill>
          </w14:textFill>
        </w:rPr>
        <w:t>3</w:t>
      </w:r>
      <w:r>
        <w:rPr>
          <w:rFonts w:hint="eastAsia" w:ascii="仿宋" w:hAnsi="仿宋" w:eastAsia="仿宋" w:cs="仿宋"/>
          <w:bCs/>
          <w:color w:val="4472C4" w:themeColor="accent5"/>
          <w:sz w:val="22"/>
          <w:szCs w:val="22"/>
          <w:highlight w:val="none"/>
          <w:lang w:eastAsia="zh-CN"/>
          <w14:textFill>
            <w14:solidFill>
              <w14:schemeClr w14:val="accent5"/>
            </w14:solidFill>
          </w14:textFill>
        </w:rPr>
        <w:t>）</w:t>
      </w:r>
      <w:r>
        <w:rPr>
          <w:rFonts w:hint="eastAsia" w:ascii="仿宋" w:hAnsi="仿宋" w:eastAsia="仿宋" w:cs="仿宋"/>
          <w:bCs/>
          <w:color w:val="4472C4" w:themeColor="accent5"/>
          <w:sz w:val="22"/>
          <w:szCs w:val="22"/>
          <w:highlight w:val="none"/>
          <w14:textFill>
            <w14:solidFill>
              <w14:schemeClr w14:val="accent5"/>
            </w14:solidFill>
          </w14:textFill>
        </w:rPr>
        <w:t>已完工工作费用的计算</w:t>
      </w:r>
      <w:r>
        <w:rPr>
          <w:rFonts w:hint="eastAsia" w:ascii="仿宋" w:hAnsi="仿宋" w:eastAsia="仿宋" w:cs="仿宋"/>
          <w:bCs/>
          <w:color w:val="4472C4" w:themeColor="accent5"/>
          <w:sz w:val="22"/>
          <w:szCs w:val="22"/>
          <w:highlight w:val="none"/>
          <w:lang w:eastAsia="zh-CN"/>
          <w14:textFill>
            <w14:solidFill>
              <w14:schemeClr w14:val="accent5"/>
            </w14:solidFill>
          </w14:textFill>
        </w:rPr>
        <w:t>：</w:t>
      </w:r>
      <w:r>
        <w:rPr>
          <w:rFonts w:hint="eastAsia" w:ascii="仿宋" w:hAnsi="仿宋" w:eastAsia="仿宋" w:cs="仿宋"/>
          <w:bCs/>
          <w:color w:val="4472C4" w:themeColor="accent5"/>
          <w:sz w:val="22"/>
          <w:szCs w:val="22"/>
          <w:highlight w:val="none"/>
          <w:lang w:val="en-US" w:eastAsia="zh-CN"/>
          <w14:textFill>
            <w14:solidFill>
              <w14:schemeClr w14:val="accent5"/>
            </w14:solidFill>
          </w14:textFill>
        </w:rPr>
        <w:t>已完成</w:t>
      </w:r>
      <w:r>
        <w:rPr>
          <w:rFonts w:hint="eastAsia" w:ascii="仿宋" w:hAnsi="仿宋" w:eastAsia="仿宋" w:cs="仿宋"/>
          <w:bCs/>
          <w:color w:val="4472C4" w:themeColor="accent5"/>
          <w:sz w:val="22"/>
          <w:szCs w:val="22"/>
          <w:lang w:val="en-US" w:eastAsia="zh-CN"/>
          <w14:textFill>
            <w14:solidFill>
              <w14:schemeClr w14:val="accent5"/>
            </w14:solidFill>
          </w14:textFill>
        </w:rPr>
        <w:t>设计费结算根据最终版本概算批复工程造价金额的80%为基数计算设计费用，若无法取得概算批复按照清单工程造价费用的80%为基数计算设计费用。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val="en-US" w:eastAsia="zh-CN"/>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例：设计人提交成果（原方案）</w:t>
      </w:r>
      <w:r>
        <w:rPr>
          <w:rFonts w:hint="eastAsia" w:ascii="仿宋" w:hAnsi="仿宋" w:eastAsia="仿宋" w:cs="仿宋"/>
          <w:bCs/>
          <w:color w:val="4472C4" w:themeColor="accent5"/>
          <w:sz w:val="22"/>
          <w:szCs w:val="22"/>
          <w14:textFill>
            <w14:solidFill>
              <w14:schemeClr w14:val="accent5"/>
            </w14:solidFill>
          </w14:textFill>
        </w:rPr>
        <w:t>经发包人认可后（内部审查会讨论通过并出具会议纪要）</w:t>
      </w:r>
      <w:r>
        <w:rPr>
          <w:rFonts w:hint="eastAsia" w:ascii="仿宋" w:hAnsi="仿宋" w:eastAsia="仿宋" w:cs="仿宋"/>
          <w:bCs/>
          <w:color w:val="4472C4" w:themeColor="accent5"/>
          <w:sz w:val="22"/>
          <w:szCs w:val="22"/>
          <w:lang w:eastAsia="zh-CN"/>
          <w14:textFill>
            <w14:solidFill>
              <w14:schemeClr w14:val="accent5"/>
            </w14:solidFill>
          </w14:textFill>
        </w:rPr>
        <w:t>，但</w:t>
      </w:r>
      <w:r>
        <w:rPr>
          <w:rFonts w:hint="eastAsia" w:ascii="仿宋" w:hAnsi="仿宋" w:eastAsia="仿宋" w:cs="仿宋"/>
          <w:bCs/>
          <w:color w:val="4472C4" w:themeColor="accent5"/>
          <w:sz w:val="22"/>
          <w:szCs w:val="22"/>
          <w14:textFill>
            <w14:solidFill>
              <w14:schemeClr w14:val="accent5"/>
            </w14:solidFill>
          </w14:textFill>
        </w:rPr>
        <w:t>用地面积增减超过原面积的30%</w:t>
      </w:r>
      <w:r>
        <w:rPr>
          <w:rFonts w:hint="eastAsia" w:ascii="仿宋" w:hAnsi="仿宋" w:eastAsia="仿宋" w:cs="仿宋"/>
          <w:bCs/>
          <w:color w:val="4472C4" w:themeColor="accent5"/>
          <w:sz w:val="22"/>
          <w:szCs w:val="22"/>
          <w:lang w:eastAsia="zh-CN"/>
          <w14:textFill>
            <w14:solidFill>
              <w14:schemeClr w14:val="accent5"/>
            </w14:solidFill>
          </w14:textFill>
        </w:rPr>
        <w:t>，要求进行方案修改（新方案）。此时针对原方案进行已完成设计工作费用补偿，补偿费用计算基数</w:t>
      </w:r>
      <w:r>
        <w:rPr>
          <w:rFonts w:hint="eastAsia" w:ascii="仿宋" w:hAnsi="仿宋" w:eastAsia="仿宋" w:cs="仿宋"/>
          <w:bCs/>
          <w:color w:val="4472C4" w:themeColor="accent5"/>
          <w:sz w:val="22"/>
          <w:szCs w:val="22"/>
          <w:lang w:val="en-US" w:eastAsia="zh-CN"/>
          <w14:textFill>
            <w14:solidFill>
              <w14:schemeClr w14:val="accent5"/>
            </w14:solidFill>
          </w14:textFill>
        </w:rPr>
        <w:t>=最终版本（新方案）概算批复工程造价金额（若无法取得概算批复则按照清单工程造价费用）*80%*50%（补偿系数）*（1-比选人中标下浮比例）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val="en-US" w:eastAsia="zh-CN"/>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2）初步设计阶段及施工图设计阶段的补偿费用：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eastAsia="zh-CN"/>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初步设计阶段及施工图设计阶段发生的</w:t>
      </w:r>
      <w:r>
        <w:rPr>
          <w:rFonts w:hint="eastAsia" w:ascii="仿宋" w:hAnsi="仿宋" w:eastAsia="仿宋" w:cs="仿宋"/>
          <w:bCs/>
          <w:color w:val="4472C4" w:themeColor="accent5"/>
          <w:sz w:val="22"/>
          <w:szCs w:val="22"/>
          <w:lang w:eastAsia="zh-CN"/>
          <w14:textFill>
            <w14:solidFill>
              <w14:schemeClr w14:val="accent5"/>
            </w14:solidFill>
          </w14:textFill>
        </w:rPr>
        <w:t>重大调整与颠覆性变化由发包人书面发函确认调改内容，并由设计人与发包人之间协商是否进行补偿及具体补偿金额。</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40" w:firstLineChars="200"/>
        <w:jc w:val="left"/>
        <w:textAlignment w:val="auto"/>
        <w:outlineLvl w:val="9"/>
        <w:rPr>
          <w:rFonts w:hint="eastAsia" w:ascii="仿宋" w:hAnsi="仿宋" w:eastAsia="仿宋" w:cs="仿宋"/>
          <w:bCs/>
          <w:color w:val="4472C4" w:themeColor="accent5"/>
          <w:sz w:val="22"/>
          <w:szCs w:val="22"/>
          <w:lang w:eastAsia="zh-CN"/>
          <w14:textFill>
            <w14:solidFill>
              <w14:schemeClr w14:val="accent5"/>
            </w14:solidFill>
          </w14:textFill>
        </w:rPr>
      </w:pPr>
      <w:r>
        <w:rPr>
          <w:rFonts w:hint="eastAsia" w:ascii="仿宋" w:hAnsi="仿宋" w:eastAsia="仿宋" w:cs="仿宋"/>
          <w:bCs/>
          <w:color w:val="4472C4" w:themeColor="accent5"/>
          <w:sz w:val="22"/>
          <w:szCs w:val="22"/>
          <w:lang w:val="en-US" w:eastAsia="zh-CN"/>
          <w14:textFill>
            <w14:solidFill>
              <w14:schemeClr w14:val="accent5"/>
            </w14:solidFill>
          </w14:textFill>
        </w:rPr>
        <w:t>3）以上补偿费用在结算时统一支付。</w:t>
      </w:r>
    </w:p>
    <w:p>
      <w:pPr>
        <w:numPr>
          <w:ilvl w:val="0"/>
          <w:numId w:val="0"/>
        </w:numPr>
        <w:rPr>
          <w:rFonts w:hint="eastAsia"/>
        </w:rPr>
      </w:pPr>
    </w:p>
    <w:p>
      <w:pPr>
        <w:ind w:firstLine="482" w:firstLineChars="200"/>
        <w:rPr>
          <w:rFonts w:ascii="仿宋" w:hAnsi="仿宋" w:eastAsia="仿宋" w:cs="仿宋"/>
          <w:sz w:val="24"/>
        </w:rPr>
      </w:pPr>
      <w:r>
        <w:rPr>
          <w:rFonts w:hint="eastAsia" w:ascii="仿宋" w:hAnsi="仿宋" w:eastAsia="仿宋" w:cs="仿宋"/>
          <w:b/>
          <w:sz w:val="24"/>
        </w:rPr>
        <w:t>第六条</w:t>
      </w:r>
      <w:r>
        <w:rPr>
          <w:rFonts w:hint="eastAsia" w:ascii="仿宋" w:hAnsi="仿宋" w:eastAsia="仿宋" w:cs="仿宋"/>
          <w:sz w:val="24"/>
        </w:rPr>
        <w:t xml:space="preserve">  双方责任</w:t>
      </w:r>
    </w:p>
    <w:p>
      <w:pPr>
        <w:ind w:firstLine="480" w:firstLineChars="200"/>
        <w:rPr>
          <w:rFonts w:ascii="仿宋" w:hAnsi="仿宋" w:eastAsia="仿宋" w:cs="仿宋"/>
          <w:sz w:val="24"/>
        </w:rPr>
      </w:pPr>
      <w:r>
        <w:rPr>
          <w:rFonts w:hint="eastAsia" w:ascii="仿宋" w:hAnsi="仿宋" w:eastAsia="仿宋" w:cs="仿宋"/>
          <w:sz w:val="24"/>
        </w:rPr>
        <w:t>6.1 发包人责任：</w:t>
      </w:r>
    </w:p>
    <w:p>
      <w:pPr>
        <w:ind w:firstLine="480" w:firstLineChars="200"/>
        <w:rPr>
          <w:rFonts w:ascii="仿宋" w:hAnsi="仿宋" w:eastAsia="仿宋" w:cs="仿宋"/>
          <w:sz w:val="24"/>
        </w:rPr>
      </w:pPr>
      <w:r>
        <w:rPr>
          <w:rFonts w:hint="eastAsia" w:ascii="仿宋" w:hAnsi="仿宋" w:eastAsia="仿宋" w:cs="仿宋"/>
          <w:sz w:val="24"/>
        </w:rPr>
        <w:t>6.1.1 发包人按本合同第三条规定的内容，在规定的时间内向设计人提交资料及文件，并对其合法性、完整性、正确性及时限负责，发包人不得要求设计人违反国家有关标准进行设计。</w:t>
      </w:r>
    </w:p>
    <w:p>
      <w:pPr>
        <w:ind w:firstLine="480" w:firstLineChars="200"/>
        <w:rPr>
          <w:rFonts w:ascii="仿宋" w:hAnsi="仿宋" w:eastAsia="仿宋" w:cs="仿宋"/>
          <w:sz w:val="24"/>
        </w:rPr>
      </w:pPr>
      <w:r>
        <w:rPr>
          <w:rFonts w:hint="eastAsia" w:ascii="仿宋" w:hAnsi="仿宋" w:eastAsia="仿宋" w:cs="仿宋"/>
          <w:sz w:val="24"/>
        </w:rPr>
        <w:t>发包人提交上述资料及文件超过规定期限15天以内，设计人按合同第四条规定交付设计文件时间顺延；超过规定期限15天以上时，设计人员有权重新确定提交设计文件的时间。</w:t>
      </w:r>
    </w:p>
    <w:p>
      <w:pPr>
        <w:ind w:firstLine="480" w:firstLineChars="200"/>
        <w:rPr>
          <w:rFonts w:hint="eastAsia" w:ascii="仿宋" w:hAnsi="仿宋" w:eastAsia="仿宋" w:cs="仿宋"/>
          <w:sz w:val="24"/>
        </w:rPr>
      </w:pPr>
      <w:r>
        <w:rPr>
          <w:rFonts w:hint="eastAsia" w:ascii="仿宋" w:hAnsi="仿宋" w:eastAsia="仿宋" w:cs="仿宋"/>
          <w:sz w:val="24"/>
        </w:rPr>
        <w:t>6.1.2 设计人派赴现场处理有关设计问题的工作人员，工作生活及交通等条件由设计人自己提供。</w:t>
      </w:r>
    </w:p>
    <w:p>
      <w:pPr>
        <w:ind w:firstLine="480" w:firstLineChars="200"/>
        <w:rPr>
          <w:rFonts w:hint="eastAsia" w:ascii="仿宋" w:hAnsi="仿宋" w:eastAsia="仿宋" w:cs="仿宋"/>
          <w:sz w:val="24"/>
        </w:rPr>
      </w:pPr>
      <w:r>
        <w:rPr>
          <w:rFonts w:hint="eastAsia" w:ascii="仿宋" w:hAnsi="仿宋" w:eastAsia="仿宋" w:cs="仿宋"/>
          <w:sz w:val="24"/>
        </w:rPr>
        <w:t>6.1.3 发包人应保护设计人的投标书、设计方案、文件、资料图纸、数据、计算软件和专利技术。</w:t>
      </w:r>
    </w:p>
    <w:p>
      <w:pPr>
        <w:ind w:firstLine="480" w:firstLineChars="200"/>
        <w:rPr>
          <w:rFonts w:hint="eastAsia" w:ascii="仿宋" w:hAnsi="仿宋" w:eastAsia="仿宋" w:cs="仿宋"/>
          <w:sz w:val="24"/>
        </w:rPr>
      </w:pPr>
      <w:r>
        <w:rPr>
          <w:rFonts w:hint="eastAsia" w:ascii="仿宋" w:hAnsi="仿宋" w:eastAsia="仿宋" w:cs="仿宋"/>
          <w:sz w:val="24"/>
        </w:rPr>
        <w:t>6.2 设计人责任：</w:t>
      </w:r>
    </w:p>
    <w:p>
      <w:pPr>
        <w:ind w:firstLine="480" w:firstLineChars="200"/>
        <w:rPr>
          <w:rFonts w:hint="eastAsia" w:ascii="仿宋" w:hAnsi="仿宋" w:eastAsia="仿宋" w:cs="仿宋"/>
          <w:sz w:val="24"/>
        </w:rPr>
      </w:pPr>
      <w:r>
        <w:rPr>
          <w:rFonts w:hint="eastAsia" w:ascii="仿宋" w:hAnsi="仿宋" w:eastAsia="仿宋" w:cs="仿宋"/>
          <w:sz w:val="24"/>
        </w:rPr>
        <w:t>6.2.1 设计人应按国家技术规范、标准、规程及发包人提出的设计要求，进行工程设计，按合同规定的进度要求提交质量合格的设计资料，并对其负责。</w:t>
      </w:r>
    </w:p>
    <w:p>
      <w:pPr>
        <w:ind w:firstLine="480" w:firstLineChars="200"/>
        <w:rPr>
          <w:rFonts w:hint="eastAsia" w:ascii="仿宋" w:hAnsi="仿宋" w:eastAsia="仿宋" w:cs="仿宋"/>
          <w:sz w:val="24"/>
          <w:highlight w:val="none"/>
        </w:rPr>
      </w:pPr>
      <w:r>
        <w:rPr>
          <w:rFonts w:hint="eastAsia" w:ascii="仿宋" w:hAnsi="仿宋" w:eastAsia="仿宋" w:cs="仿宋"/>
          <w:sz w:val="24"/>
        </w:rPr>
        <w:t>6.2.2 设计人采用</w:t>
      </w:r>
      <w:r>
        <w:rPr>
          <w:rFonts w:hint="eastAsia" w:ascii="仿宋" w:hAnsi="仿宋" w:eastAsia="仿宋" w:cs="仿宋"/>
          <w:sz w:val="24"/>
          <w:highlight w:val="none"/>
        </w:rPr>
        <w:t>的主要技术标准是：</w:t>
      </w:r>
    </w:p>
    <w:p>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国家和地方现行有关法律、法规、规范、规程和标准。</w:t>
      </w:r>
    </w:p>
    <w:p>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6.2.3 设计人的报告成果需通过国家行业主管部门和专业评估机构的审核，须附单体平立剖、彩色总图、鸟瞰图及其他关键性效果图。</w:t>
      </w:r>
    </w:p>
    <w:p>
      <w:pPr>
        <w:ind w:firstLine="480" w:firstLineChars="200"/>
        <w:rPr>
          <w:rFonts w:hint="eastAsia" w:ascii="仿宋" w:hAnsi="仿宋" w:eastAsia="仿宋" w:cs="仿宋"/>
          <w:sz w:val="24"/>
          <w:highlight w:val="yellow"/>
        </w:rPr>
      </w:pPr>
      <w:r>
        <w:rPr>
          <w:rFonts w:hint="eastAsia" w:ascii="仿宋" w:hAnsi="仿宋" w:eastAsia="仿宋" w:cs="仿宋"/>
          <w:sz w:val="24"/>
          <w:highlight w:val="none"/>
        </w:rPr>
        <w:t>6.2.4 设计人按本合同第二条和第四条规定的内容、进度</w:t>
      </w:r>
      <w:r>
        <w:rPr>
          <w:rFonts w:hint="eastAsia" w:ascii="仿宋" w:hAnsi="仿宋" w:eastAsia="仿宋" w:cs="仿宋"/>
          <w:sz w:val="24"/>
        </w:rPr>
        <w:t>及份数向发包人交付资料及文件。(含电子档)，纸质成果与电子成果应保持一致。</w:t>
      </w:r>
    </w:p>
    <w:p>
      <w:pPr>
        <w:ind w:firstLine="480" w:firstLineChars="200"/>
        <w:rPr>
          <w:rFonts w:hint="eastAsia" w:ascii="仿宋" w:hAnsi="仿宋" w:eastAsia="仿宋" w:cs="仿宋"/>
          <w:sz w:val="24"/>
        </w:rPr>
      </w:pPr>
      <w:r>
        <w:rPr>
          <w:rFonts w:hint="eastAsia" w:ascii="仿宋" w:hAnsi="仿宋" w:eastAsia="仿宋" w:cs="仿宋"/>
          <w:sz w:val="24"/>
        </w:rPr>
        <w:t>6.2.5 设计人提交的方案应得到发包人认可，报相关职能部门审查，并配合发包人作相应的修改和答疑。</w:t>
      </w:r>
    </w:p>
    <w:p>
      <w:pPr>
        <w:ind w:firstLine="480" w:firstLineChars="200"/>
        <w:rPr>
          <w:rFonts w:hint="eastAsia" w:ascii="仿宋" w:hAnsi="仿宋" w:eastAsia="仿宋" w:cs="仿宋"/>
          <w:sz w:val="24"/>
        </w:rPr>
      </w:pPr>
      <w:r>
        <w:rPr>
          <w:rFonts w:hint="eastAsia" w:ascii="仿宋" w:hAnsi="仿宋" w:eastAsia="仿宋" w:cs="仿宋"/>
          <w:sz w:val="24"/>
        </w:rPr>
        <w:t>6.2.6 设计人应明确项目负责人，设计人项目负责人及投入本项目设计人员到岗履职，非发包人要求不得更改。若合同签订后项目负责人及投入本项目设计人员与投标时不符，发包人有权选择终止合同</w:t>
      </w:r>
      <w:r>
        <w:rPr>
          <w:rFonts w:hint="eastAsia" w:ascii="仿宋" w:hAnsi="仿宋" w:eastAsia="仿宋" w:cs="仿宋"/>
          <w:color w:val="auto"/>
          <w:sz w:val="24"/>
          <w:highlight w:val="none"/>
          <w:lang w:eastAsia="zh-CN"/>
        </w:rPr>
        <w:t>，并要求设计</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lang w:eastAsia="zh-CN"/>
        </w:rPr>
        <w:t>支付合同暂定总金额</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%的违约金</w:t>
      </w:r>
      <w:r>
        <w:rPr>
          <w:rFonts w:hint="eastAsia" w:ascii="仿宋" w:hAnsi="仿宋" w:eastAsia="仿宋" w:cs="仿宋"/>
          <w:color w:val="auto"/>
          <w:sz w:val="24"/>
          <w:highlight w:val="none"/>
        </w:rPr>
        <w:t>。</w:t>
      </w:r>
      <w:r>
        <w:rPr>
          <w:rFonts w:hint="eastAsia" w:ascii="仿宋" w:hAnsi="仿宋" w:eastAsia="仿宋" w:cs="仿宋"/>
          <w:sz w:val="24"/>
        </w:rPr>
        <w:t>项目负责人应全过程服务，出现关键性技术问题时，应随叫随到，确保项目设计的正常推进。</w:t>
      </w:r>
    </w:p>
    <w:p>
      <w:pPr>
        <w:ind w:firstLine="480" w:firstLineChars="200"/>
        <w:rPr>
          <w:rFonts w:hint="eastAsia" w:ascii="仿宋" w:hAnsi="仿宋" w:eastAsia="仿宋" w:cs="仿宋"/>
        </w:rPr>
      </w:pPr>
      <w:r>
        <w:rPr>
          <w:rFonts w:hint="eastAsia" w:ascii="仿宋" w:hAnsi="仿宋" w:eastAsia="仿宋" w:cs="仿宋"/>
          <w:sz w:val="24"/>
        </w:rPr>
        <w:t>6.2.7 若设计人的设计成果未能通过有关部门的审批，则设计人有责任对其设计成果进行整改，直至通过有关主管部门的审批，整改期间所发生的费用由设计人自行承担。</w:t>
      </w:r>
    </w:p>
    <w:p>
      <w:pPr>
        <w:ind w:firstLine="480" w:firstLineChars="200"/>
        <w:rPr>
          <w:rFonts w:hint="eastAsia" w:ascii="仿宋" w:hAnsi="仿宋" w:eastAsia="仿宋" w:cs="仿宋"/>
          <w:sz w:val="24"/>
        </w:rPr>
      </w:pPr>
      <w:r>
        <w:rPr>
          <w:rFonts w:hint="eastAsia" w:ascii="仿宋" w:hAnsi="仿宋" w:eastAsia="仿宋" w:cs="仿宋"/>
          <w:sz w:val="24"/>
        </w:rPr>
        <w:t xml:space="preserve">6.2.8 设计人交付设计资料及文件后，按规定参加有关的设计审查，并根据审查结论负责对不超出原定范围的内容做必要调整补充。设计人按合同规定时限交付设计资料及文件。 </w:t>
      </w:r>
    </w:p>
    <w:p>
      <w:pPr>
        <w:ind w:firstLine="480" w:firstLineChars="200"/>
        <w:rPr>
          <w:rFonts w:hint="eastAsia" w:ascii="仿宋" w:hAnsi="仿宋" w:eastAsia="仿宋" w:cs="仿宋"/>
          <w:sz w:val="24"/>
        </w:rPr>
      </w:pPr>
      <w:r>
        <w:rPr>
          <w:rFonts w:hint="eastAsia" w:ascii="仿宋" w:hAnsi="仿宋" w:eastAsia="仿宋" w:cs="仿宋"/>
          <w:sz w:val="24"/>
        </w:rPr>
        <w:t>6.2.9 设计人应保护发包人的知识产权，不得向第三人泄露、转让发包人提交的产品图纸等技术经济资料。如发生以上情况，发包人有权向设计人索赔。</w:t>
      </w:r>
    </w:p>
    <w:p>
      <w:pPr>
        <w:ind w:firstLine="480" w:firstLineChars="200"/>
        <w:rPr>
          <w:rFonts w:hint="eastAsia" w:ascii="仿宋" w:hAnsi="仿宋" w:eastAsia="仿宋" w:cs="仿宋"/>
          <w:sz w:val="24"/>
        </w:rPr>
      </w:pPr>
      <w:r>
        <w:rPr>
          <w:rFonts w:hint="eastAsia" w:ascii="仿宋" w:hAnsi="仿宋" w:eastAsia="仿宋" w:cs="仿宋"/>
          <w:sz w:val="24"/>
        </w:rPr>
        <w:t>6.2.10 设计人不得将勘察、设计业务转包和违法分包，不得允许他人以本单位名义承揽工程勘察、设计业务。</w:t>
      </w:r>
      <w:r>
        <w:rPr>
          <w:rFonts w:hint="eastAsia" w:ascii="仿宋" w:hAnsi="仿宋" w:eastAsia="仿宋" w:cs="仿宋"/>
          <w:color w:val="FF0000"/>
          <w:sz w:val="24"/>
          <w:lang w:eastAsia="zh-CN"/>
        </w:rPr>
        <w:t>若发现设计人存在违法分包的行为，发包人有权单方解除合同，并要求设计</w:t>
      </w:r>
      <w:r>
        <w:rPr>
          <w:rFonts w:hint="eastAsia" w:ascii="仿宋" w:hAnsi="仿宋" w:eastAsia="仿宋" w:cs="仿宋"/>
          <w:color w:val="FF0000"/>
          <w:sz w:val="24"/>
          <w:lang w:val="en-US" w:eastAsia="zh-CN"/>
        </w:rPr>
        <w:t>人</w:t>
      </w:r>
      <w:r>
        <w:rPr>
          <w:rFonts w:hint="eastAsia" w:ascii="仿宋" w:hAnsi="仿宋" w:eastAsia="仿宋" w:cs="仿宋"/>
          <w:color w:val="FF0000"/>
          <w:sz w:val="24"/>
          <w:lang w:eastAsia="zh-CN"/>
        </w:rPr>
        <w:t>支付合同暂定总金额20%的违约金。</w:t>
      </w:r>
    </w:p>
    <w:p>
      <w:pPr>
        <w:ind w:firstLine="480" w:firstLineChars="200"/>
        <w:rPr>
          <w:rFonts w:hint="eastAsia" w:ascii="仿宋" w:hAnsi="仿宋" w:eastAsia="仿宋" w:cs="仿宋"/>
          <w:sz w:val="24"/>
        </w:rPr>
      </w:pPr>
      <w:r>
        <w:rPr>
          <w:rFonts w:hint="eastAsia" w:ascii="仿宋" w:hAnsi="仿宋" w:eastAsia="仿宋" w:cs="仿宋"/>
          <w:sz w:val="24"/>
        </w:rPr>
        <w:t>6.2.11 设计过程中设计人与发包人应紧密配合，发包人对设计方案的合理修改意见设计人应予以采纳并修改。</w:t>
      </w:r>
    </w:p>
    <w:p>
      <w:pPr>
        <w:ind w:firstLine="480" w:firstLineChars="200"/>
        <w:rPr>
          <w:rFonts w:hint="eastAsia" w:ascii="仿宋" w:hAnsi="仿宋" w:eastAsia="仿宋" w:cs="仿宋"/>
          <w:sz w:val="24"/>
        </w:rPr>
      </w:pPr>
      <w:r>
        <w:rPr>
          <w:rFonts w:hint="eastAsia" w:ascii="仿宋" w:hAnsi="仿宋" w:eastAsia="仿宋" w:cs="仿宋"/>
          <w:sz w:val="24"/>
        </w:rPr>
        <w:t>6.2.12设计人对设计文件出现的遗漏或错误应无条件修改或补充。</w:t>
      </w:r>
    </w:p>
    <w:p>
      <w:pPr>
        <w:ind w:firstLine="480" w:firstLineChars="200"/>
        <w:rPr>
          <w:rFonts w:hint="eastAsia" w:ascii="仿宋" w:hAnsi="仿宋" w:eastAsia="仿宋" w:cs="仿宋"/>
          <w:sz w:val="24"/>
          <w:highlight w:val="none"/>
        </w:rPr>
      </w:pPr>
      <w:r>
        <w:rPr>
          <w:rFonts w:hint="eastAsia" w:ascii="仿宋" w:hAnsi="仿宋" w:eastAsia="仿宋" w:cs="仿宋"/>
          <w:sz w:val="24"/>
        </w:rPr>
        <w:t>6.2.13 设计过程中发包人要求设计方人员一同前往外地考察（包括建筑考察，材</w:t>
      </w:r>
      <w:r>
        <w:rPr>
          <w:rFonts w:hint="eastAsia" w:ascii="仿宋" w:hAnsi="仿宋" w:eastAsia="仿宋" w:cs="仿宋"/>
          <w:sz w:val="24"/>
          <w:highlight w:val="none"/>
        </w:rPr>
        <w:t>料、设备订货考察），设计人应予以配合。</w:t>
      </w:r>
    </w:p>
    <w:p>
      <w:pPr>
        <w:ind w:firstLine="480" w:firstLineChars="200"/>
        <w:rPr>
          <w:rFonts w:hint="eastAsia" w:ascii="仿宋" w:hAnsi="仿宋" w:eastAsia="仿宋" w:cs="仿宋"/>
          <w:color w:val="4472C4" w:themeColor="accent5"/>
          <w:sz w:val="24"/>
          <w14:textFill>
            <w14:solidFill>
              <w14:schemeClr w14:val="accent5"/>
            </w14:solidFill>
          </w14:textFill>
        </w:rPr>
      </w:pPr>
      <w:r>
        <w:rPr>
          <w:rFonts w:hint="eastAsia" w:ascii="仿宋" w:hAnsi="仿宋" w:eastAsia="仿宋" w:cs="仿宋"/>
          <w:sz w:val="24"/>
          <w:highlight w:val="none"/>
        </w:rPr>
        <w:t xml:space="preserve">6.2.14 </w:t>
      </w:r>
      <w:r>
        <w:rPr>
          <w:rFonts w:hint="eastAsia" w:ascii="仿宋" w:hAnsi="仿宋" w:eastAsia="仿宋" w:cs="仿宋"/>
          <w:color w:val="4472C4" w:themeColor="accent5"/>
          <w:sz w:val="24"/>
          <w:highlight w:val="none"/>
          <w14:textFill>
            <w14:solidFill>
              <w14:schemeClr w14:val="accent5"/>
            </w14:solidFill>
          </w14:textFill>
        </w:rPr>
        <w:t>关于设计缺乏深度、未达到甲方要求、服务不到位及设计错误等的奖罚</w:t>
      </w:r>
      <w:r>
        <w:rPr>
          <w:rFonts w:hint="eastAsia" w:ascii="仿宋" w:hAnsi="仿宋" w:eastAsia="仿宋" w:cs="仿宋"/>
          <w:color w:val="4472C4" w:themeColor="accent5"/>
          <w:sz w:val="24"/>
          <w:highlight w:val="none"/>
          <w:lang w:eastAsia="zh-CN"/>
          <w14:textFill>
            <w14:solidFill>
              <w14:schemeClr w14:val="accent5"/>
            </w14:solidFill>
          </w14:textFill>
        </w:rPr>
        <w:t>：</w:t>
      </w:r>
      <w:r>
        <w:rPr>
          <w:rFonts w:hint="eastAsia" w:ascii="仿宋" w:hAnsi="仿宋" w:eastAsia="仿宋" w:cs="仿宋"/>
          <w:color w:val="4472C4" w:themeColor="accent5"/>
          <w:sz w:val="24"/>
          <w:highlight w:val="none"/>
          <w14:textFill>
            <w14:solidFill>
              <w14:schemeClr w14:val="accent5"/>
            </w14:solidFill>
          </w14:textFill>
        </w:rPr>
        <w:t>按照附件2中设计错误的类型，进行一定的奖罚：如Ⅱ类问题不多于5个（含5个）及Ⅲ类问题不多于４N个（含４N个，N为A1标准图纸数量）且无Ⅰ类问题者奖励人民币5万元整；如</w:t>
      </w:r>
      <w:r>
        <w:rPr>
          <w:rFonts w:hint="eastAsia" w:ascii="仿宋" w:hAnsi="仿宋" w:eastAsia="仿宋" w:cs="仿宋"/>
          <w:color w:val="4472C4" w:themeColor="accent5"/>
          <w:sz w:val="24"/>
          <w14:textFill>
            <w14:solidFill>
              <w14:schemeClr w14:val="accent5"/>
            </w14:solidFill>
          </w14:textFill>
        </w:rPr>
        <w:t>出现Ⅰ类问题，每个扣除违约金人民币2万元整，Ⅱ类问题多于5个者，每增加一个问题扣除违约金人民币3000元整，Ⅲ类问题多于４N个者，每增加10个问题扣除违约金人民币500元整（不超过10个按照10个计算）。对以上违约金发包人有权在发包人向设计人支付的任何费用中作相应扣除，扣除费用总和上限为本合同总额。</w:t>
      </w:r>
    </w:p>
    <w:p>
      <w:pPr>
        <w:ind w:firstLine="480" w:firstLineChars="200"/>
        <w:rPr>
          <w:rFonts w:hint="eastAsia" w:ascii="仿宋" w:hAnsi="仿宋" w:eastAsia="仿宋" w:cs="仿宋"/>
          <w:color w:val="4472C4" w:themeColor="accent5"/>
          <w:sz w:val="24"/>
          <w14:textFill>
            <w14:solidFill>
              <w14:schemeClr w14:val="accent5"/>
            </w14:solidFill>
          </w14:textFill>
        </w:rPr>
      </w:pPr>
    </w:p>
    <w:p>
      <w:pPr>
        <w:ind w:firstLine="482" w:firstLineChars="200"/>
        <w:rPr>
          <w:rFonts w:hint="eastAsia" w:ascii="仿宋" w:hAnsi="仿宋" w:eastAsia="仿宋" w:cs="仿宋"/>
          <w:sz w:val="24"/>
        </w:rPr>
      </w:pPr>
      <w:r>
        <w:rPr>
          <w:rFonts w:hint="eastAsia" w:ascii="仿宋" w:hAnsi="仿宋" w:eastAsia="仿宋" w:cs="仿宋"/>
          <w:b/>
          <w:sz w:val="24"/>
        </w:rPr>
        <w:t>第七条</w:t>
      </w:r>
      <w:r>
        <w:rPr>
          <w:rFonts w:hint="eastAsia" w:ascii="仿宋" w:hAnsi="仿宋" w:eastAsia="仿宋" w:cs="仿宋"/>
          <w:sz w:val="24"/>
        </w:rPr>
        <w:t xml:space="preserve">  违约责任：</w:t>
      </w:r>
    </w:p>
    <w:p>
      <w:pPr>
        <w:ind w:firstLine="480" w:firstLineChars="200"/>
        <w:rPr>
          <w:rFonts w:hint="eastAsia" w:ascii="仿宋" w:hAnsi="仿宋" w:eastAsia="仿宋" w:cs="仿宋"/>
          <w:sz w:val="24"/>
        </w:rPr>
      </w:pPr>
      <w:r>
        <w:rPr>
          <w:rFonts w:hint="eastAsia" w:ascii="仿宋" w:hAnsi="仿宋" w:eastAsia="仿宋" w:cs="仿宋"/>
          <w:sz w:val="24"/>
        </w:rPr>
        <w:t>7.1在合同履行期间，若设计人提交的设计成果的质量不能满足本合同第二条的设计工作技术要求，且超过发包人要求提交设计阶段成果的最后时限，发包人视其造成的损失情况对咨询人予以违约处罚，且有权要求终止或解除本合同。</w:t>
      </w:r>
    </w:p>
    <w:p>
      <w:pPr>
        <w:ind w:firstLine="480" w:firstLineChars="200"/>
        <w:rPr>
          <w:rFonts w:hint="eastAsia" w:ascii="仿宋" w:hAnsi="仿宋" w:eastAsia="仿宋" w:cs="仿宋"/>
          <w:sz w:val="24"/>
        </w:rPr>
      </w:pPr>
      <w:r>
        <w:rPr>
          <w:rFonts w:hint="eastAsia" w:ascii="仿宋" w:hAnsi="仿宋" w:eastAsia="仿宋" w:cs="仿宋"/>
          <w:sz w:val="24"/>
        </w:rPr>
        <w:t>7.2设计人对设计资料及文件出现的遗漏或错误负责修改或补充，一般设计问题应在2个工作日内修改完成，重大设计问题在5个工作日内修改完成。由于设计人员错误造成工程质量事故损失，</w:t>
      </w:r>
      <w:r>
        <w:rPr>
          <w:rFonts w:hint="eastAsia" w:ascii="仿宋" w:hAnsi="仿宋" w:eastAsia="仿宋" w:cs="仿宋"/>
          <w:sz w:val="24"/>
          <w:highlight w:val="none"/>
        </w:rPr>
        <w:t>设计人除负责采取补救措施外，应免收直接受损失部分的设计费，发包人视其造成的损失情况对咨询人予以违约处罚。</w:t>
      </w:r>
    </w:p>
    <w:p>
      <w:pPr>
        <w:ind w:firstLine="480" w:firstLineChars="200"/>
        <w:rPr>
          <w:rFonts w:hint="eastAsia" w:ascii="仿宋" w:hAnsi="仿宋" w:eastAsia="仿宋" w:cs="仿宋"/>
          <w:sz w:val="24"/>
        </w:rPr>
      </w:pPr>
      <w:r>
        <w:rPr>
          <w:rFonts w:hint="eastAsia" w:ascii="仿宋" w:hAnsi="仿宋" w:eastAsia="仿宋" w:cs="仿宋"/>
          <w:sz w:val="24"/>
        </w:rPr>
        <w:t>7.3设计人提交的纸质版本和电子成果若不一致，给发包人造成损失的，发包人视情况对设计人处以违约处罚。</w:t>
      </w:r>
    </w:p>
    <w:p>
      <w:pPr>
        <w:ind w:firstLine="480" w:firstLineChars="200"/>
        <w:rPr>
          <w:rFonts w:hint="eastAsia" w:ascii="仿宋" w:hAnsi="仿宋" w:eastAsia="仿宋" w:cs="仿宋"/>
          <w:sz w:val="24"/>
          <w:highlight w:val="none"/>
        </w:rPr>
      </w:pPr>
      <w:r>
        <w:rPr>
          <w:rFonts w:hint="eastAsia" w:ascii="仿宋" w:hAnsi="仿宋" w:eastAsia="仿宋" w:cs="仿宋"/>
          <w:sz w:val="24"/>
        </w:rPr>
        <w:t>7.</w:t>
      </w:r>
      <w:r>
        <w:rPr>
          <w:rFonts w:hint="eastAsia" w:ascii="仿宋" w:hAnsi="仿宋" w:eastAsia="仿宋" w:cs="仿宋"/>
          <w:sz w:val="24"/>
          <w:highlight w:val="none"/>
        </w:rPr>
        <w:t>4由于设计人自身原因，延误了按本合同第四条规定的设计资料及设计文件的交付时间，每延误一天，应减收项目该阶段应收设计费的千分之二。逾期超过30个工作日以上，发包人有权拒付款项并行使单方解除权，且应由设计人按合同总价的百分之十向发包人支付违约金。</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在设计过程中，发包人、设计人双方应共同研讨确认本工程合理的造价标准，依此完成初步设计和初步设计概算并报相关部门批准。后经中介造价机构评估后，若发现完全因设计人原因未按批复投资概算进行施工图限额设计，发包人有权拒收施工图。由此造成的设计资料及设计文件交付延误，按7.4条扣减设计费。非设计人原因造成的突破概算例外。</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设计人未及时派出现场服务专业人员，或专业人员缺席工程各项验收、关键工序质量检查、设计协调会、必要的工地例会两次以上视为违约；每增加缺席一人次，发包人将在设计费中扣减500元。设计人未按照施工现场各方共同商定的时间（以电子档交付时间为准）完成设计变更、技术洽商办理，超过两次视为违约；每增加一次发包人将在设计费扣减500元。发包人将责成现场施工监理对上述工作和人员到位情况进行记录，并按此记录作为执行本条款的依据。</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在施工期间由于设计人原因影响设计交底，有关设计问题得不到及时处理或验收，每延误一天，应减收设计费1000元。</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 xml:space="preserve"> 设计人出现不能严格履行《服务承诺书》的情况，每发生一次承担违约金1000元。</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合同生效后，发包人无违约行为，设计人单方面要求终止或解除合同，设计人应双倍返还定金(若有)。合同解除后，设计人的设计成果归甲方所有，并承担合同总价的百分之十的违约金。</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lang w:val="en-US" w:eastAsia="zh-CN"/>
        </w:rPr>
        <w:t xml:space="preserve">10 </w:t>
      </w:r>
      <w:r>
        <w:rPr>
          <w:rFonts w:hint="eastAsia" w:ascii="仿宋" w:hAnsi="仿宋" w:eastAsia="仿宋" w:cs="仿宋"/>
          <w:sz w:val="24"/>
          <w:highlight w:val="none"/>
        </w:rPr>
        <w:t>设计人须配合发包人确保初设概算不超过经审批确定的投资估算。如在限定投资总额情况下，设计人无法达到双方认可的设计任务书要求或满足使用人必要的功能需求，发包人不支付该阶段设计报酬，设计人承担此严重违约导致的一切后果及责任。</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7.1</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设计人的初步设计满足设计任务书要求或满足使用人必要的功能需求，但因设计人原因造成设计不合理（建设标准、档次与发包方协商后确定。若建设标准、档次经双方协商后有变更，不视为超投资估算的违约情况）导致初设概算超投资估算，发包人不支付该阶段设计报酬，设计人承担此违约责任导致的一切后果及责任，发包人视后果严重程度对设计人予以违约处罚。</w:t>
      </w: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备注：涉及超投资估算的违约情况，不重复处罚。在规定时间内优化调整后，满足投资估算和经双方认可的设计任务书要求的设计成果，不视为超投资估算的违约。</w:t>
      </w:r>
    </w:p>
    <w:p>
      <w:pPr>
        <w:ind w:firstLine="482" w:firstLineChars="200"/>
        <w:rPr>
          <w:rFonts w:hint="eastAsia" w:ascii="仿宋" w:hAnsi="仿宋" w:eastAsia="仿宋" w:cs="仿宋"/>
          <w:sz w:val="24"/>
        </w:rPr>
      </w:pPr>
      <w:r>
        <w:rPr>
          <w:rFonts w:hint="eastAsia" w:ascii="仿宋" w:hAnsi="仿宋" w:eastAsia="仿宋" w:cs="仿宋"/>
          <w:b/>
          <w:sz w:val="24"/>
        </w:rPr>
        <w:t>第八条</w:t>
      </w:r>
      <w:r>
        <w:rPr>
          <w:rFonts w:hint="eastAsia" w:ascii="仿宋" w:hAnsi="仿宋" w:eastAsia="仿宋" w:cs="仿宋"/>
          <w:sz w:val="24"/>
        </w:rPr>
        <w:t xml:space="preserve">  保密及知识产权</w:t>
      </w:r>
    </w:p>
    <w:p>
      <w:pPr>
        <w:ind w:firstLine="480" w:firstLineChars="200"/>
        <w:rPr>
          <w:rFonts w:hint="eastAsia" w:ascii="仿宋" w:hAnsi="仿宋" w:eastAsia="仿宋" w:cs="仿宋"/>
          <w:sz w:val="24"/>
        </w:rPr>
      </w:pPr>
      <w:r>
        <w:rPr>
          <w:rFonts w:hint="eastAsia" w:ascii="仿宋" w:hAnsi="仿宋" w:eastAsia="仿宋" w:cs="仿宋"/>
          <w:sz w:val="24"/>
        </w:rPr>
        <w:t>本项目知识产权（含项目衍生的标准和专利）归发包人、设计人双方共有，各占50%。双方均应保护对方的知识产权，未经对方同意，任何一方均不得对另一方的资料及文件擅自修改或向第三人转让、或用于本合同项目外的项目。如发生以上情况，违约方承担一切由此引起的法律后果，并承担赔偿责任。设计人有权就本项目相关技术成果申报国家、地方和行业相关技术类奖项，但设计人申请专利项目，必须经甲方同意，否则视情况处以合同额至少50%以上的罚款作为对甲方的赔偿。</w:t>
      </w:r>
    </w:p>
    <w:p>
      <w:pPr>
        <w:ind w:firstLine="482" w:firstLineChars="200"/>
        <w:rPr>
          <w:rFonts w:hint="eastAsia" w:ascii="仿宋" w:hAnsi="仿宋" w:eastAsia="仿宋" w:cs="仿宋"/>
          <w:sz w:val="24"/>
        </w:rPr>
      </w:pPr>
      <w:r>
        <w:rPr>
          <w:rFonts w:hint="eastAsia" w:ascii="仿宋" w:hAnsi="仿宋" w:eastAsia="仿宋" w:cs="仿宋"/>
          <w:b/>
          <w:sz w:val="24"/>
        </w:rPr>
        <w:t>第九条</w:t>
      </w:r>
      <w:r>
        <w:rPr>
          <w:rFonts w:hint="eastAsia" w:ascii="仿宋" w:hAnsi="仿宋" w:eastAsia="仿宋" w:cs="仿宋"/>
          <w:sz w:val="24"/>
        </w:rPr>
        <w:t xml:space="preserve">  其他</w:t>
      </w:r>
    </w:p>
    <w:p>
      <w:pPr>
        <w:ind w:firstLine="480" w:firstLineChars="200"/>
        <w:rPr>
          <w:rFonts w:hint="eastAsia" w:ascii="仿宋" w:hAnsi="仿宋" w:eastAsia="仿宋" w:cs="仿宋"/>
          <w:sz w:val="24"/>
        </w:rPr>
      </w:pPr>
      <w:r>
        <w:rPr>
          <w:rFonts w:hint="eastAsia" w:ascii="仿宋" w:hAnsi="仿宋" w:eastAsia="仿宋" w:cs="仿宋"/>
          <w:sz w:val="24"/>
        </w:rPr>
        <w:t>9.1 发包人要求设计人派专人留驻施工现场进行配合与解决有关问题时，双方应另行签订补充协议或技术咨询服务合同。</w:t>
      </w:r>
    </w:p>
    <w:p>
      <w:pPr>
        <w:ind w:firstLine="480" w:firstLineChars="200"/>
        <w:rPr>
          <w:rFonts w:hint="eastAsia" w:ascii="仿宋" w:hAnsi="仿宋" w:eastAsia="仿宋" w:cs="仿宋"/>
          <w:sz w:val="24"/>
        </w:rPr>
      </w:pPr>
      <w:r>
        <w:rPr>
          <w:rFonts w:hint="eastAsia" w:ascii="仿宋" w:hAnsi="仿宋" w:eastAsia="仿宋" w:cs="仿宋"/>
          <w:sz w:val="24"/>
        </w:rPr>
        <w:t>9.2 设计人为本合同项目所采用的国家或地方标准图，由设计人自费向有关出版部门购买。本合同第四条规定设计人交付的设计资料及文件份数超过《工程设计收费标准》规定的份数，设计人另收工本费。</w:t>
      </w:r>
    </w:p>
    <w:p>
      <w:pPr>
        <w:ind w:firstLine="480" w:firstLineChars="200"/>
        <w:rPr>
          <w:rFonts w:hint="eastAsia" w:ascii="仿宋" w:hAnsi="仿宋" w:eastAsia="仿宋" w:cs="仿宋"/>
          <w:sz w:val="24"/>
        </w:rPr>
      </w:pPr>
      <w:r>
        <w:rPr>
          <w:rFonts w:hint="eastAsia" w:ascii="仿宋" w:hAnsi="仿宋" w:eastAsia="仿宋" w:cs="仿宋"/>
          <w:sz w:val="24"/>
        </w:rPr>
        <w:t>9.3 本工程设计资料及文件中，建筑材料、建筑构配件和设备，应当注明其规格、型号、性能等技术指标，设计人不得指定生产厂、供应商。发包人需要设计人的设计人员配合加工定货时，所需要费用由发包人承担。</w:t>
      </w:r>
    </w:p>
    <w:p>
      <w:pPr>
        <w:ind w:firstLine="480" w:firstLineChars="200"/>
        <w:rPr>
          <w:rFonts w:hint="eastAsia" w:ascii="仿宋" w:hAnsi="仿宋" w:eastAsia="仿宋" w:cs="仿宋"/>
          <w:sz w:val="24"/>
        </w:rPr>
      </w:pPr>
      <w:r>
        <w:rPr>
          <w:rFonts w:hint="eastAsia" w:ascii="仿宋" w:hAnsi="仿宋" w:eastAsia="仿宋" w:cs="仿宋"/>
          <w:sz w:val="24"/>
        </w:rPr>
        <w:t>9.4 发包人委托设计配合引进项目的设计任务，从询价、对外谈判、国内外技术考察直至建成投产的各个阶段，应吸收承担有关设计任务的设计人参加。出国费用，除制装费外，其它费用由发包人支付。</w:t>
      </w:r>
    </w:p>
    <w:p>
      <w:pPr>
        <w:ind w:firstLine="480" w:firstLineChars="200"/>
        <w:rPr>
          <w:rFonts w:hint="eastAsia" w:ascii="仿宋" w:hAnsi="仿宋" w:eastAsia="仿宋" w:cs="仿宋"/>
          <w:sz w:val="24"/>
        </w:rPr>
      </w:pPr>
      <w:r>
        <w:rPr>
          <w:rFonts w:hint="eastAsia" w:ascii="仿宋" w:hAnsi="仿宋" w:eastAsia="仿宋" w:cs="仿宋"/>
          <w:sz w:val="24"/>
        </w:rPr>
        <w:t>9.5 发包人委托设计人承担本合同内容之外的工作服务，另行支付费用。</w:t>
      </w:r>
    </w:p>
    <w:p>
      <w:pPr>
        <w:ind w:firstLine="480" w:firstLineChars="200"/>
        <w:rPr>
          <w:rFonts w:hint="eastAsia" w:ascii="仿宋" w:hAnsi="仿宋" w:eastAsia="仿宋" w:cs="仿宋"/>
          <w:sz w:val="24"/>
        </w:rPr>
      </w:pPr>
      <w:r>
        <w:rPr>
          <w:rFonts w:hint="eastAsia" w:ascii="仿宋" w:hAnsi="仿宋" w:eastAsia="仿宋" w:cs="仿宋"/>
          <w:sz w:val="24"/>
        </w:rPr>
        <w:t>9.6 由于不可抗力因素致使合同无法履行时，双方应及时协商解决。</w:t>
      </w:r>
    </w:p>
    <w:p>
      <w:pPr>
        <w:ind w:firstLine="480" w:firstLineChars="200"/>
        <w:rPr>
          <w:rFonts w:hint="eastAsia" w:ascii="仿宋" w:hAnsi="仿宋" w:eastAsia="仿宋" w:cs="仿宋"/>
          <w:sz w:val="24"/>
        </w:rPr>
      </w:pPr>
      <w:r>
        <w:rPr>
          <w:rFonts w:hint="eastAsia" w:ascii="仿宋" w:hAnsi="仿宋" w:eastAsia="仿宋" w:cs="仿宋"/>
          <w:sz w:val="24"/>
        </w:rPr>
        <w:t>9.7 本合同发生争议，双方当事人应及时协商解决。也可由当地建设行政主管部门调解，调解不成时，双方当事人同意向发包人所在地人民法院起诉。</w:t>
      </w:r>
    </w:p>
    <w:p>
      <w:pPr>
        <w:ind w:firstLine="480" w:firstLineChars="200"/>
        <w:rPr>
          <w:rFonts w:hint="eastAsia" w:ascii="仿宋" w:hAnsi="仿宋" w:eastAsia="仿宋" w:cs="仿宋"/>
          <w:sz w:val="24"/>
        </w:rPr>
      </w:pPr>
      <w:r>
        <w:rPr>
          <w:rFonts w:hint="eastAsia" w:ascii="仿宋" w:hAnsi="仿宋" w:eastAsia="仿宋" w:cs="仿宋"/>
          <w:sz w:val="24"/>
        </w:rPr>
        <w:t xml:space="preserve">诉讼文书送达地址： </w:t>
      </w:r>
    </w:p>
    <w:p>
      <w:pPr>
        <w:ind w:firstLine="480" w:firstLineChars="200"/>
        <w:rPr>
          <w:rFonts w:hint="eastAsia" w:ascii="仿宋" w:hAnsi="仿宋" w:eastAsia="仿宋" w:cs="仿宋"/>
          <w:sz w:val="24"/>
        </w:rPr>
      </w:pPr>
      <w:r>
        <w:rPr>
          <w:rFonts w:hint="eastAsia" w:ascii="仿宋" w:hAnsi="仿宋" w:eastAsia="仿宋" w:cs="仿宋"/>
          <w:sz w:val="24"/>
        </w:rPr>
        <w:t>发包人  重庆市渝北区泰山大道东段梧桐路6号交通开投大厦</w:t>
      </w:r>
    </w:p>
    <w:p>
      <w:pPr>
        <w:ind w:firstLine="480" w:firstLineChars="200"/>
        <w:rPr>
          <w:rFonts w:hint="eastAsia" w:ascii="仿宋" w:hAnsi="仿宋" w:eastAsia="仿宋" w:cs="仿宋"/>
          <w:color w:val="4472C4" w:themeColor="accent5"/>
          <w:sz w:val="24"/>
          <w14:textFill>
            <w14:solidFill>
              <w14:schemeClr w14:val="accent5"/>
            </w14:solidFill>
          </w14:textFill>
        </w:rPr>
      </w:pPr>
      <w:r>
        <w:rPr>
          <w:rFonts w:hint="eastAsia" w:ascii="仿宋" w:hAnsi="仿宋" w:eastAsia="仿宋" w:cs="仿宋"/>
          <w:sz w:val="24"/>
        </w:rPr>
        <w:t>联系人：</w:t>
      </w:r>
      <w:r>
        <w:rPr>
          <w:rFonts w:hint="eastAsia" w:ascii="仿宋" w:hAnsi="仿宋" w:eastAsia="仿宋" w:cs="仿宋"/>
          <w:color w:val="4472C4" w:themeColor="accent5"/>
          <w:sz w:val="24"/>
          <w14:textFill>
            <w14:solidFill>
              <w14:schemeClr w14:val="accent5"/>
            </w14:solidFill>
          </w14:textFill>
        </w:rPr>
        <w:t>廖昉   电话：88602681</w:t>
      </w:r>
    </w:p>
    <w:p>
      <w:pPr>
        <w:ind w:firstLine="480" w:firstLineChars="200"/>
        <w:rPr>
          <w:rFonts w:hint="eastAsia" w:ascii="仿宋" w:hAnsi="仿宋" w:eastAsia="仿宋" w:cs="仿宋"/>
          <w:sz w:val="24"/>
        </w:rPr>
      </w:pPr>
      <w:r>
        <w:rPr>
          <w:rFonts w:hint="eastAsia" w:ascii="仿宋" w:hAnsi="仿宋" w:eastAsia="仿宋" w:cs="仿宋"/>
          <w:sz w:val="24"/>
        </w:rPr>
        <w:t xml:space="preserve">设计人                  </w:t>
      </w:r>
    </w:p>
    <w:p>
      <w:pPr>
        <w:ind w:firstLine="480" w:firstLineChars="200"/>
        <w:rPr>
          <w:rFonts w:hint="eastAsia" w:ascii="仿宋" w:hAnsi="仿宋" w:eastAsia="仿宋" w:cs="仿宋"/>
          <w:sz w:val="24"/>
        </w:rPr>
      </w:pPr>
      <w:r>
        <w:rPr>
          <w:rFonts w:hint="eastAsia" w:ascii="仿宋" w:hAnsi="仿宋" w:eastAsia="仿宋" w:cs="仿宋"/>
          <w:sz w:val="24"/>
        </w:rPr>
        <w:t xml:space="preserve">联系人：        电话：    </w:t>
      </w:r>
    </w:p>
    <w:p>
      <w:pPr>
        <w:ind w:firstLine="480" w:firstLineChars="200"/>
        <w:rPr>
          <w:rFonts w:hint="eastAsia" w:ascii="仿宋" w:hAnsi="仿宋" w:eastAsia="仿宋" w:cs="仿宋"/>
          <w:sz w:val="24"/>
        </w:rPr>
      </w:pPr>
      <w:r>
        <w:rPr>
          <w:rFonts w:hint="eastAsia" w:ascii="仿宋" w:hAnsi="仿宋" w:eastAsia="仿宋" w:cs="仿宋"/>
          <w:sz w:val="24"/>
        </w:rPr>
        <w:t>按照约定地址送达的，视为当事人签收；受送达人拒收的，不影响送达的效力。当事人如需变更约定送达地址，应在地址变更后3日内书面通知对方当事人；未按约定方式通知的，原约定送达地址仍为有效送达地址。如因设计人违约导致诉讼，产生的诉讼费、保全费、担保费、律师费等实现债权的费用由设计人承担。</w:t>
      </w:r>
    </w:p>
    <w:p>
      <w:pPr>
        <w:ind w:firstLine="480" w:firstLineChars="200"/>
        <w:rPr>
          <w:rFonts w:hint="eastAsia" w:ascii="仿宋" w:hAnsi="仿宋" w:eastAsia="仿宋" w:cs="仿宋"/>
          <w:sz w:val="24"/>
        </w:rPr>
      </w:pPr>
      <w:r>
        <w:rPr>
          <w:rFonts w:hint="eastAsia" w:ascii="仿宋" w:hAnsi="仿宋" w:eastAsia="仿宋" w:cs="仿宋"/>
          <w:sz w:val="24"/>
        </w:rPr>
        <w:t>9.8 本合同一式</w:t>
      </w:r>
      <w:r>
        <w:rPr>
          <w:rFonts w:hint="eastAsia" w:ascii="仿宋" w:hAnsi="仿宋" w:eastAsia="仿宋" w:cs="仿宋"/>
          <w:sz w:val="24"/>
          <w:u w:val="single"/>
        </w:rPr>
        <w:t xml:space="preserve"> 陆 </w:t>
      </w:r>
      <w:r>
        <w:rPr>
          <w:rFonts w:hint="eastAsia" w:ascii="仿宋" w:hAnsi="仿宋" w:eastAsia="仿宋" w:cs="仿宋"/>
          <w:sz w:val="24"/>
        </w:rPr>
        <w:t>份，发包人</w:t>
      </w:r>
      <w:r>
        <w:rPr>
          <w:rFonts w:hint="eastAsia" w:ascii="仿宋" w:hAnsi="仿宋" w:eastAsia="仿宋" w:cs="仿宋"/>
          <w:sz w:val="24"/>
          <w:u w:val="single"/>
        </w:rPr>
        <w:t xml:space="preserve"> 叁 </w:t>
      </w:r>
      <w:r>
        <w:rPr>
          <w:rFonts w:hint="eastAsia" w:ascii="仿宋" w:hAnsi="仿宋" w:eastAsia="仿宋" w:cs="仿宋"/>
          <w:sz w:val="24"/>
        </w:rPr>
        <w:t xml:space="preserve">份，设计人 </w:t>
      </w:r>
      <w:r>
        <w:rPr>
          <w:rFonts w:hint="eastAsia" w:ascii="仿宋" w:hAnsi="仿宋" w:eastAsia="仿宋" w:cs="仿宋"/>
          <w:sz w:val="24"/>
          <w:u w:val="single"/>
        </w:rPr>
        <w:t xml:space="preserve">叁 </w:t>
      </w:r>
      <w:r>
        <w:rPr>
          <w:rFonts w:hint="eastAsia" w:ascii="仿宋" w:hAnsi="仿宋" w:eastAsia="仿宋" w:cs="仿宋"/>
          <w:sz w:val="24"/>
        </w:rPr>
        <w:t>份。</w:t>
      </w:r>
    </w:p>
    <w:p>
      <w:pPr>
        <w:ind w:firstLine="480" w:firstLineChars="200"/>
        <w:rPr>
          <w:rFonts w:hint="eastAsia" w:ascii="仿宋" w:hAnsi="仿宋" w:eastAsia="仿宋" w:cs="仿宋"/>
          <w:sz w:val="24"/>
        </w:rPr>
      </w:pPr>
      <w:r>
        <w:rPr>
          <w:rFonts w:hint="eastAsia" w:ascii="仿宋" w:hAnsi="仿宋" w:eastAsia="仿宋" w:cs="仿宋"/>
          <w:sz w:val="24"/>
        </w:rPr>
        <w:t>9.9 本合同经双方签章并在发包人向设计人支付定金后生效。</w:t>
      </w:r>
    </w:p>
    <w:p>
      <w:pPr>
        <w:ind w:firstLine="480" w:firstLineChars="200"/>
        <w:rPr>
          <w:rFonts w:hint="eastAsia" w:ascii="仿宋" w:hAnsi="仿宋" w:eastAsia="仿宋" w:cs="仿宋"/>
          <w:sz w:val="24"/>
        </w:rPr>
      </w:pPr>
      <w:r>
        <w:rPr>
          <w:rFonts w:hint="eastAsia" w:ascii="仿宋" w:hAnsi="仿宋" w:eastAsia="仿宋" w:cs="仿宋"/>
          <w:sz w:val="24"/>
        </w:rPr>
        <w:t>9.10 本合同生效后，按规定到项目所在省级建设行政主管部门规定的审查部门备案。双方认为必要时，到项目所在地工商行政管理部门申请鉴证。双方履行完合同规定的义务后，本合同即行终止。</w:t>
      </w:r>
    </w:p>
    <w:p>
      <w:pPr>
        <w:ind w:firstLine="480" w:firstLineChars="200"/>
        <w:rPr>
          <w:rFonts w:hint="eastAsia" w:ascii="仿宋" w:hAnsi="仿宋" w:eastAsia="仿宋" w:cs="仿宋"/>
          <w:sz w:val="24"/>
        </w:rPr>
      </w:pPr>
      <w:r>
        <w:rPr>
          <w:rFonts w:hint="eastAsia" w:ascii="仿宋" w:hAnsi="仿宋" w:eastAsia="仿宋" w:cs="仿宋"/>
          <w:sz w:val="24"/>
        </w:rPr>
        <w:t>9.11 本合同未尽事宜，双方可签订补充协议，有关协议及双方认可的来往电报、传真、会议纪要等，均为本合同组成部分，与本合同具有同等法律效力。</w:t>
      </w:r>
    </w:p>
    <w:p>
      <w:pPr>
        <w:ind w:firstLine="480" w:firstLineChars="200"/>
        <w:rPr>
          <w:rFonts w:hint="eastAsia" w:ascii="仿宋" w:hAnsi="仿宋" w:eastAsia="仿宋" w:cs="仿宋"/>
          <w:sz w:val="24"/>
        </w:rPr>
      </w:pPr>
      <w:r>
        <w:rPr>
          <w:rFonts w:hint="eastAsia" w:ascii="仿宋" w:hAnsi="仿宋" w:eastAsia="仿宋" w:cs="仿宋"/>
          <w:sz w:val="24"/>
        </w:rPr>
        <w:t>9.12 其它约定事项：无</w:t>
      </w:r>
    </w:p>
    <w:p>
      <w:pPr>
        <w:ind w:firstLine="480" w:firstLineChars="200"/>
        <w:rPr>
          <w:rFonts w:hint="eastAsia" w:ascii="仿宋" w:hAnsi="仿宋" w:eastAsia="仿宋" w:cs="仿宋"/>
          <w:sz w:val="24"/>
        </w:rPr>
      </w:pPr>
      <w:r>
        <w:rPr>
          <w:rFonts w:hint="eastAsia" w:ascii="仿宋" w:hAnsi="仿宋" w:eastAsia="仿宋" w:cs="仿宋"/>
          <w:sz w:val="24"/>
        </w:rPr>
        <w:t>（以下无正文）</w:t>
      </w:r>
    </w:p>
    <w:p>
      <w:pPr>
        <w:rPr>
          <w:rFonts w:hint="eastAsia" w:ascii="仿宋" w:hAnsi="仿宋" w:eastAsia="仿宋" w:cs="仿宋"/>
          <w:sz w:val="24"/>
        </w:rPr>
      </w:pPr>
      <w:r>
        <w:rPr>
          <w:rFonts w:hint="eastAsia" w:ascii="仿宋" w:hAnsi="仿宋" w:eastAsia="仿宋" w:cs="仿宋"/>
          <w:sz w:val="24"/>
        </w:rPr>
        <w:t>发包人名称：                       设计人名称：</w:t>
      </w:r>
    </w:p>
    <w:p>
      <w:pPr>
        <w:rPr>
          <w:rFonts w:hint="eastAsia" w:ascii="仿宋" w:hAnsi="仿宋" w:eastAsia="仿宋" w:cs="仿宋"/>
          <w:sz w:val="24"/>
        </w:rPr>
      </w:pPr>
      <w:r>
        <w:rPr>
          <w:rFonts w:hint="eastAsia" w:ascii="仿宋" w:hAnsi="仿宋" w:eastAsia="仿宋" w:cs="仿宋"/>
          <w:sz w:val="24"/>
        </w:rPr>
        <w:t xml:space="preserve">重庆城市综合交通枢纽(集团)有限公司                                                                                                                                                                                                                                 </w:t>
      </w:r>
    </w:p>
    <w:p>
      <w:pPr>
        <w:rPr>
          <w:rFonts w:hint="eastAsia" w:ascii="仿宋" w:hAnsi="仿宋" w:eastAsia="仿宋" w:cs="仿宋"/>
          <w:sz w:val="24"/>
        </w:rPr>
      </w:pPr>
      <w:r>
        <w:rPr>
          <w:rFonts w:hint="eastAsia" w:ascii="仿宋" w:hAnsi="仿宋" w:eastAsia="仿宋" w:cs="仿宋"/>
          <w:sz w:val="24"/>
        </w:rPr>
        <w:t xml:space="preserve">（盖章）                           （盖章）                    </w:t>
      </w:r>
    </w:p>
    <w:p>
      <w:pPr>
        <w:rPr>
          <w:rFonts w:hint="eastAsia" w:ascii="仿宋" w:hAnsi="仿宋" w:eastAsia="仿宋" w:cs="仿宋"/>
          <w:sz w:val="24"/>
        </w:rPr>
      </w:pPr>
      <w:r>
        <w:rPr>
          <w:rFonts w:hint="eastAsia" w:ascii="仿宋" w:hAnsi="仿宋" w:eastAsia="仿宋" w:cs="仿宋"/>
          <w:sz w:val="24"/>
        </w:rPr>
        <w:t>法定代表人：（签字）                   法定代表人：（签字）</w:t>
      </w:r>
    </w:p>
    <w:p>
      <w:pPr>
        <w:rPr>
          <w:rFonts w:hint="eastAsia" w:ascii="仿宋" w:hAnsi="仿宋" w:eastAsia="仿宋" w:cs="仿宋"/>
          <w:sz w:val="24"/>
        </w:rPr>
      </w:pPr>
      <w:r>
        <w:rPr>
          <w:rFonts w:hint="eastAsia" w:ascii="仿宋" w:hAnsi="仿宋" w:eastAsia="仿宋" w:cs="仿宋"/>
          <w:sz w:val="24"/>
        </w:rPr>
        <w:t>委托代理人：（签字）                   委托代理人：（签字）</w:t>
      </w:r>
    </w:p>
    <w:p>
      <w:pPr>
        <w:ind w:left="4080" w:hanging="4080" w:hangingChars="1700"/>
        <w:rPr>
          <w:rFonts w:hint="eastAsia" w:ascii="仿宋" w:hAnsi="仿宋" w:eastAsia="仿宋" w:cs="仿宋"/>
          <w:sz w:val="24"/>
        </w:rPr>
      </w:pPr>
      <w:r>
        <w:rPr>
          <w:rFonts w:hint="eastAsia" w:ascii="仿宋" w:hAnsi="仿宋" w:eastAsia="仿宋" w:cs="仿宋"/>
          <w:sz w:val="24"/>
        </w:rPr>
        <w:t>经办人：                              经办人：</w:t>
      </w:r>
    </w:p>
    <w:p>
      <w:pPr>
        <w:ind w:left="4080" w:hanging="4080" w:hangingChars="1700"/>
        <w:rPr>
          <w:rFonts w:hint="eastAsia" w:ascii="仿宋" w:hAnsi="仿宋" w:eastAsia="仿宋" w:cs="仿宋"/>
          <w:sz w:val="24"/>
        </w:rPr>
      </w:pPr>
      <w:r>
        <w:rPr>
          <w:rFonts w:hint="eastAsia" w:ascii="仿宋" w:hAnsi="仿宋" w:eastAsia="仿宋" w:cs="仿宋"/>
          <w:sz w:val="24"/>
        </w:rPr>
        <w:t xml:space="preserve">住    所：重庆市渝北区泰山大道       住所:  </w:t>
      </w:r>
    </w:p>
    <w:p>
      <w:pPr>
        <w:ind w:firstLine="480" w:firstLineChars="200"/>
        <w:rPr>
          <w:rFonts w:hint="eastAsia" w:ascii="仿宋" w:hAnsi="仿宋" w:eastAsia="仿宋" w:cs="仿宋"/>
          <w:sz w:val="24"/>
        </w:rPr>
      </w:pPr>
      <w:r>
        <w:rPr>
          <w:rFonts w:hint="eastAsia" w:ascii="仿宋" w:hAnsi="仿宋" w:eastAsia="仿宋" w:cs="仿宋"/>
          <w:sz w:val="24"/>
        </w:rPr>
        <w:t xml:space="preserve">东段梧桐路6号交通开投大厦            </w:t>
      </w:r>
    </w:p>
    <w:p>
      <w:pPr>
        <w:rPr>
          <w:rFonts w:hint="eastAsia" w:ascii="仿宋" w:hAnsi="仿宋" w:eastAsia="仿宋" w:cs="仿宋"/>
          <w:sz w:val="24"/>
        </w:rPr>
      </w:pPr>
      <w:r>
        <w:rPr>
          <w:rFonts w:hint="eastAsia" w:ascii="仿宋" w:hAnsi="仿宋" w:eastAsia="仿宋" w:cs="仿宋"/>
          <w:sz w:val="24"/>
        </w:rPr>
        <w:t xml:space="preserve">邮政编码：400030                     邮政编码： </w:t>
      </w:r>
    </w:p>
    <w:p>
      <w:pPr>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color w:val="auto"/>
          <w:sz w:val="24"/>
        </w:rPr>
        <w:t xml:space="preserve">023-63066530 </w:t>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电    话： </w:t>
      </w:r>
    </w:p>
    <w:p>
      <w:pPr>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highlight w:val="none"/>
        </w:rPr>
        <w:t>023-88602673</w:t>
      </w:r>
      <w:r>
        <w:rPr>
          <w:rFonts w:hint="eastAsia" w:ascii="仿宋" w:hAnsi="仿宋" w:eastAsia="仿宋" w:cs="仿宋"/>
          <w:sz w:val="24"/>
        </w:rPr>
        <w:t xml:space="preserve">               传    真：  </w:t>
      </w:r>
    </w:p>
    <w:p>
      <w:pPr>
        <w:rPr>
          <w:rFonts w:hint="eastAsia" w:ascii="仿宋" w:hAnsi="仿宋" w:eastAsia="仿宋" w:cs="仿宋"/>
          <w:color w:val="auto"/>
          <w:sz w:val="24"/>
        </w:rPr>
      </w:pPr>
      <w:r>
        <w:rPr>
          <w:rFonts w:hint="eastAsia" w:ascii="仿宋" w:hAnsi="仿宋" w:eastAsia="仿宋" w:cs="仿宋"/>
          <w:sz w:val="24"/>
        </w:rPr>
        <w:t>开</w:t>
      </w:r>
      <w:r>
        <w:rPr>
          <w:rFonts w:hint="eastAsia" w:ascii="仿宋" w:hAnsi="仿宋" w:eastAsia="仿宋" w:cs="仿宋"/>
          <w:color w:val="auto"/>
          <w:sz w:val="24"/>
        </w:rPr>
        <w:t>户单位：</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开户单位： </w:t>
      </w:r>
    </w:p>
    <w:p>
      <w:pPr>
        <w:rPr>
          <w:rFonts w:hint="eastAsia" w:ascii="仿宋" w:hAnsi="仿宋" w:eastAsia="仿宋" w:cs="仿宋"/>
          <w:color w:val="auto"/>
          <w:sz w:val="24"/>
        </w:rPr>
      </w:pPr>
      <w:r>
        <w:rPr>
          <w:rFonts w:hint="eastAsia" w:ascii="仿宋" w:hAnsi="仿宋" w:eastAsia="仿宋" w:cs="仿宋"/>
          <w:color w:val="auto"/>
          <w:sz w:val="24"/>
        </w:rPr>
        <w:t xml:space="preserve">重庆城市综合交通枢纽(集团)有限公司    </w:t>
      </w:r>
    </w:p>
    <w:p>
      <w:pPr>
        <w:rPr>
          <w:rFonts w:hint="eastAsia" w:ascii="仿宋" w:hAnsi="仿宋" w:eastAsia="仿宋" w:cs="仿宋"/>
          <w:color w:val="auto"/>
          <w:sz w:val="24"/>
        </w:rPr>
      </w:pPr>
      <w:r>
        <w:rPr>
          <w:rFonts w:hint="eastAsia" w:ascii="仿宋" w:hAnsi="仿宋" w:eastAsia="仿宋" w:cs="仿宋"/>
          <w:color w:val="auto"/>
          <w:sz w:val="24"/>
        </w:rPr>
        <w:t xml:space="preserve">开户银行：中国工商银行重庆两江分行   开户银行： </w:t>
      </w:r>
    </w:p>
    <w:p>
      <w:pPr>
        <w:ind w:firstLine="5760" w:firstLineChars="2400"/>
        <w:rPr>
          <w:rFonts w:hint="eastAsia" w:ascii="仿宋" w:hAnsi="仿宋" w:eastAsia="仿宋" w:cs="仿宋"/>
          <w:color w:val="auto"/>
          <w:sz w:val="24"/>
        </w:rPr>
      </w:pPr>
      <w:r>
        <w:rPr>
          <w:rFonts w:hint="eastAsia" w:ascii="仿宋" w:hAnsi="仿宋" w:eastAsia="仿宋" w:cs="仿宋"/>
          <w:color w:val="auto"/>
          <w:sz w:val="24"/>
        </w:rPr>
        <w:t xml:space="preserve"> </w:t>
      </w:r>
    </w:p>
    <w:p>
      <w:pPr>
        <w:rPr>
          <w:rFonts w:hint="eastAsia" w:ascii="仿宋" w:hAnsi="仿宋" w:eastAsia="仿宋" w:cs="仿宋"/>
          <w:color w:val="auto"/>
          <w:sz w:val="24"/>
        </w:rPr>
      </w:pPr>
      <w:r>
        <w:rPr>
          <w:rFonts w:hint="eastAsia" w:ascii="仿宋" w:hAnsi="仿宋" w:eastAsia="仿宋" w:cs="仿宋"/>
          <w:color w:val="auto"/>
          <w:sz w:val="24"/>
        </w:rPr>
        <w:t>银行帐号：3100020219200124082</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银行帐号： </w:t>
      </w:r>
    </w:p>
    <w:p>
      <w:pPr>
        <w:rPr>
          <w:rFonts w:hint="eastAsia" w:ascii="仿宋" w:hAnsi="仿宋" w:eastAsia="仿宋" w:cs="仿宋"/>
          <w:color w:val="auto"/>
        </w:rPr>
      </w:pPr>
      <w:r>
        <w:rPr>
          <w:rFonts w:hint="eastAsia" w:ascii="仿宋" w:hAnsi="仿宋" w:eastAsia="仿宋" w:cs="仿宋"/>
          <w:color w:val="auto"/>
        </w:rPr>
        <w:br w:type="page"/>
      </w:r>
    </w:p>
    <w:p>
      <w:pPr>
        <w:spacing w:line="360" w:lineRule="auto"/>
        <w:jc w:val="left"/>
        <w:rPr>
          <w:rFonts w:ascii="仿宋" w:hAnsi="仿宋" w:eastAsia="仿宋" w:cs="仿宋"/>
          <w:b/>
          <w:sz w:val="24"/>
        </w:rPr>
      </w:pPr>
      <w:r>
        <w:rPr>
          <w:rFonts w:hint="eastAsia" w:ascii="仿宋" w:hAnsi="仿宋" w:eastAsia="仿宋" w:cs="仿宋"/>
          <w:b/>
          <w:sz w:val="30"/>
        </w:rPr>
        <w:t>附件1：服务承诺书</w:t>
      </w:r>
    </w:p>
    <w:p>
      <w:pPr>
        <w:ind w:firstLine="480" w:firstLineChars="200"/>
        <w:rPr>
          <w:rFonts w:hint="eastAsia" w:ascii="仿宋" w:hAnsi="仿宋" w:eastAsia="仿宋" w:cs="仿宋"/>
          <w:sz w:val="24"/>
        </w:rPr>
      </w:pPr>
      <w:r>
        <w:rPr>
          <w:rFonts w:hint="eastAsia" w:ascii="仿宋" w:hAnsi="仿宋" w:eastAsia="仿宋" w:cs="仿宋"/>
          <w:sz w:val="24"/>
        </w:rPr>
        <w:t>1.设计时间承诺：根据发包人的设计文件要求，设计人对设计时间作如下承诺：按发包人规定的设计时间内完成设计并配置相应资质与业务水准的项目负责人,作息时间与发包人一致,周六、周日及节假日可以加班。加班所产生的一切费用由设计人自行承担。</w:t>
      </w:r>
    </w:p>
    <w:p>
      <w:pPr>
        <w:ind w:firstLine="480" w:firstLineChars="200"/>
        <w:rPr>
          <w:rFonts w:hint="eastAsia" w:ascii="仿宋" w:hAnsi="仿宋" w:eastAsia="仿宋" w:cs="仿宋"/>
          <w:sz w:val="24"/>
        </w:rPr>
      </w:pPr>
      <w:r>
        <w:rPr>
          <w:rFonts w:hint="eastAsia" w:ascii="仿宋" w:hAnsi="仿宋" w:eastAsia="仿宋" w:cs="仿宋"/>
          <w:sz w:val="24"/>
        </w:rPr>
        <w:t>3.设计变更承诺：设计人保证在发包人提出问题24小时内做出回复，商定时间内完成书面变更资料。</w:t>
      </w:r>
    </w:p>
    <w:p>
      <w:pPr>
        <w:ind w:firstLine="480" w:firstLineChars="200"/>
        <w:rPr>
          <w:rFonts w:hint="eastAsia" w:ascii="仿宋" w:hAnsi="仿宋" w:eastAsia="仿宋" w:cs="仿宋"/>
          <w:sz w:val="24"/>
        </w:rPr>
      </w:pPr>
      <w:r>
        <w:rPr>
          <w:rFonts w:hint="eastAsia" w:ascii="仿宋" w:hAnsi="仿宋" w:eastAsia="仿宋" w:cs="仿宋"/>
          <w:sz w:val="24"/>
        </w:rPr>
        <w:t>4.设计人承诺未经发包人同意不得更换设计总负责人及专业负责人，并随时保持联系。</w:t>
      </w:r>
    </w:p>
    <w:p>
      <w:pPr>
        <w:ind w:firstLine="480" w:firstLineChars="200"/>
        <w:rPr>
          <w:rFonts w:hint="eastAsia" w:ascii="仿宋" w:hAnsi="仿宋" w:eastAsia="仿宋" w:cs="仿宋"/>
          <w:sz w:val="24"/>
        </w:rPr>
      </w:pPr>
      <w:r>
        <w:rPr>
          <w:rFonts w:hint="eastAsia" w:ascii="仿宋" w:hAnsi="仿宋" w:eastAsia="仿宋" w:cs="仿宋"/>
          <w:sz w:val="24"/>
        </w:rPr>
        <w:t>5.设计人承诺如遇合同未尽事宜，双方协议确定，设计人即开展工作，不得因为设计合同细节出入，影响整个设计及施工计划。</w:t>
      </w:r>
    </w:p>
    <w:p>
      <w:pPr>
        <w:ind w:firstLine="480" w:firstLineChars="200"/>
        <w:rPr>
          <w:rFonts w:hint="eastAsia" w:ascii="仿宋" w:hAnsi="仿宋" w:eastAsia="仿宋" w:cs="仿宋"/>
          <w:sz w:val="24"/>
        </w:rPr>
      </w:pPr>
      <w:r>
        <w:rPr>
          <w:rFonts w:hint="eastAsia" w:ascii="仿宋" w:hAnsi="仿宋" w:eastAsia="仿宋" w:cs="仿宋"/>
          <w:sz w:val="24"/>
        </w:rPr>
        <w:t>6.应发包人要求，某一专业或某一工作内容要委托其他设计单位进行时，设计人承诺应积极配合第三方的设计工作。</w:t>
      </w:r>
    </w:p>
    <w:p>
      <w:pPr>
        <w:ind w:firstLine="480" w:firstLineChars="200"/>
        <w:rPr>
          <w:rFonts w:hint="eastAsia" w:ascii="仿宋" w:hAnsi="仿宋" w:eastAsia="仿宋" w:cs="仿宋"/>
          <w:sz w:val="24"/>
        </w:rPr>
      </w:pPr>
      <w:r>
        <w:rPr>
          <w:rFonts w:hint="eastAsia" w:ascii="仿宋" w:hAnsi="仿宋" w:eastAsia="仿宋" w:cs="仿宋"/>
          <w:sz w:val="24"/>
        </w:rPr>
        <w:t>7.设计人企业本身对设计配合的要求：设计质量达到发包人设计文件要求，并有义务提供设计选用的新颖的或应用较少的材料、设备等必要工程信息，便于发包人采购或进行经济技术指标评估。</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spacing w:line="360" w:lineRule="auto"/>
        <w:jc w:val="left"/>
        <w:rPr>
          <w:rFonts w:hint="eastAsia" w:ascii="仿宋" w:hAnsi="仿宋" w:eastAsia="仿宋" w:cs="仿宋"/>
          <w:b/>
          <w:sz w:val="30"/>
          <w:szCs w:val="20"/>
        </w:rPr>
      </w:pPr>
      <w:r>
        <w:rPr>
          <w:rFonts w:hint="eastAsia" w:ascii="仿宋" w:hAnsi="仿宋" w:eastAsia="仿宋" w:cs="仿宋"/>
          <w:b/>
          <w:sz w:val="30"/>
          <w:szCs w:val="20"/>
        </w:rPr>
        <w:t>附件2 设计文件深度及设计错误的分类</w:t>
      </w:r>
    </w:p>
    <w:p>
      <w:pPr>
        <w:ind w:firstLine="480"/>
        <w:rPr>
          <w:rFonts w:hint="eastAsia" w:ascii="仿宋" w:hAnsi="仿宋" w:eastAsia="仿宋" w:cs="仿宋"/>
          <w:sz w:val="24"/>
          <w:szCs w:val="18"/>
        </w:rPr>
      </w:pPr>
      <w:r>
        <w:rPr>
          <w:rFonts w:hint="eastAsia" w:ascii="仿宋" w:hAnsi="仿宋" w:eastAsia="仿宋" w:cs="仿宋"/>
          <w:sz w:val="24"/>
          <w:szCs w:val="18"/>
        </w:rPr>
        <w:t>针对以往工程的施工图错误较多及深度不够等图纸质量问题，造成施工和销售的极大返工，特此定出每个设计阶段各专业图纸的设计深度要求及各专业施工图的错误分类和施工图的质量等级。</w:t>
      </w:r>
    </w:p>
    <w:p>
      <w:pPr>
        <w:rPr>
          <w:rFonts w:hint="eastAsia" w:ascii="仿宋" w:hAnsi="仿宋" w:eastAsia="仿宋" w:cs="仿宋"/>
          <w:b/>
          <w:sz w:val="18"/>
          <w:szCs w:val="18"/>
        </w:rPr>
      </w:pPr>
      <w:r>
        <w:rPr>
          <w:rFonts w:hint="eastAsia" w:ascii="仿宋" w:hAnsi="仿宋" w:eastAsia="仿宋" w:cs="仿宋"/>
          <w:b/>
          <w:sz w:val="24"/>
          <w:szCs w:val="18"/>
        </w:rPr>
        <w:t>一、设计深度</w:t>
      </w:r>
    </w:p>
    <w:p>
      <w:pPr>
        <w:rPr>
          <w:rFonts w:hint="eastAsia" w:ascii="仿宋" w:hAnsi="仿宋" w:eastAsia="仿宋" w:cs="仿宋"/>
          <w:b/>
          <w:sz w:val="24"/>
          <w:szCs w:val="20"/>
        </w:rPr>
      </w:pPr>
      <w:r>
        <w:rPr>
          <w:rFonts w:hint="eastAsia" w:ascii="仿宋" w:hAnsi="仿宋" w:eastAsia="仿宋" w:cs="仿宋"/>
          <w:b/>
          <w:sz w:val="24"/>
          <w:szCs w:val="20"/>
        </w:rPr>
        <w:t>1、方案设计的深度要求</w:t>
      </w:r>
    </w:p>
    <w:p>
      <w:pPr>
        <w:ind w:firstLine="480" w:firstLineChars="200"/>
        <w:rPr>
          <w:rFonts w:hint="eastAsia" w:ascii="仿宋" w:hAnsi="仿宋" w:eastAsia="仿宋" w:cs="仿宋"/>
          <w:sz w:val="24"/>
          <w:szCs w:val="20"/>
        </w:rPr>
      </w:pPr>
      <w:r>
        <w:rPr>
          <w:rFonts w:hint="eastAsia" w:ascii="仿宋" w:hAnsi="仿宋" w:eastAsia="仿宋" w:cs="仿宋"/>
          <w:sz w:val="24"/>
          <w:szCs w:val="20"/>
        </w:rPr>
        <w:t>方案设计的深度要求按《重庆市规划局关于进一步明确建设工程规划设计成果内容深度要求的通知》（渝规发[2006]78号）中的要求执行。</w:t>
      </w:r>
    </w:p>
    <w:p>
      <w:pPr>
        <w:rPr>
          <w:rFonts w:hint="eastAsia" w:ascii="仿宋" w:hAnsi="仿宋" w:eastAsia="仿宋" w:cs="仿宋"/>
          <w:b/>
          <w:sz w:val="24"/>
          <w:szCs w:val="20"/>
        </w:rPr>
      </w:pPr>
      <w:r>
        <w:rPr>
          <w:rFonts w:hint="eastAsia" w:ascii="仿宋" w:hAnsi="仿宋" w:eastAsia="仿宋" w:cs="仿宋"/>
          <w:sz w:val="24"/>
          <w:szCs w:val="20"/>
        </w:rPr>
        <w:t>2、</w:t>
      </w:r>
      <w:r>
        <w:rPr>
          <w:rFonts w:hint="eastAsia" w:ascii="仿宋" w:hAnsi="仿宋" w:eastAsia="仿宋" w:cs="仿宋"/>
          <w:b/>
          <w:sz w:val="24"/>
          <w:szCs w:val="20"/>
        </w:rPr>
        <w:t>初步设计及施工图设计的深度要求</w:t>
      </w:r>
    </w:p>
    <w:p>
      <w:pPr>
        <w:ind w:firstLine="480" w:firstLineChars="200"/>
        <w:rPr>
          <w:rFonts w:hint="eastAsia" w:ascii="仿宋" w:hAnsi="仿宋" w:eastAsia="仿宋" w:cs="仿宋"/>
          <w:sz w:val="24"/>
          <w:szCs w:val="20"/>
        </w:rPr>
      </w:pPr>
      <w:r>
        <w:rPr>
          <w:rFonts w:hint="eastAsia" w:ascii="仿宋" w:hAnsi="仿宋" w:eastAsia="仿宋" w:cs="仿宋"/>
          <w:sz w:val="24"/>
          <w:szCs w:val="20"/>
        </w:rPr>
        <w:t>初步设计及施工图设计的深度要求应遵照住建部和市住建委编制的建筑工程设计文件编制深度的规定执行。</w:t>
      </w:r>
    </w:p>
    <w:p>
      <w:pPr>
        <w:rPr>
          <w:rFonts w:hint="eastAsia" w:ascii="仿宋" w:hAnsi="仿宋" w:eastAsia="仿宋" w:cs="仿宋"/>
          <w:b/>
          <w:sz w:val="24"/>
          <w:szCs w:val="20"/>
        </w:rPr>
      </w:pPr>
      <w:r>
        <w:rPr>
          <w:rFonts w:hint="eastAsia" w:ascii="仿宋" w:hAnsi="仿宋" w:eastAsia="仿宋" w:cs="仿宋"/>
          <w:b/>
          <w:sz w:val="24"/>
          <w:szCs w:val="20"/>
        </w:rPr>
        <w:t>二、施工图的错误分类</w:t>
      </w:r>
    </w:p>
    <w:p>
      <w:pPr>
        <w:rPr>
          <w:rFonts w:hint="eastAsia" w:ascii="仿宋" w:hAnsi="仿宋" w:eastAsia="仿宋" w:cs="仿宋"/>
          <w:b/>
          <w:sz w:val="24"/>
          <w:szCs w:val="20"/>
        </w:rPr>
      </w:pPr>
      <w:r>
        <w:rPr>
          <w:rFonts w:hint="eastAsia" w:ascii="仿宋" w:hAnsi="仿宋" w:eastAsia="仿宋" w:cs="仿宋"/>
          <w:b/>
          <w:sz w:val="24"/>
          <w:szCs w:val="20"/>
        </w:rPr>
        <w:t>1、Ⅰ类错误：</w:t>
      </w:r>
    </w:p>
    <w:p>
      <w:pPr>
        <w:rPr>
          <w:rFonts w:hint="eastAsia" w:ascii="仿宋" w:hAnsi="仿宋" w:eastAsia="仿宋" w:cs="仿宋"/>
          <w:sz w:val="24"/>
          <w:szCs w:val="20"/>
        </w:rPr>
      </w:pPr>
      <w:r>
        <w:rPr>
          <w:rFonts w:hint="eastAsia" w:ascii="仿宋" w:hAnsi="仿宋" w:eastAsia="仿宋" w:cs="仿宋"/>
          <w:sz w:val="24"/>
          <w:szCs w:val="20"/>
        </w:rPr>
        <w:t>A、严重违反规范、标准、规定，有可能造成严重影响安全和使用的错误。如：</w:t>
      </w:r>
    </w:p>
    <w:p>
      <w:pPr>
        <w:tabs>
          <w:tab w:val="left" w:pos="1980"/>
        </w:tabs>
        <w:ind w:left="1982" w:leftChars="258" w:hanging="1440" w:hangingChars="600"/>
        <w:rPr>
          <w:rFonts w:hint="eastAsia" w:ascii="仿宋" w:hAnsi="仿宋" w:eastAsia="仿宋" w:cs="仿宋"/>
          <w:sz w:val="24"/>
          <w:szCs w:val="20"/>
        </w:rPr>
      </w:pPr>
      <w:r>
        <w:rPr>
          <w:rFonts w:hint="eastAsia" w:ascii="仿宋" w:hAnsi="仿宋" w:eastAsia="仿宋" w:cs="仿宋"/>
          <w:sz w:val="24"/>
          <w:szCs w:val="20"/>
        </w:rPr>
        <w:t>建筑  专业  规划中消防间距不够，而又未采取措施；规划中日照间距不够；防火分区面积超规定，电梯/楼梯厅不符合防火要求等。</w:t>
      </w:r>
    </w:p>
    <w:p>
      <w:pPr>
        <w:tabs>
          <w:tab w:val="left" w:pos="1620"/>
          <w:tab w:val="left" w:pos="1800"/>
        </w:tabs>
        <w:ind w:left="1977" w:leftChars="257" w:hanging="1437" w:hangingChars="599"/>
        <w:rPr>
          <w:rFonts w:hint="eastAsia" w:ascii="仿宋" w:hAnsi="仿宋" w:eastAsia="仿宋" w:cs="仿宋"/>
          <w:sz w:val="24"/>
          <w:szCs w:val="20"/>
        </w:rPr>
      </w:pPr>
      <w:r>
        <w:rPr>
          <w:rFonts w:hint="eastAsia" w:ascii="仿宋" w:hAnsi="仿宋" w:eastAsia="仿宋" w:cs="仿宋"/>
          <w:sz w:val="24"/>
          <w:szCs w:val="20"/>
        </w:rPr>
        <w:t>结构  专业  结构（含基础）选型错误，应设计为框架结构的设计成混合结构；计算原则错误；未考虑抗震设计；建筑物长度超过规范要求而未采取任何措施等。</w:t>
      </w:r>
    </w:p>
    <w:p>
      <w:pPr>
        <w:tabs>
          <w:tab w:val="left" w:pos="1950"/>
          <w:tab w:val="left" w:pos="1980"/>
        </w:tabs>
        <w:ind w:left="1979" w:leftChars="228" w:hanging="1500" w:hangingChars="625"/>
        <w:rPr>
          <w:rFonts w:hint="eastAsia" w:ascii="仿宋" w:hAnsi="仿宋" w:eastAsia="仿宋" w:cs="仿宋"/>
          <w:sz w:val="24"/>
          <w:szCs w:val="20"/>
        </w:rPr>
      </w:pPr>
      <w:r>
        <w:rPr>
          <w:rFonts w:hint="eastAsia" w:ascii="仿宋" w:hAnsi="仿宋" w:eastAsia="仿宋" w:cs="仿宋"/>
          <w:sz w:val="24"/>
          <w:szCs w:val="20"/>
        </w:rPr>
        <w:t>给排水专业  规范要求的消防设施未设计；消防水量、水压达不到规范要求；生活给水水量、水压达不到规范要求等。</w:t>
      </w:r>
    </w:p>
    <w:p>
      <w:pPr>
        <w:tabs>
          <w:tab w:val="left" w:pos="1950"/>
          <w:tab w:val="left" w:pos="1980"/>
        </w:tabs>
        <w:ind w:left="1979" w:leftChars="228" w:hanging="1500" w:hangingChars="625"/>
        <w:rPr>
          <w:rFonts w:hint="eastAsia" w:ascii="仿宋" w:hAnsi="仿宋" w:eastAsia="仿宋" w:cs="仿宋"/>
          <w:sz w:val="24"/>
          <w:szCs w:val="20"/>
        </w:rPr>
      </w:pPr>
      <w:r>
        <w:rPr>
          <w:rFonts w:hint="eastAsia" w:ascii="仿宋" w:hAnsi="仿宋" w:eastAsia="仿宋" w:cs="仿宋"/>
          <w:sz w:val="24"/>
          <w:szCs w:val="20"/>
        </w:rPr>
        <w:t>暖通  专业  规范要求的防火排烟设施未设计，排烟风量达不到规范要求，又未采取必要的措施等。</w:t>
      </w:r>
    </w:p>
    <w:p>
      <w:pPr>
        <w:tabs>
          <w:tab w:val="left" w:pos="1950"/>
          <w:tab w:val="left" w:pos="1980"/>
        </w:tabs>
        <w:ind w:left="1979" w:leftChars="228" w:hanging="1500" w:hangingChars="625"/>
        <w:rPr>
          <w:rFonts w:hint="eastAsia" w:ascii="仿宋" w:hAnsi="仿宋" w:eastAsia="仿宋" w:cs="仿宋"/>
          <w:sz w:val="24"/>
          <w:szCs w:val="20"/>
        </w:rPr>
      </w:pPr>
      <w:r>
        <w:rPr>
          <w:rFonts w:hint="eastAsia" w:ascii="仿宋" w:hAnsi="仿宋" w:eastAsia="仿宋" w:cs="仿宋"/>
          <w:sz w:val="24"/>
          <w:szCs w:val="20"/>
        </w:rPr>
        <w:t>电气  专业  变配电、电话、电视、消防、广播音响等系统及各种机房平、剖面设备布置等严重违反规范、标准、规定；配电方案有严重缺陷等。</w:t>
      </w:r>
    </w:p>
    <w:p>
      <w:pPr>
        <w:tabs>
          <w:tab w:val="left" w:pos="1950"/>
        </w:tabs>
        <w:ind w:left="360" w:hanging="360" w:hangingChars="150"/>
        <w:rPr>
          <w:rFonts w:hint="eastAsia" w:ascii="仿宋" w:hAnsi="仿宋" w:eastAsia="仿宋" w:cs="仿宋"/>
          <w:sz w:val="24"/>
          <w:szCs w:val="20"/>
        </w:rPr>
      </w:pPr>
      <w:r>
        <w:rPr>
          <w:rFonts w:hint="eastAsia" w:ascii="仿宋" w:hAnsi="仿宋" w:eastAsia="仿宋" w:cs="仿宋"/>
          <w:sz w:val="24"/>
          <w:szCs w:val="20"/>
        </w:rPr>
        <w:t>B、设计不周或有严重错误，有可能造成不能正常使用、不安全或重大经济损失。如：</w:t>
      </w:r>
    </w:p>
    <w:p>
      <w:pPr>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建筑  专业  总平面竖向设计错误；轴线错误或对不上，楼梯碰头；视线计算错误等。</w:t>
      </w:r>
    </w:p>
    <w:p>
      <w:pPr>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结构  专业  计算书未经校对或计算中存在影响安全的严重错误而未经发现；基础选型错误，引起沉降过大；竖向构件强度不足；结构与建筑节点不一致等。</w:t>
      </w:r>
    </w:p>
    <w:p>
      <w:pPr>
        <w:tabs>
          <w:tab w:val="left" w:pos="195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给排水专业  由于设计的水塔或水箱高度不够，造成水压不足，出水量不能满足使用要求；高层建筑消防减压、止回等设计不当等。</w:t>
      </w:r>
    </w:p>
    <w:p>
      <w:pPr>
        <w:tabs>
          <w:tab w:val="left" w:pos="195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暖通  专业  冷、热负荷计算有重大错误或系统选择不当；膨胀水箱高度低于采暖系统等。</w:t>
      </w:r>
    </w:p>
    <w:p>
      <w:pPr>
        <w:tabs>
          <w:tab w:val="left" w:pos="195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电气  专业  选用国家已公布的机电淘汰产品；供配电系统的控制保护，自动控制和自动调节原理图，各站弱电设备之间线路连接图等设不周或有严重错误；低压配电柜开关与所保护电缆选型不匹配，电缆母线容量不匹配等。</w:t>
      </w:r>
    </w:p>
    <w:p>
      <w:pPr>
        <w:tabs>
          <w:tab w:val="left" w:pos="1950"/>
        </w:tabs>
        <w:ind w:left="360" w:hanging="360" w:hangingChars="150"/>
        <w:rPr>
          <w:rFonts w:hint="eastAsia" w:ascii="仿宋" w:hAnsi="仿宋" w:eastAsia="仿宋" w:cs="仿宋"/>
          <w:sz w:val="24"/>
          <w:szCs w:val="20"/>
        </w:rPr>
      </w:pPr>
      <w:r>
        <w:rPr>
          <w:rFonts w:hint="eastAsia" w:ascii="仿宋" w:hAnsi="仿宋" w:eastAsia="仿宋" w:cs="仿宋"/>
          <w:sz w:val="24"/>
          <w:szCs w:val="20"/>
        </w:rPr>
        <w:t>C、严重影响报建及销售工作的进行：如计容积率面积（包含各个分部）超过政府允许的误差范围；平立剖面对不上；民防单元面积超过规范。</w:t>
      </w:r>
    </w:p>
    <w:p>
      <w:pPr>
        <w:rPr>
          <w:rFonts w:hint="eastAsia" w:ascii="仿宋" w:hAnsi="仿宋" w:eastAsia="仿宋" w:cs="仿宋"/>
          <w:b/>
          <w:sz w:val="24"/>
          <w:szCs w:val="20"/>
        </w:rPr>
      </w:pPr>
      <w:r>
        <w:rPr>
          <w:rFonts w:hint="eastAsia" w:ascii="仿宋" w:hAnsi="仿宋" w:eastAsia="仿宋" w:cs="仿宋"/>
          <w:b/>
          <w:sz w:val="24"/>
          <w:szCs w:val="20"/>
        </w:rPr>
        <w:t>2、Ⅱ类错误：</w:t>
      </w:r>
    </w:p>
    <w:p>
      <w:pPr>
        <w:rPr>
          <w:rFonts w:hint="eastAsia" w:ascii="仿宋" w:hAnsi="仿宋" w:eastAsia="仿宋" w:cs="仿宋"/>
          <w:sz w:val="24"/>
          <w:szCs w:val="20"/>
        </w:rPr>
      </w:pPr>
      <w:r>
        <w:rPr>
          <w:rFonts w:hint="eastAsia" w:ascii="仿宋" w:hAnsi="仿宋" w:eastAsia="仿宋" w:cs="仿宋"/>
          <w:sz w:val="24"/>
          <w:szCs w:val="20"/>
        </w:rPr>
        <w:t>A、局部违反规范、标准、规定、但容易修正、且返工量不大。如：</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建筑  专业  栏杆的高度及强度不符合要求；消防电梯不合防火要求，疏散门宽度不够、管道井不合防火规范等。</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结构  专业  按简支计算的梁、支座与梁柱整体连接构造用负筋不够；悬挑构件配筋错误等。</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给排水专业  生活饮用水管与非饮用水道连接，未采取防回流污染措施等。</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暖通  专业  管道井不符合防火规定；过防火墙未装防火阀；风管材料及保温材料不符合防火要求等。</w:t>
      </w:r>
    </w:p>
    <w:p>
      <w:pPr>
        <w:tabs>
          <w:tab w:val="left" w:pos="1950"/>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电气  专业  低压配电级数超过三级；照明系统中单向回路灯和插座数量超过25个；烟、温感探测器位置；自动喷淋、排烟防火等系统连锁方式局部违反规范、标准、规定；双电源未考虑末端切换等。</w:t>
      </w:r>
    </w:p>
    <w:p>
      <w:pPr>
        <w:tabs>
          <w:tab w:val="left" w:pos="1950"/>
        </w:tabs>
        <w:rPr>
          <w:rFonts w:hint="eastAsia" w:ascii="仿宋" w:hAnsi="仿宋" w:eastAsia="仿宋" w:cs="仿宋"/>
          <w:sz w:val="24"/>
          <w:szCs w:val="20"/>
        </w:rPr>
      </w:pPr>
      <w:r>
        <w:rPr>
          <w:rFonts w:hint="eastAsia" w:ascii="仿宋" w:hAnsi="仿宋" w:eastAsia="仿宋" w:cs="仿宋"/>
          <w:sz w:val="24"/>
          <w:szCs w:val="20"/>
        </w:rPr>
        <w:t>B、设计不周、构造或用料不当，有可能造成影响局部使用效果，或重要部位尺寸错误，有可能造成严重后果。如：</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建筑  专业  结构承重部分在建筑图中未完全反映或错误；声光热防水防潮等的技术处理欠妥等。</w:t>
      </w:r>
    </w:p>
    <w:p>
      <w:pPr>
        <w:tabs>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结构  专业  各种门/窗洞高度不符合建筑设计要求，严重影响使用要求；存在明显的未设计部分，影响现场进度；结构标高与建筑面层要求不符；阳台、雨蓬的倾覆安全不够，钢筋砼构件配筋与计算书不符；应设置构造钢筋的部位不设或少设；未根据建筑功能要求部分梁上翻等。</w:t>
      </w:r>
    </w:p>
    <w:p>
      <w:pPr>
        <w:tabs>
          <w:tab w:val="left" w:pos="1950"/>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给排水专业  选用了已淘汰的耗能大的设备。热交换间未考虑检修条件等。</w:t>
      </w:r>
    </w:p>
    <w:p>
      <w:pPr>
        <w:tabs>
          <w:tab w:val="left" w:pos="1980"/>
        </w:tabs>
        <w:spacing w:after="120"/>
        <w:ind w:left="1791" w:leftChars="229" w:hanging="1310" w:hangingChars="624"/>
        <w:rPr>
          <w:rFonts w:hint="eastAsia" w:ascii="仿宋" w:hAnsi="仿宋" w:eastAsia="仿宋" w:cs="仿宋"/>
          <w:szCs w:val="20"/>
        </w:rPr>
      </w:pPr>
      <w:r>
        <w:rPr>
          <w:rFonts w:hint="eastAsia" w:ascii="仿宋" w:hAnsi="仿宋" w:eastAsia="仿宋" w:cs="仿宋"/>
          <w:szCs w:val="20"/>
        </w:rPr>
        <w:t>暖通  专业  选用了已淘汰的产品；机房布置未考虑检修条件；地下室的机房未考虑设备进出孔；风机的消声、减震处理不当等。</w:t>
      </w:r>
    </w:p>
    <w:p>
      <w:pPr>
        <w:tabs>
          <w:tab w:val="left" w:pos="1950"/>
          <w:tab w:val="left" w:pos="1980"/>
        </w:tabs>
        <w:ind w:left="1978" w:leftChars="229" w:hanging="1497" w:hangingChars="624"/>
        <w:rPr>
          <w:rFonts w:hint="eastAsia" w:ascii="仿宋" w:hAnsi="仿宋" w:eastAsia="仿宋" w:cs="仿宋"/>
          <w:sz w:val="24"/>
          <w:szCs w:val="20"/>
        </w:rPr>
      </w:pPr>
      <w:r>
        <w:rPr>
          <w:rFonts w:hint="eastAsia" w:ascii="仿宋" w:hAnsi="仿宋" w:eastAsia="仿宋" w:cs="仿宋"/>
          <w:sz w:val="24"/>
          <w:szCs w:val="20"/>
        </w:rPr>
        <w:t>电气  专业  强、弱电各种线路布局，设备选型不当，安装图和非标准图制作尺寸以及安装不符等。</w:t>
      </w:r>
    </w:p>
    <w:p>
      <w:pPr>
        <w:tabs>
          <w:tab w:val="left" w:pos="1950"/>
        </w:tabs>
        <w:ind w:left="360" w:hanging="360" w:hangingChars="150"/>
        <w:rPr>
          <w:rFonts w:hint="eastAsia" w:ascii="仿宋" w:hAnsi="仿宋" w:eastAsia="仿宋" w:cs="仿宋"/>
          <w:sz w:val="24"/>
          <w:szCs w:val="20"/>
        </w:rPr>
      </w:pPr>
      <w:r>
        <w:rPr>
          <w:rFonts w:hint="eastAsia" w:ascii="仿宋" w:hAnsi="仿宋" w:eastAsia="仿宋" w:cs="仿宋"/>
          <w:sz w:val="24"/>
          <w:szCs w:val="20"/>
        </w:rPr>
        <w:t>C、工种配合严重错误或局部遗漏有可能造成影响使用，或造成施工返工，如梁上预埋孔洞严重影响结构安全。</w:t>
      </w:r>
    </w:p>
    <w:p>
      <w:pPr>
        <w:tabs>
          <w:tab w:val="left" w:pos="1950"/>
        </w:tabs>
        <w:ind w:left="360" w:hanging="360" w:hangingChars="150"/>
        <w:rPr>
          <w:rFonts w:hint="eastAsia" w:ascii="仿宋" w:hAnsi="仿宋" w:eastAsia="仿宋" w:cs="仿宋"/>
          <w:sz w:val="24"/>
          <w:szCs w:val="20"/>
        </w:rPr>
      </w:pPr>
      <w:r>
        <w:rPr>
          <w:rFonts w:hint="eastAsia" w:ascii="仿宋" w:hAnsi="仿宋" w:eastAsia="仿宋" w:cs="仿宋"/>
          <w:sz w:val="24"/>
          <w:szCs w:val="20"/>
        </w:rPr>
        <w:t>D、结构专业计算、构造层层加码，造成严重浪费者。如设计荷载取用过大，实际配筋又大于计算要求很多等。</w:t>
      </w:r>
    </w:p>
    <w:p>
      <w:pPr>
        <w:tabs>
          <w:tab w:val="left" w:pos="1950"/>
        </w:tabs>
        <w:ind w:left="360" w:hanging="360" w:hangingChars="150"/>
        <w:rPr>
          <w:rFonts w:hint="eastAsia" w:ascii="仿宋" w:hAnsi="仿宋" w:eastAsia="仿宋" w:cs="仿宋"/>
          <w:sz w:val="24"/>
          <w:szCs w:val="20"/>
        </w:rPr>
      </w:pPr>
      <w:r>
        <w:rPr>
          <w:rFonts w:hint="eastAsia" w:ascii="仿宋" w:hAnsi="仿宋" w:eastAsia="仿宋" w:cs="仿宋"/>
          <w:sz w:val="24"/>
          <w:szCs w:val="20"/>
        </w:rPr>
        <w:t>E、严重影响报建及销售工作的进行：各配套设施建筑或功能区未详细标明或建筑标识不清，影响面积查丈及验收。</w:t>
      </w:r>
    </w:p>
    <w:p>
      <w:pPr>
        <w:tabs>
          <w:tab w:val="left" w:pos="1950"/>
        </w:tabs>
        <w:ind w:left="360" w:hanging="360" w:hangingChars="150"/>
        <w:rPr>
          <w:rFonts w:hint="eastAsia" w:ascii="仿宋" w:hAnsi="仿宋" w:eastAsia="仿宋" w:cs="仿宋"/>
          <w:sz w:val="24"/>
          <w:szCs w:val="20"/>
        </w:rPr>
      </w:pPr>
    </w:p>
    <w:p>
      <w:pPr>
        <w:rPr>
          <w:rFonts w:hint="eastAsia" w:ascii="仿宋" w:hAnsi="仿宋" w:eastAsia="仿宋" w:cs="仿宋"/>
          <w:b/>
          <w:sz w:val="24"/>
          <w:szCs w:val="20"/>
        </w:rPr>
      </w:pPr>
      <w:r>
        <w:rPr>
          <w:rFonts w:hint="eastAsia" w:ascii="仿宋" w:hAnsi="仿宋" w:eastAsia="仿宋" w:cs="仿宋"/>
          <w:b/>
          <w:sz w:val="24"/>
          <w:szCs w:val="20"/>
        </w:rPr>
        <w:t>3、Ⅲ类错误：</w:t>
      </w:r>
    </w:p>
    <w:p>
      <w:pPr>
        <w:numPr>
          <w:ilvl w:val="0"/>
          <w:numId w:val="7"/>
        </w:numPr>
        <w:rPr>
          <w:rFonts w:hint="eastAsia" w:ascii="仿宋" w:hAnsi="仿宋" w:eastAsia="仿宋" w:cs="仿宋"/>
          <w:sz w:val="24"/>
          <w:szCs w:val="20"/>
        </w:rPr>
      </w:pPr>
      <w:r>
        <w:rPr>
          <w:rFonts w:hint="eastAsia" w:ascii="仿宋" w:hAnsi="仿宋" w:eastAsia="仿宋" w:cs="仿宋"/>
          <w:sz w:val="24"/>
          <w:szCs w:val="20"/>
        </w:rPr>
        <w:t>容易修正、且不造成使用或安全缺陷，但会给建设单位、施工单位带来麻烦。如：</w:t>
      </w:r>
    </w:p>
    <w:p>
      <w:pPr>
        <w:ind w:left="359" w:leftChars="171" w:firstLine="480" w:firstLineChars="200"/>
        <w:rPr>
          <w:rFonts w:hint="eastAsia" w:ascii="仿宋" w:hAnsi="仿宋" w:eastAsia="仿宋" w:cs="仿宋"/>
          <w:sz w:val="24"/>
          <w:szCs w:val="20"/>
        </w:rPr>
      </w:pPr>
      <w:r>
        <w:rPr>
          <w:rFonts w:hint="eastAsia" w:ascii="仿宋" w:hAnsi="仿宋" w:eastAsia="仿宋" w:cs="仿宋"/>
          <w:sz w:val="24"/>
          <w:szCs w:val="20"/>
        </w:rPr>
        <w:t>建筑、结构、水、暖、电各专业：图纸目录不全、表达不够清楚、平剖面图不一致、一般性尺寸错误或不全、图例或符号不合规定、平面图与系统图不一致等。如：设计文件、计算书及存档材料的完整性不够；设计说明、图纸目录不全、图例符号表达不合规定；系统图与平面图的一致性的错、漏、碰、缺等。</w:t>
      </w:r>
    </w:p>
    <w:p>
      <w:pPr>
        <w:numPr>
          <w:ilvl w:val="0"/>
          <w:numId w:val="7"/>
        </w:numPr>
        <w:rPr>
          <w:rFonts w:hint="eastAsia" w:ascii="仿宋" w:hAnsi="仿宋" w:eastAsia="仿宋" w:cs="仿宋"/>
          <w:sz w:val="24"/>
          <w:szCs w:val="20"/>
        </w:rPr>
      </w:pPr>
      <w:r>
        <w:rPr>
          <w:rFonts w:hint="eastAsia" w:ascii="仿宋" w:hAnsi="仿宋" w:eastAsia="仿宋" w:cs="仿宋"/>
          <w:sz w:val="24"/>
          <w:szCs w:val="20"/>
        </w:rPr>
        <w:t xml:space="preserve">工种配合中的一般性错误，容易修正，且不致造成影响使用效果或安全。   </w:t>
      </w:r>
    </w:p>
    <w:p>
      <w:pPr>
        <w:rPr>
          <w:rFonts w:hint="eastAsia" w:ascii="仿宋" w:hAnsi="仿宋" w:eastAsia="仿宋" w:cs="仿宋"/>
          <w:sz w:val="24"/>
          <w:szCs w:val="20"/>
        </w:rPr>
      </w:pPr>
      <w:r>
        <w:rPr>
          <w:rFonts w:hint="eastAsia" w:ascii="仿宋" w:hAnsi="仿宋" w:eastAsia="仿宋" w:cs="仿宋"/>
          <w:b/>
          <w:sz w:val="24"/>
          <w:szCs w:val="20"/>
        </w:rPr>
        <w:t>三、施工图的质量等级</w:t>
      </w:r>
    </w:p>
    <w:p>
      <w:pPr>
        <w:ind w:left="360" w:hanging="360" w:hangingChars="150"/>
        <w:rPr>
          <w:rFonts w:hint="eastAsia" w:ascii="仿宋" w:hAnsi="仿宋" w:eastAsia="仿宋" w:cs="仿宋"/>
          <w:sz w:val="24"/>
          <w:szCs w:val="20"/>
        </w:rPr>
      </w:pPr>
      <w:r>
        <w:rPr>
          <w:rFonts w:hint="eastAsia" w:ascii="仿宋" w:hAnsi="仿宋" w:eastAsia="仿宋" w:cs="仿宋"/>
          <w:sz w:val="24"/>
          <w:szCs w:val="20"/>
        </w:rPr>
        <w:t>每张图纸质量评定：各专业施工图的质量标准，按每张A1施工图纸的错误性质和数量，分为优、良、合格、不合格四个等级。</w:t>
      </w:r>
    </w:p>
    <w:p>
      <w:pPr>
        <w:ind w:left="2160" w:hanging="2160" w:hangingChars="900"/>
        <w:rPr>
          <w:rFonts w:hint="eastAsia" w:ascii="仿宋" w:hAnsi="仿宋" w:eastAsia="仿宋" w:cs="仿宋"/>
          <w:sz w:val="24"/>
          <w:szCs w:val="20"/>
        </w:rPr>
      </w:pPr>
      <w:r>
        <w:rPr>
          <w:rFonts w:hint="eastAsia" w:ascii="仿宋" w:hAnsi="仿宋" w:eastAsia="仿宋" w:cs="仿宋"/>
          <w:sz w:val="24"/>
          <w:szCs w:val="20"/>
        </w:rPr>
        <w:t xml:space="preserve">      优级品 —— 平面图Ⅲ类错误不多于4个，其它图纸Ⅲ类错误不多于2个，且无Ⅰ、Ⅱ类错误者。</w:t>
      </w:r>
    </w:p>
    <w:p>
      <w:pPr>
        <w:ind w:left="2160" w:hanging="2160" w:hangingChars="900"/>
        <w:rPr>
          <w:rFonts w:hint="eastAsia" w:ascii="仿宋" w:hAnsi="仿宋" w:eastAsia="仿宋" w:cs="仿宋"/>
          <w:sz w:val="24"/>
          <w:szCs w:val="20"/>
        </w:rPr>
      </w:pPr>
      <w:r>
        <w:rPr>
          <w:rFonts w:hint="eastAsia" w:ascii="仿宋" w:hAnsi="仿宋" w:eastAsia="仿宋" w:cs="仿宋"/>
          <w:sz w:val="24"/>
          <w:szCs w:val="20"/>
        </w:rPr>
        <w:t xml:space="preserve">      良级品 —— 平面图Ⅲ类错误不多于8个，其它图纸Ⅲ类错误不多于6个；Ⅱ类错误不多于1个者。</w:t>
      </w:r>
    </w:p>
    <w:p>
      <w:pPr>
        <w:ind w:left="2160" w:hanging="2160" w:hangingChars="900"/>
        <w:rPr>
          <w:rFonts w:hint="eastAsia" w:ascii="仿宋" w:hAnsi="仿宋" w:eastAsia="仿宋" w:cs="仿宋"/>
          <w:sz w:val="24"/>
          <w:szCs w:val="20"/>
        </w:rPr>
      </w:pPr>
      <w:r>
        <w:rPr>
          <w:rFonts w:hint="eastAsia" w:ascii="仿宋" w:hAnsi="仿宋" w:eastAsia="仿宋" w:cs="仿宋"/>
          <w:sz w:val="24"/>
          <w:szCs w:val="20"/>
        </w:rPr>
        <w:t xml:space="preserve">      合格品 —— 平面图Ⅲ类错误不多于10个，其它图纸Ⅲ类错误不多于8个，Ⅱ类错误不多于2个者。</w:t>
      </w:r>
    </w:p>
    <w:p>
      <w:pPr>
        <w:ind w:left="2160" w:hanging="2160" w:hangingChars="900"/>
        <w:rPr>
          <w:rFonts w:hint="eastAsia" w:ascii="仿宋" w:hAnsi="仿宋" w:eastAsia="仿宋" w:cs="仿宋"/>
          <w:sz w:val="24"/>
          <w:szCs w:val="20"/>
          <w:highlight w:val="none"/>
        </w:rPr>
      </w:pPr>
      <w:r>
        <w:rPr>
          <w:rFonts w:hint="eastAsia" w:ascii="仿宋" w:hAnsi="仿宋" w:eastAsia="仿宋" w:cs="仿宋"/>
          <w:sz w:val="24"/>
          <w:szCs w:val="20"/>
        </w:rPr>
        <w:t xml:space="preserve">    不</w:t>
      </w:r>
      <w:r>
        <w:rPr>
          <w:rFonts w:hint="eastAsia" w:ascii="仿宋" w:hAnsi="仿宋" w:eastAsia="仿宋" w:cs="仿宋"/>
          <w:sz w:val="24"/>
          <w:szCs w:val="20"/>
          <w:highlight w:val="none"/>
        </w:rPr>
        <w:t>合格品 —— 平面图Ⅲ类错误多于10个，其它图纸Ⅲ类错误多于8个，Ⅱ类错误多于2个者。凡有Ⅰ类错误者均属不合格品。</w:t>
      </w:r>
    </w:p>
    <w:p>
      <w:pPr>
        <w:widowControl/>
        <w:snapToGrid w:val="0"/>
        <w:jc w:val="left"/>
        <w:rPr>
          <w:rFonts w:hint="eastAsia" w:ascii="仿宋" w:hAnsi="仿宋" w:eastAsia="仿宋" w:cs="仿宋"/>
          <w:kern w:val="0"/>
          <w:sz w:val="22"/>
          <w:szCs w:val="22"/>
        </w:rPr>
      </w:pPr>
    </w:p>
    <w:p>
      <w:pPr>
        <w:rPr>
          <w:rFonts w:eastAsia="仿宋_GB2312"/>
          <w:sz w:val="24"/>
        </w:rPr>
      </w:pPr>
    </w:p>
    <w:p>
      <w:pPr>
        <w:pStyle w:val="2"/>
        <w:rPr>
          <w:rFonts w:hint="eastAsia"/>
        </w:rPr>
      </w:pPr>
    </w:p>
    <w:p>
      <w:pPr>
        <w:rPr>
          <w:rFonts w:hint="eastAsia" w:ascii="仿宋" w:hAnsi="仿宋" w:eastAsia="仿宋" w:cs="仿宋"/>
        </w:rPr>
      </w:pPr>
    </w:p>
    <w:p>
      <w:pPr>
        <w:jc w:val="center"/>
        <w:rPr>
          <w:rFonts w:ascii="仿宋" w:hAnsi="仿宋" w:eastAsia="仿宋" w:cs="仿宋"/>
          <w:sz w:val="28"/>
          <w:szCs w:val="28"/>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624CBF-43E1-42E8-9BCC-7323232DB506}"/>
  </w:font>
  <w:font w:name="Arial">
    <w:panose1 w:val="020B0604020202020204"/>
    <w:charset w:val="01"/>
    <w:family w:val="swiss"/>
    <w:pitch w:val="default"/>
    <w:sig w:usb0="E0002AFF" w:usb1="C0007843" w:usb2="00000009" w:usb3="00000000" w:csb0="400001FF" w:csb1="FFFF0000"/>
    <w:embedRegular r:id="rId2" w:fontKey="{36D3E368-1441-424B-BBFA-9F8FCD7E42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8B22F74-0289-45B1-92A3-B2665D529E06}"/>
  </w:font>
  <w:font w:name="Symbol">
    <w:panose1 w:val="05050102010706020507"/>
    <w:charset w:val="02"/>
    <w:family w:val="roman"/>
    <w:pitch w:val="default"/>
    <w:sig w:usb0="00000000" w:usb1="00000000" w:usb2="00000000" w:usb3="00000000" w:csb0="80000000" w:csb1="00000000"/>
    <w:embedRegular r:id="rId4" w:fontKey="{3F33DB9B-855F-4A37-82DB-7B392715D5B3}"/>
  </w:font>
  <w:font w:name="Cambria">
    <w:panose1 w:val="02040503050406030204"/>
    <w:charset w:val="00"/>
    <w:family w:val="roman"/>
    <w:pitch w:val="default"/>
    <w:sig w:usb0="E00002FF" w:usb1="400004FF" w:usb2="00000000" w:usb3="00000000" w:csb0="2000019F" w:csb1="00000000"/>
    <w:embedRegular r:id="rId5" w:fontKey="{023A3124-4CCA-4D46-BBC3-611BC4D1D8D3}"/>
  </w:font>
  <w:font w:name="Calibri">
    <w:panose1 w:val="020F0502020204030204"/>
    <w:charset w:val="00"/>
    <w:family w:val="swiss"/>
    <w:pitch w:val="default"/>
    <w:sig w:usb0="E00002FF" w:usb1="4000ACFF" w:usb2="00000001" w:usb3="00000000" w:csb0="2000019F" w:csb1="00000000"/>
    <w:embedRegular r:id="rId6" w:fontKey="{5A08A695-4DA9-40B6-BCA5-CA29E1A24DAC}"/>
  </w:font>
  <w:font w:name="仿宋_GB2312">
    <w:panose1 w:val="02010609030101010101"/>
    <w:charset w:val="86"/>
    <w:family w:val="modern"/>
    <w:pitch w:val="default"/>
    <w:sig w:usb0="00000000" w:usb1="00000000" w:usb2="00000000" w:usb3="00000000" w:csb0="00000000" w:csb1="00000000"/>
    <w:embedRegular r:id="rId7" w:fontKey="{456EF858-B211-4B9C-BD41-034A674CADE4}"/>
  </w:font>
  <w:font w:name="仿宋">
    <w:panose1 w:val="02010609060101010101"/>
    <w:charset w:val="86"/>
    <w:family w:val="modern"/>
    <w:pitch w:val="default"/>
    <w:sig w:usb0="800002BF" w:usb1="38CF7CFA" w:usb2="00000016" w:usb3="00000000" w:csb0="00040001" w:csb1="00000000"/>
    <w:embedRegular r:id="rId8" w:fontKey="{FEC6587C-51B1-4DAE-8FA5-1813AC10B5EC}"/>
  </w:font>
  <w:font w:name="方正仿宋_GBK">
    <w:panose1 w:val="03000509000000000000"/>
    <w:charset w:val="86"/>
    <w:family w:val="script"/>
    <w:pitch w:val="default"/>
    <w:sig w:usb0="00000000" w:usb1="00000000" w:usb2="00000000" w:usb3="00000000" w:csb0="00000000" w:csb1="00000000"/>
    <w:embedRegular r:id="rId9" w:fontKey="{FD55D584-88F8-4907-B564-6AE1BB21C1CC}"/>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embedRegular r:id="rId10" w:fontKey="{CE27AEB7-7197-4965-911F-F709BC476C8E}"/>
  </w:font>
  <w:font w:name="方正小标宋_GBK">
    <w:altName w:val="微软雅黑"/>
    <w:panose1 w:val="03000509000000000000"/>
    <w:charset w:val="86"/>
    <w:family w:val="script"/>
    <w:pitch w:val="default"/>
    <w:sig w:usb0="00000000" w:usb1="00000000" w:usb2="00000000" w:usb3="00000000" w:csb0="00000000" w:csb1="00000000"/>
  </w:font>
  <w:font w:name="方正黑体_GBK">
    <w:altName w:val="微软雅黑"/>
    <w:panose1 w:val="03000509000000000000"/>
    <w:charset w:val="86"/>
    <w:family w:val="script"/>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embedRegular r:id="rId11" w:fontKey="{7AC91BFE-97EF-4CF7-91C2-86E40313CD19}"/>
  </w:font>
  <w:font w:name="仿宋_GB2312">
    <w:panose1 w:val="02010609030101010101"/>
    <w:charset w:val="00"/>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embedRegular r:id="rId12" w:fontKey="{26A6E5B8-BE26-4D40-8FFC-940E7A643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pPr>
          <w:pStyle w:val="7"/>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97C11"/>
    <w:multiLevelType w:val="multilevel"/>
    <w:tmpl w:val="12097C1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27245407"/>
    <w:multiLevelType w:val="multilevel"/>
    <w:tmpl w:val="27245407"/>
    <w:lvl w:ilvl="0" w:tentative="0">
      <w:start w:val="1"/>
      <w:numFmt w:val="upp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0E7C51C"/>
    <w:multiLevelType w:val="singleLevel"/>
    <w:tmpl w:val="60E7C51C"/>
    <w:lvl w:ilvl="0" w:tentative="0">
      <w:start w:val="1"/>
      <w:numFmt w:val="decimal"/>
      <w:suff w:val="nothing"/>
      <w:lvlText w:val="%1."/>
      <w:lvlJc w:val="left"/>
    </w:lvl>
  </w:abstractNum>
  <w:abstractNum w:abstractNumId="3">
    <w:nsid w:val="60E7CFE2"/>
    <w:multiLevelType w:val="singleLevel"/>
    <w:tmpl w:val="60E7CFE2"/>
    <w:lvl w:ilvl="0" w:tentative="0">
      <w:start w:val="1"/>
      <w:numFmt w:val="decimal"/>
      <w:suff w:val="nothing"/>
      <w:lvlText w:val="%1、"/>
      <w:lvlJc w:val="left"/>
    </w:lvl>
  </w:abstractNum>
  <w:abstractNum w:abstractNumId="4">
    <w:nsid w:val="60E83E23"/>
    <w:multiLevelType w:val="singleLevel"/>
    <w:tmpl w:val="60E83E23"/>
    <w:lvl w:ilvl="0" w:tentative="0">
      <w:start w:val="5"/>
      <w:numFmt w:val="chineseCounting"/>
      <w:suff w:val="nothing"/>
      <w:lvlText w:val="%1、"/>
      <w:lvlJc w:val="left"/>
    </w:lvl>
  </w:abstractNum>
  <w:abstractNum w:abstractNumId="5">
    <w:nsid w:val="60F794AD"/>
    <w:multiLevelType w:val="singleLevel"/>
    <w:tmpl w:val="60F794AD"/>
    <w:lvl w:ilvl="0" w:tentative="0">
      <w:start w:val="1"/>
      <w:numFmt w:val="decimal"/>
      <w:suff w:val="nothing"/>
      <w:lvlText w:val="%1)"/>
      <w:lvlJc w:val="left"/>
    </w:lvl>
  </w:abstractNum>
  <w:abstractNum w:abstractNumId="6">
    <w:nsid w:val="6AD71282"/>
    <w:multiLevelType w:val="multilevel"/>
    <w:tmpl w:val="6AD71282"/>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2"/>
  </w:num>
  <w:num w:numId="2">
    <w:abstractNumId w:val="3"/>
  </w:num>
  <w:num w:numId="3">
    <w:abstractNumId w:val="4"/>
  </w:num>
  <w:num w:numId="4">
    <w:abstractNumId w:val="0"/>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D6B87"/>
    <w:rsid w:val="007147E2"/>
    <w:rsid w:val="007272CB"/>
    <w:rsid w:val="007415AE"/>
    <w:rsid w:val="007643E7"/>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D2702"/>
    <w:rsid w:val="00E0205D"/>
    <w:rsid w:val="00E82DB0"/>
    <w:rsid w:val="00F173C1"/>
    <w:rsid w:val="00F33F82"/>
    <w:rsid w:val="00F35C6D"/>
    <w:rsid w:val="00F570AB"/>
    <w:rsid w:val="00FC37CC"/>
    <w:rsid w:val="00FF2618"/>
    <w:rsid w:val="01FC476A"/>
    <w:rsid w:val="02D76FBF"/>
    <w:rsid w:val="0325245C"/>
    <w:rsid w:val="04152B12"/>
    <w:rsid w:val="042949C1"/>
    <w:rsid w:val="043E2C56"/>
    <w:rsid w:val="0483115F"/>
    <w:rsid w:val="04CD134A"/>
    <w:rsid w:val="05997FAC"/>
    <w:rsid w:val="06232FA8"/>
    <w:rsid w:val="066013F0"/>
    <w:rsid w:val="06AC2508"/>
    <w:rsid w:val="06B805C0"/>
    <w:rsid w:val="07027895"/>
    <w:rsid w:val="070E125B"/>
    <w:rsid w:val="085C2F41"/>
    <w:rsid w:val="087A784F"/>
    <w:rsid w:val="088B6C23"/>
    <w:rsid w:val="08A57868"/>
    <w:rsid w:val="08C27F67"/>
    <w:rsid w:val="0945642F"/>
    <w:rsid w:val="0A1C2733"/>
    <w:rsid w:val="0C64335F"/>
    <w:rsid w:val="0CCC4B6B"/>
    <w:rsid w:val="0D5B783D"/>
    <w:rsid w:val="0DEE202D"/>
    <w:rsid w:val="0EED3884"/>
    <w:rsid w:val="0F1215BB"/>
    <w:rsid w:val="0F157347"/>
    <w:rsid w:val="0F7F654F"/>
    <w:rsid w:val="0FA7125D"/>
    <w:rsid w:val="10EC6B77"/>
    <w:rsid w:val="114E1252"/>
    <w:rsid w:val="115F7DA2"/>
    <w:rsid w:val="11661DA7"/>
    <w:rsid w:val="117B0666"/>
    <w:rsid w:val="1210694F"/>
    <w:rsid w:val="124D3A62"/>
    <w:rsid w:val="131438C8"/>
    <w:rsid w:val="13CA4E2C"/>
    <w:rsid w:val="152510B3"/>
    <w:rsid w:val="15D4649D"/>
    <w:rsid w:val="15D50129"/>
    <w:rsid w:val="1614223E"/>
    <w:rsid w:val="16741E75"/>
    <w:rsid w:val="16DC74F2"/>
    <w:rsid w:val="16FD1A70"/>
    <w:rsid w:val="170930D0"/>
    <w:rsid w:val="173A41AA"/>
    <w:rsid w:val="1774010E"/>
    <w:rsid w:val="182C2CF1"/>
    <w:rsid w:val="184E5F28"/>
    <w:rsid w:val="186076B2"/>
    <w:rsid w:val="18804205"/>
    <w:rsid w:val="188D6579"/>
    <w:rsid w:val="18C60282"/>
    <w:rsid w:val="18E52554"/>
    <w:rsid w:val="194A7F69"/>
    <w:rsid w:val="19675B01"/>
    <w:rsid w:val="19825BFB"/>
    <w:rsid w:val="19863772"/>
    <w:rsid w:val="19A703AC"/>
    <w:rsid w:val="1A590BA4"/>
    <w:rsid w:val="1A7245A7"/>
    <w:rsid w:val="1AD441F8"/>
    <w:rsid w:val="1B0C3F92"/>
    <w:rsid w:val="1B114D86"/>
    <w:rsid w:val="1B887880"/>
    <w:rsid w:val="1B9400B9"/>
    <w:rsid w:val="1BB74A80"/>
    <w:rsid w:val="1BF870CE"/>
    <w:rsid w:val="1BFD7C6F"/>
    <w:rsid w:val="1C054074"/>
    <w:rsid w:val="1C6A50F5"/>
    <w:rsid w:val="1C6E2284"/>
    <w:rsid w:val="1CAE4325"/>
    <w:rsid w:val="1D593D0A"/>
    <w:rsid w:val="1E112F64"/>
    <w:rsid w:val="1E2666BD"/>
    <w:rsid w:val="1F634C50"/>
    <w:rsid w:val="21796947"/>
    <w:rsid w:val="225B0571"/>
    <w:rsid w:val="226B35EA"/>
    <w:rsid w:val="22922626"/>
    <w:rsid w:val="229642F9"/>
    <w:rsid w:val="22DF6848"/>
    <w:rsid w:val="237A59D1"/>
    <w:rsid w:val="2394521B"/>
    <w:rsid w:val="23B8526C"/>
    <w:rsid w:val="23C0769B"/>
    <w:rsid w:val="2409401E"/>
    <w:rsid w:val="24412571"/>
    <w:rsid w:val="24565BCB"/>
    <w:rsid w:val="246632ED"/>
    <w:rsid w:val="24CD5348"/>
    <w:rsid w:val="253E6AA0"/>
    <w:rsid w:val="258238CE"/>
    <w:rsid w:val="25A23D62"/>
    <w:rsid w:val="263A5131"/>
    <w:rsid w:val="26413C9C"/>
    <w:rsid w:val="26937530"/>
    <w:rsid w:val="26FB1762"/>
    <w:rsid w:val="276F1607"/>
    <w:rsid w:val="279F5A0D"/>
    <w:rsid w:val="27BC6F3B"/>
    <w:rsid w:val="27ED3855"/>
    <w:rsid w:val="28287CF5"/>
    <w:rsid w:val="290E0AF2"/>
    <w:rsid w:val="291E6190"/>
    <w:rsid w:val="29BB559D"/>
    <w:rsid w:val="29BE34A4"/>
    <w:rsid w:val="2A5001CC"/>
    <w:rsid w:val="2AB42020"/>
    <w:rsid w:val="2B12047B"/>
    <w:rsid w:val="2B254CDB"/>
    <w:rsid w:val="2BBA6505"/>
    <w:rsid w:val="2BE26A35"/>
    <w:rsid w:val="2C2B03F4"/>
    <w:rsid w:val="2C8C395F"/>
    <w:rsid w:val="2C912851"/>
    <w:rsid w:val="2D252550"/>
    <w:rsid w:val="2D4524D6"/>
    <w:rsid w:val="2D477B78"/>
    <w:rsid w:val="2D78749B"/>
    <w:rsid w:val="2DA53EA5"/>
    <w:rsid w:val="2DC77D64"/>
    <w:rsid w:val="2DDE684A"/>
    <w:rsid w:val="2E167884"/>
    <w:rsid w:val="2ECB1AB9"/>
    <w:rsid w:val="2EF83BE2"/>
    <w:rsid w:val="2FFE54F4"/>
    <w:rsid w:val="30806CD6"/>
    <w:rsid w:val="30932E0E"/>
    <w:rsid w:val="30E056A3"/>
    <w:rsid w:val="310B5999"/>
    <w:rsid w:val="31B0286C"/>
    <w:rsid w:val="31B652B8"/>
    <w:rsid w:val="31B85E21"/>
    <w:rsid w:val="31F02D64"/>
    <w:rsid w:val="31FB4540"/>
    <w:rsid w:val="33177B23"/>
    <w:rsid w:val="333D0353"/>
    <w:rsid w:val="3348001E"/>
    <w:rsid w:val="33A249D0"/>
    <w:rsid w:val="33AC729C"/>
    <w:rsid w:val="33FA5F0A"/>
    <w:rsid w:val="341279CC"/>
    <w:rsid w:val="35132289"/>
    <w:rsid w:val="35323708"/>
    <w:rsid w:val="354F1FC9"/>
    <w:rsid w:val="35BB0219"/>
    <w:rsid w:val="36710B84"/>
    <w:rsid w:val="374B6694"/>
    <w:rsid w:val="378112A6"/>
    <w:rsid w:val="37DC0CC6"/>
    <w:rsid w:val="380A3F70"/>
    <w:rsid w:val="38222F68"/>
    <w:rsid w:val="384C1DF6"/>
    <w:rsid w:val="392B482C"/>
    <w:rsid w:val="3A3532B6"/>
    <w:rsid w:val="3A796E6A"/>
    <w:rsid w:val="3AE00FE5"/>
    <w:rsid w:val="3AFB15D5"/>
    <w:rsid w:val="3B205192"/>
    <w:rsid w:val="3B9A7CFA"/>
    <w:rsid w:val="3BA954EC"/>
    <w:rsid w:val="3D0B31D3"/>
    <w:rsid w:val="3D1173AF"/>
    <w:rsid w:val="3D117EA1"/>
    <w:rsid w:val="3D5B556B"/>
    <w:rsid w:val="3DBC0FF4"/>
    <w:rsid w:val="3E2B30EB"/>
    <w:rsid w:val="3E2C328A"/>
    <w:rsid w:val="3E31759C"/>
    <w:rsid w:val="3E3F17D6"/>
    <w:rsid w:val="3EA001B1"/>
    <w:rsid w:val="3F196937"/>
    <w:rsid w:val="3F387100"/>
    <w:rsid w:val="400455B9"/>
    <w:rsid w:val="400E6E55"/>
    <w:rsid w:val="402B3918"/>
    <w:rsid w:val="40643BFC"/>
    <w:rsid w:val="40945AD4"/>
    <w:rsid w:val="4118348C"/>
    <w:rsid w:val="419A085E"/>
    <w:rsid w:val="41DF0110"/>
    <w:rsid w:val="433C354A"/>
    <w:rsid w:val="434962C5"/>
    <w:rsid w:val="43A10C18"/>
    <w:rsid w:val="43B2431A"/>
    <w:rsid w:val="44100F8C"/>
    <w:rsid w:val="44AE13E9"/>
    <w:rsid w:val="453D29AA"/>
    <w:rsid w:val="45D732D8"/>
    <w:rsid w:val="46241DB1"/>
    <w:rsid w:val="464B36C4"/>
    <w:rsid w:val="468E5726"/>
    <w:rsid w:val="4737343C"/>
    <w:rsid w:val="474107F8"/>
    <w:rsid w:val="47941AEC"/>
    <w:rsid w:val="479B7AF2"/>
    <w:rsid w:val="47CB4D90"/>
    <w:rsid w:val="480F2B55"/>
    <w:rsid w:val="486770B5"/>
    <w:rsid w:val="489B5F45"/>
    <w:rsid w:val="48C92ACC"/>
    <w:rsid w:val="496D53E2"/>
    <w:rsid w:val="497264A2"/>
    <w:rsid w:val="49A45581"/>
    <w:rsid w:val="4A1E32B4"/>
    <w:rsid w:val="4ABC064A"/>
    <w:rsid w:val="4B747BF0"/>
    <w:rsid w:val="4C9351FF"/>
    <w:rsid w:val="4CD51174"/>
    <w:rsid w:val="4CD56BEB"/>
    <w:rsid w:val="4DB238C4"/>
    <w:rsid w:val="4DE26DC5"/>
    <w:rsid w:val="4E1B1B3B"/>
    <w:rsid w:val="4E1D50CF"/>
    <w:rsid w:val="4F112C7C"/>
    <w:rsid w:val="4F3B1489"/>
    <w:rsid w:val="4F65583B"/>
    <w:rsid w:val="4F74555F"/>
    <w:rsid w:val="4F7B6755"/>
    <w:rsid w:val="507136D8"/>
    <w:rsid w:val="50875955"/>
    <w:rsid w:val="50E36687"/>
    <w:rsid w:val="514A61DF"/>
    <w:rsid w:val="51574742"/>
    <w:rsid w:val="516321D2"/>
    <w:rsid w:val="52097FE6"/>
    <w:rsid w:val="52D43736"/>
    <w:rsid w:val="53F34E24"/>
    <w:rsid w:val="540227AD"/>
    <w:rsid w:val="54355703"/>
    <w:rsid w:val="54B46736"/>
    <w:rsid w:val="556F044C"/>
    <w:rsid w:val="55703223"/>
    <w:rsid w:val="55925A5D"/>
    <w:rsid w:val="55DE6B2E"/>
    <w:rsid w:val="56971EFE"/>
    <w:rsid w:val="57806C8F"/>
    <w:rsid w:val="57E95800"/>
    <w:rsid w:val="58202C6C"/>
    <w:rsid w:val="58A20594"/>
    <w:rsid w:val="58B57903"/>
    <w:rsid w:val="58D1231F"/>
    <w:rsid w:val="59516635"/>
    <w:rsid w:val="599A7096"/>
    <w:rsid w:val="59B35383"/>
    <w:rsid w:val="59F556BF"/>
    <w:rsid w:val="5A0D6B24"/>
    <w:rsid w:val="5A585739"/>
    <w:rsid w:val="5A9F6FF6"/>
    <w:rsid w:val="5AF950FF"/>
    <w:rsid w:val="5B201D54"/>
    <w:rsid w:val="5C0C55F4"/>
    <w:rsid w:val="5D0F13B7"/>
    <w:rsid w:val="5D720CCD"/>
    <w:rsid w:val="5DFD5C29"/>
    <w:rsid w:val="5E2F3B22"/>
    <w:rsid w:val="5E73402E"/>
    <w:rsid w:val="5E916DC6"/>
    <w:rsid w:val="5E966EDA"/>
    <w:rsid w:val="5EA5574A"/>
    <w:rsid w:val="5EBF60D3"/>
    <w:rsid w:val="5EE84B61"/>
    <w:rsid w:val="5F606D0A"/>
    <w:rsid w:val="5FE310F8"/>
    <w:rsid w:val="5FEC4144"/>
    <w:rsid w:val="607B63E2"/>
    <w:rsid w:val="60971B6B"/>
    <w:rsid w:val="60BF7905"/>
    <w:rsid w:val="6151669E"/>
    <w:rsid w:val="619E452D"/>
    <w:rsid w:val="621A7B9F"/>
    <w:rsid w:val="6240236F"/>
    <w:rsid w:val="6242676C"/>
    <w:rsid w:val="62D31403"/>
    <w:rsid w:val="62F63BA8"/>
    <w:rsid w:val="63315396"/>
    <w:rsid w:val="64337256"/>
    <w:rsid w:val="644B4D1A"/>
    <w:rsid w:val="64D92088"/>
    <w:rsid w:val="651F7B49"/>
    <w:rsid w:val="65877C6F"/>
    <w:rsid w:val="65E678B2"/>
    <w:rsid w:val="673671B6"/>
    <w:rsid w:val="67A255E9"/>
    <w:rsid w:val="67ED2EF4"/>
    <w:rsid w:val="684433BD"/>
    <w:rsid w:val="686C7C26"/>
    <w:rsid w:val="68A100CE"/>
    <w:rsid w:val="690502DF"/>
    <w:rsid w:val="69494FEB"/>
    <w:rsid w:val="695B5278"/>
    <w:rsid w:val="69D456C6"/>
    <w:rsid w:val="69E97DDB"/>
    <w:rsid w:val="6A4F25EA"/>
    <w:rsid w:val="6A997C02"/>
    <w:rsid w:val="6AB46A00"/>
    <w:rsid w:val="6B0B2F99"/>
    <w:rsid w:val="6C0C111A"/>
    <w:rsid w:val="6C4F6F79"/>
    <w:rsid w:val="6C7C30B4"/>
    <w:rsid w:val="6CC33109"/>
    <w:rsid w:val="6D1556D9"/>
    <w:rsid w:val="6D2F7ABE"/>
    <w:rsid w:val="6D483959"/>
    <w:rsid w:val="6DDB43D6"/>
    <w:rsid w:val="6DE82FEC"/>
    <w:rsid w:val="6E035226"/>
    <w:rsid w:val="6E150708"/>
    <w:rsid w:val="6EFF2AF4"/>
    <w:rsid w:val="6F26747E"/>
    <w:rsid w:val="6F4B2733"/>
    <w:rsid w:val="6F672190"/>
    <w:rsid w:val="6FAD082E"/>
    <w:rsid w:val="7020396B"/>
    <w:rsid w:val="70B721CD"/>
    <w:rsid w:val="70D03DDE"/>
    <w:rsid w:val="70F65CA1"/>
    <w:rsid w:val="714E7991"/>
    <w:rsid w:val="723E2326"/>
    <w:rsid w:val="72621910"/>
    <w:rsid w:val="7279368A"/>
    <w:rsid w:val="73C87333"/>
    <w:rsid w:val="74270EF1"/>
    <w:rsid w:val="74615E28"/>
    <w:rsid w:val="74A042C8"/>
    <w:rsid w:val="754B2E57"/>
    <w:rsid w:val="754F7A87"/>
    <w:rsid w:val="759C095C"/>
    <w:rsid w:val="75E110C6"/>
    <w:rsid w:val="760919A6"/>
    <w:rsid w:val="765B42B0"/>
    <w:rsid w:val="765E0A59"/>
    <w:rsid w:val="78933D70"/>
    <w:rsid w:val="799072CD"/>
    <w:rsid w:val="79C6048F"/>
    <w:rsid w:val="79CA28DC"/>
    <w:rsid w:val="79EF11D9"/>
    <w:rsid w:val="7A157EC5"/>
    <w:rsid w:val="7AAD4124"/>
    <w:rsid w:val="7AE3321F"/>
    <w:rsid w:val="7AF84320"/>
    <w:rsid w:val="7B1E56A7"/>
    <w:rsid w:val="7B8576BE"/>
    <w:rsid w:val="7BCE070B"/>
    <w:rsid w:val="7C1911B5"/>
    <w:rsid w:val="7C3D78E1"/>
    <w:rsid w:val="7CCF7187"/>
    <w:rsid w:val="7D0C68E9"/>
    <w:rsid w:val="7D3E03FF"/>
    <w:rsid w:val="7DD134FE"/>
    <w:rsid w:val="7E137B1E"/>
    <w:rsid w:val="7E710025"/>
    <w:rsid w:val="7EF27292"/>
    <w:rsid w:val="7F036049"/>
    <w:rsid w:val="7F211561"/>
    <w:rsid w:val="7F3576F5"/>
    <w:rsid w:val="7F4F5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2"/>
    <w:next w:val="2"/>
    <w:link w:val="18"/>
    <w:qFormat/>
    <w:uiPriority w:val="0"/>
    <w:pPr>
      <w:spacing w:beforeLines="50" w:afterLines="50"/>
      <w:ind w:firstLine="200" w:firstLineChars="200"/>
      <w:outlineLvl w:val="1"/>
    </w:pPr>
    <w:rPr>
      <w:rFonts w:ascii="Arial" w:hAnsi="Arial"/>
      <w:b/>
      <w:bCs/>
      <w:szCs w:val="21"/>
    </w:rPr>
  </w:style>
  <w:style w:type="paragraph" w:styleId="5">
    <w:name w:val="heading 3"/>
    <w:basedOn w:val="1"/>
    <w:next w:val="1"/>
    <w:link w:val="22"/>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20"/>
    <w:qFormat/>
    <w:uiPriority w:val="0"/>
    <w:pPr>
      <w:ind w:firstLine="420" w:firstLineChars="100"/>
    </w:pPr>
  </w:style>
  <w:style w:type="paragraph" w:styleId="3">
    <w:name w:val="Body Text"/>
    <w:basedOn w:val="1"/>
    <w:next w:val="1"/>
    <w:link w:val="19"/>
    <w:qFormat/>
    <w:uiPriority w:val="0"/>
    <w:pPr>
      <w:spacing w:after="120"/>
    </w:pPr>
  </w:style>
  <w:style w:type="paragraph" w:styleId="6">
    <w:name w:val="Balloon Text"/>
    <w:basedOn w:val="1"/>
    <w:link w:val="24"/>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1">
    <w:name w:val="Title"/>
    <w:basedOn w:val="1"/>
    <w:next w:val="1"/>
    <w:link w:val="21"/>
    <w:qFormat/>
    <w:uiPriority w:val="0"/>
    <w:pPr>
      <w:spacing w:before="240" w:after="60"/>
      <w:jc w:val="center"/>
      <w:outlineLvl w:val="0"/>
    </w:pPr>
    <w:rPr>
      <w:rFonts w:ascii="Cambria" w:hAnsi="Cambria"/>
      <w:b/>
      <w:bCs/>
      <w:sz w:val="32"/>
      <w:szCs w:val="32"/>
    </w:rPr>
  </w:style>
  <w:style w:type="character" w:styleId="13">
    <w:name w:val="page number"/>
    <w:basedOn w:val="12"/>
    <w:qFormat/>
    <w:uiPriority w:val="0"/>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眉 字符"/>
    <w:basedOn w:val="12"/>
    <w:link w:val="8"/>
    <w:qFormat/>
    <w:uiPriority w:val="0"/>
    <w:rPr>
      <w:kern w:val="2"/>
      <w:sz w:val="18"/>
      <w:szCs w:val="18"/>
    </w:rPr>
  </w:style>
  <w:style w:type="character" w:customStyle="1" w:styleId="17">
    <w:name w:val="页脚 字符"/>
    <w:basedOn w:val="12"/>
    <w:link w:val="7"/>
    <w:qFormat/>
    <w:uiPriority w:val="99"/>
    <w:rPr>
      <w:kern w:val="2"/>
      <w:sz w:val="18"/>
      <w:szCs w:val="18"/>
    </w:rPr>
  </w:style>
  <w:style w:type="character" w:customStyle="1" w:styleId="18">
    <w:name w:val="标题 2 字符"/>
    <w:basedOn w:val="12"/>
    <w:link w:val="4"/>
    <w:qFormat/>
    <w:uiPriority w:val="0"/>
    <w:rPr>
      <w:rFonts w:ascii="Arial" w:hAnsi="Arial"/>
      <w:b/>
      <w:bCs/>
      <w:kern w:val="2"/>
      <w:sz w:val="21"/>
      <w:szCs w:val="21"/>
    </w:rPr>
  </w:style>
  <w:style w:type="character" w:customStyle="1" w:styleId="19">
    <w:name w:val="正文文本 字符"/>
    <w:basedOn w:val="12"/>
    <w:link w:val="3"/>
    <w:qFormat/>
    <w:uiPriority w:val="0"/>
    <w:rPr>
      <w:kern w:val="2"/>
      <w:sz w:val="21"/>
    </w:rPr>
  </w:style>
  <w:style w:type="character" w:customStyle="1" w:styleId="20">
    <w:name w:val="正文文本首行缩进 字符"/>
    <w:basedOn w:val="19"/>
    <w:link w:val="2"/>
    <w:qFormat/>
    <w:uiPriority w:val="0"/>
    <w:rPr>
      <w:kern w:val="2"/>
      <w:sz w:val="21"/>
    </w:rPr>
  </w:style>
  <w:style w:type="character" w:customStyle="1" w:styleId="21">
    <w:name w:val="标题 字符"/>
    <w:basedOn w:val="12"/>
    <w:link w:val="11"/>
    <w:qFormat/>
    <w:uiPriority w:val="0"/>
    <w:rPr>
      <w:rFonts w:ascii="Cambria" w:hAnsi="Cambria"/>
      <w:b/>
      <w:bCs/>
      <w:kern w:val="2"/>
      <w:sz w:val="32"/>
      <w:szCs w:val="32"/>
    </w:rPr>
  </w:style>
  <w:style w:type="character" w:customStyle="1" w:styleId="22">
    <w:name w:val="标题 3 字符"/>
    <w:basedOn w:val="12"/>
    <w:link w:val="5"/>
    <w:qFormat/>
    <w:uiPriority w:val="0"/>
    <w:rPr>
      <w:b/>
      <w:bCs/>
      <w:kern w:val="2"/>
      <w:sz w:val="32"/>
      <w:szCs w:val="32"/>
    </w:rPr>
  </w:style>
  <w:style w:type="paragraph" w:customStyle="1" w:styleId="23">
    <w:name w:val="_Style 1"/>
    <w:basedOn w:val="1"/>
    <w:qFormat/>
    <w:uiPriority w:val="34"/>
    <w:pPr>
      <w:ind w:firstLine="420" w:firstLineChars="200"/>
    </w:pPr>
  </w:style>
  <w:style w:type="character" w:customStyle="1" w:styleId="24">
    <w:name w:val="批注框文本 字符"/>
    <w:basedOn w:val="12"/>
    <w:link w:val="6"/>
    <w:qFormat/>
    <w:uiPriority w:val="0"/>
    <w:rPr>
      <w:kern w:val="2"/>
      <w:sz w:val="18"/>
      <w:szCs w:val="18"/>
    </w:rPr>
  </w:style>
  <w:style w:type="paragraph" w:customStyle="1" w:styleId="25">
    <w:name w:val="列表段落1"/>
    <w:basedOn w:val="1"/>
    <w:qFormat/>
    <w:uiPriority w:val="99"/>
    <w:pPr>
      <w:ind w:firstLine="420" w:firstLineChars="200"/>
    </w:pPr>
  </w:style>
  <w:style w:type="character" w:customStyle="1" w:styleId="26">
    <w:name w:val="font21"/>
    <w:basedOn w:val="12"/>
    <w:qFormat/>
    <w:uiPriority w:val="0"/>
    <w:rPr>
      <w:rFonts w:hint="default" w:ascii="仿宋_GB2312" w:eastAsia="仿宋_GB2312" w:cs="仿宋_GB2312"/>
      <w:b/>
      <w:color w:val="4472C4"/>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22</Pages>
  <Words>2094</Words>
  <Characters>11941</Characters>
  <Lines>99</Lines>
  <Paragraphs>28</Paragraphs>
  <ScaleCrop>false</ScaleCrop>
  <LinksUpToDate>false</LinksUpToDate>
  <CharactersWithSpaces>14007</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Administrator</cp:lastModifiedBy>
  <cp:lastPrinted>2021-07-20T08:52:00Z</cp:lastPrinted>
  <dcterms:modified xsi:type="dcterms:W3CDTF">2021-07-26T04:47:36Z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KSOSaveFontToCloudKey">
    <vt:lpwstr>324469982_embed</vt:lpwstr>
  </property>
  <property fmtid="{D5CDD505-2E9C-101B-9397-08002B2CF9AE}" pid="4" name="ICV">
    <vt:lpwstr>030F094EC44C42A68C0B7DB4E7CF46B0</vt:lpwstr>
  </property>
</Properties>
</file>