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b/>
          <w:bCs/>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b/>
          <w:bCs/>
          <w:color w:val="000000" w:themeColor="text1"/>
          <w:sz w:val="44"/>
          <w:szCs w:val="44"/>
          <w:highlight w:val="none"/>
          <w14:textFill>
            <w14:solidFill>
              <w14:schemeClr w14:val="tx1"/>
            </w14:solidFill>
          </w14:textFill>
        </w:rPr>
        <w:t>重庆通邑智慧城市运营管理有限公司</w:t>
      </w:r>
    </w:p>
    <w:p>
      <w:pPr>
        <w:jc w:val="center"/>
        <w:rPr>
          <w:rFonts w:hint="default" w:ascii="Times New Roman" w:hAnsi="Times New Roman" w:eastAsia="方正小标宋_GBK" w:cs="Times New Roman"/>
          <w:b/>
          <w:bCs/>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b/>
          <w:bCs/>
          <w:color w:val="000000" w:themeColor="text1"/>
          <w:sz w:val="44"/>
          <w:szCs w:val="44"/>
          <w:highlight w:val="none"/>
          <w:lang w:val="en-US" w:eastAsia="zh-CN"/>
          <w14:textFill>
            <w14:solidFill>
              <w14:schemeClr w14:val="tx1"/>
            </w14:solidFill>
          </w14:textFill>
        </w:rPr>
        <w:t>2</w:t>
      </w:r>
      <w:r>
        <w:rPr>
          <w:rFonts w:hint="default" w:ascii="Times New Roman" w:hAnsi="Times New Roman" w:eastAsia="方正小标宋_GBK" w:cs="Times New Roman"/>
          <w:b/>
          <w:bCs/>
          <w:color w:val="000000" w:themeColor="text1"/>
          <w:sz w:val="44"/>
          <w:szCs w:val="44"/>
          <w:highlight w:val="none"/>
          <w:lang w:eastAsia="zh-CN"/>
          <w14:textFill>
            <w14:solidFill>
              <w14:schemeClr w14:val="tx1"/>
            </w14:solidFill>
          </w14:textFill>
        </w:rPr>
        <w:t>024年度</w:t>
      </w:r>
      <w:r>
        <w:rPr>
          <w:rFonts w:hint="default" w:ascii="Times New Roman" w:hAnsi="Times New Roman" w:eastAsia="方正小标宋_GBK" w:cs="Times New Roman"/>
          <w:b/>
          <w:bCs/>
          <w:color w:val="000000" w:themeColor="text1"/>
          <w:sz w:val="44"/>
          <w:szCs w:val="44"/>
          <w:highlight w:val="none"/>
          <w14:textFill>
            <w14:solidFill>
              <w14:schemeClr w14:val="tx1"/>
            </w14:solidFill>
          </w14:textFill>
        </w:rPr>
        <w:t>轨道</w:t>
      </w:r>
      <w:r>
        <w:rPr>
          <w:rFonts w:hint="default" w:ascii="Times New Roman" w:hAnsi="Times New Roman" w:eastAsia="方正小标宋_GBK" w:cs="Times New Roman"/>
          <w:b/>
          <w:bCs/>
          <w:color w:val="000000" w:themeColor="text1"/>
          <w:sz w:val="44"/>
          <w:szCs w:val="44"/>
          <w:highlight w:val="none"/>
          <w:lang w:eastAsia="zh-CN"/>
          <w14:textFill>
            <w14:solidFill>
              <w14:schemeClr w14:val="tx1"/>
            </w14:solidFill>
          </w14:textFill>
        </w:rPr>
        <w:t>2号线</w:t>
      </w:r>
      <w:r>
        <w:rPr>
          <w:rFonts w:hint="default" w:ascii="Times New Roman" w:hAnsi="Times New Roman" w:eastAsia="方正小标宋_GBK" w:cs="Times New Roman"/>
          <w:b/>
          <w:bCs/>
          <w:color w:val="000000" w:themeColor="text1"/>
          <w:sz w:val="44"/>
          <w:szCs w:val="44"/>
          <w:highlight w:val="none"/>
          <w14:textFill>
            <w14:solidFill>
              <w14:schemeClr w14:val="tx1"/>
            </w14:solidFill>
          </w14:textFill>
        </w:rPr>
        <w:t>轨行区清掏冲洗、</w:t>
      </w:r>
      <w:r>
        <w:rPr>
          <w:rFonts w:hint="default" w:ascii="Times New Roman" w:hAnsi="Times New Roman" w:eastAsia="方正小标宋_GBK" w:cs="Times New Roman"/>
          <w:b/>
          <w:bCs/>
          <w:color w:val="000000" w:themeColor="text1"/>
          <w:sz w:val="44"/>
          <w:szCs w:val="44"/>
          <w:highlight w:val="none"/>
          <w:lang w:eastAsia="zh-CN"/>
          <w14:textFill>
            <w14:solidFill>
              <w14:schemeClr w14:val="tx1"/>
            </w14:solidFill>
          </w14:textFill>
        </w:rPr>
        <w:t>外墙清洗</w:t>
      </w:r>
      <w:r>
        <w:rPr>
          <w:rFonts w:hint="default" w:ascii="Times New Roman" w:hAnsi="Times New Roman" w:eastAsia="方正小标宋_GBK" w:cs="Times New Roman"/>
          <w:b/>
          <w:bCs/>
          <w:color w:val="000000" w:themeColor="text1"/>
          <w:sz w:val="44"/>
          <w:szCs w:val="44"/>
          <w:highlight w:val="none"/>
          <w14:textFill>
            <w14:solidFill>
              <w14:schemeClr w14:val="tx1"/>
            </w14:solidFill>
          </w14:textFill>
        </w:rPr>
        <w:t>和</w:t>
      </w:r>
      <w:r>
        <w:rPr>
          <w:rFonts w:hint="default" w:ascii="Times New Roman" w:hAnsi="Times New Roman" w:eastAsia="方正小标宋_GBK" w:cs="Times New Roman"/>
          <w:b/>
          <w:bCs/>
          <w:color w:val="000000" w:themeColor="text1"/>
          <w:sz w:val="44"/>
          <w:szCs w:val="44"/>
          <w:highlight w:val="none"/>
          <w:lang w:eastAsia="zh-CN"/>
          <w14:textFill>
            <w14:solidFill>
              <w14:schemeClr w14:val="tx1"/>
            </w14:solidFill>
          </w14:textFill>
        </w:rPr>
        <w:t>沟渠池</w:t>
      </w:r>
      <w:r>
        <w:rPr>
          <w:rFonts w:hint="default" w:ascii="Times New Roman" w:hAnsi="Times New Roman" w:eastAsia="方正小标宋_GBK" w:cs="Times New Roman"/>
          <w:b/>
          <w:bCs/>
          <w:color w:val="000000" w:themeColor="text1"/>
          <w:sz w:val="44"/>
          <w:szCs w:val="44"/>
          <w:highlight w:val="none"/>
          <w14:textFill>
            <w14:solidFill>
              <w14:schemeClr w14:val="tx1"/>
            </w14:solidFill>
          </w14:textFill>
        </w:rPr>
        <w:t>清掏服务比选邀请函</w:t>
      </w:r>
    </w:p>
    <w:p>
      <w:pPr>
        <w:rPr>
          <w:rFonts w:hint="default" w:ascii="Times New Roman" w:hAnsi="Times New Roman" w:eastAsia="宋体" w:cs="Times New Roman"/>
          <w:color w:val="000000" w:themeColor="text1"/>
          <w:sz w:val="24"/>
          <w:highlight w:val="none"/>
          <w:u w:val="single"/>
          <w14:textFill>
            <w14:solidFill>
              <w14:schemeClr w14:val="tx1"/>
            </w14:solidFill>
          </w14:textFill>
        </w:rPr>
      </w:pPr>
      <w:bookmarkStart w:id="1" w:name="_GoBack"/>
      <w:bookmarkEnd w:id="1"/>
    </w:p>
    <w:p>
      <w:pP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w:t>
      </w:r>
    </w:p>
    <w:p>
      <w:pPr>
        <w:spacing w:line="360" w:lineRule="auto"/>
        <w:ind w:firstLine="560" w:firstLineChars="200"/>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我司拟开展</w:t>
      </w:r>
      <w:r>
        <w:rPr>
          <w:rFonts w:hint="default" w:ascii="Times New Roman" w:hAnsi="Times New Roman" w:eastAsia="方正仿宋_GBK" w:cs="Times New Roman"/>
          <w:color w:val="000000" w:themeColor="text1"/>
          <w:sz w:val="28"/>
          <w:szCs w:val="28"/>
          <w:highlight w:val="none"/>
          <w:u w:val="single"/>
          <w:lang w:eastAsia="zh-CN"/>
          <w14:textFill>
            <w14:solidFill>
              <w14:schemeClr w14:val="tx1"/>
            </w14:solidFill>
          </w14:textFill>
        </w:rPr>
        <w:t>2024年度</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轨道</w:t>
      </w:r>
      <w:r>
        <w:rPr>
          <w:rFonts w:hint="default" w:ascii="Times New Roman" w:hAnsi="Times New Roman" w:eastAsia="方正仿宋_GBK" w:cs="Times New Roman"/>
          <w:color w:val="000000" w:themeColor="text1"/>
          <w:sz w:val="28"/>
          <w:szCs w:val="28"/>
          <w:highlight w:val="none"/>
          <w:u w:val="single"/>
          <w:lang w:eastAsia="zh-CN"/>
          <w14:textFill>
            <w14:solidFill>
              <w14:schemeClr w14:val="tx1"/>
            </w14:solidFill>
          </w14:textFill>
        </w:rPr>
        <w:t>2号线</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轨行区清掏冲洗、</w:t>
      </w:r>
      <w:r>
        <w:rPr>
          <w:rFonts w:hint="default" w:ascii="Times New Roman" w:hAnsi="Times New Roman" w:eastAsia="方正仿宋_GBK" w:cs="Times New Roman"/>
          <w:color w:val="000000" w:themeColor="text1"/>
          <w:sz w:val="28"/>
          <w:szCs w:val="28"/>
          <w:highlight w:val="none"/>
          <w:u w:val="single"/>
          <w:lang w:eastAsia="zh-CN"/>
          <w14:textFill>
            <w14:solidFill>
              <w14:schemeClr w14:val="tx1"/>
            </w14:solidFill>
          </w14:textFill>
        </w:rPr>
        <w:t>外墙清洗</w:t>
      </w:r>
      <w:r>
        <w:rPr>
          <w:rFonts w:hint="default" w:ascii="Times New Roman" w:hAnsi="Times New Roman" w:eastAsia="方正仿宋_GBK" w:cs="Times New Roman"/>
          <w:color w:val="000000" w:themeColor="text1"/>
          <w:sz w:val="28"/>
          <w:szCs w:val="28"/>
          <w:highlight w:val="none"/>
          <w:u w:val="single"/>
          <w:lang w:val="en-US" w:eastAsia="zh-CN"/>
          <w14:textFill>
            <w14:solidFill>
              <w14:schemeClr w14:val="tx1"/>
            </w14:solidFill>
          </w14:textFill>
        </w:rPr>
        <w:t>和</w:t>
      </w:r>
      <w:r>
        <w:rPr>
          <w:rFonts w:hint="default" w:ascii="Times New Roman" w:hAnsi="Times New Roman" w:eastAsia="方正仿宋_GBK" w:cs="Times New Roman"/>
          <w:color w:val="000000" w:themeColor="text1"/>
          <w:sz w:val="28"/>
          <w:szCs w:val="28"/>
          <w:highlight w:val="none"/>
          <w:u w:val="single"/>
          <w:lang w:eastAsia="zh-CN"/>
          <w14:textFill>
            <w14:solidFill>
              <w14:schemeClr w14:val="tx1"/>
            </w14:solidFill>
          </w14:textFill>
        </w:rPr>
        <w:t>沟渠池</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清掏服务比选</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工作，本次服务单位通过竞争性比选方式进行确定，具体项目情况如下：</w:t>
      </w:r>
    </w:p>
    <w:tbl>
      <w:tblPr>
        <w:tblStyle w:val="11"/>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7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一、项目概况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项目名称</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2024年度</w:t>
            </w:r>
            <w:r>
              <w:rPr>
                <w:rFonts w:hint="default" w:ascii="Times New Roman" w:hAnsi="Times New Roman" w:eastAsia="方正仿宋_GBK" w:cs="Times New Roman"/>
                <w:color w:val="000000" w:themeColor="text1"/>
                <w:sz w:val="24"/>
                <w:highlight w:val="none"/>
                <w14:textFill>
                  <w14:solidFill>
                    <w14:schemeClr w14:val="tx1"/>
                  </w14:solidFill>
                </w14:textFill>
              </w:rPr>
              <w:t>轨道</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2号线</w:t>
            </w:r>
            <w:r>
              <w:rPr>
                <w:rFonts w:hint="default" w:ascii="Times New Roman" w:hAnsi="Times New Roman" w:eastAsia="方正仿宋_GBK" w:cs="Times New Roman"/>
                <w:color w:val="000000" w:themeColor="text1"/>
                <w:sz w:val="24"/>
                <w:highlight w:val="none"/>
                <w14:textFill>
                  <w14:solidFill>
                    <w14:schemeClr w14:val="tx1"/>
                  </w14:solidFill>
                </w14:textFill>
              </w:rPr>
              <w:t>轨行区清掏冲洗、</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外墙清洗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和</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沟渠池</w:t>
            </w:r>
            <w:r>
              <w:rPr>
                <w:rFonts w:hint="default" w:ascii="Times New Roman" w:hAnsi="Times New Roman" w:eastAsia="方正仿宋_GBK" w:cs="Times New Roman"/>
                <w:color w:val="000000" w:themeColor="text1"/>
                <w:sz w:val="24"/>
                <w:highlight w:val="none"/>
                <w14:textFill>
                  <w14:solidFill>
                    <w14:schemeClr w14:val="tx1"/>
                  </w14:solidFill>
                </w14:textFill>
              </w:rPr>
              <w:t>清掏服务比选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项目预算</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不含税单价见附件1</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14:textFill>
                  <w14:solidFill>
                    <w14:schemeClr w14:val="tx1"/>
                  </w14:solidFill>
                </w14:textFill>
              </w:rPr>
              <w:t>不含</w:t>
            </w:r>
            <w:r>
              <w:rPr>
                <w:rFonts w:hint="default" w:ascii="Times New Roman" w:hAnsi="Times New Roman" w:eastAsia="方正仿宋_GBK" w:cs="Times New Roman"/>
                <w:color w:val="000000" w:themeColor="text1"/>
                <w:kern w:val="0"/>
                <w:sz w:val="24"/>
                <w:highlight w:val="none"/>
                <w:shd w:val="clear"/>
                <w14:textFill>
                  <w14:solidFill>
                    <w14:schemeClr w14:val="tx1"/>
                  </w14:solidFill>
                </w14:textFill>
              </w:rPr>
              <w:t>税总价为</w:t>
            </w:r>
            <w:r>
              <w:rPr>
                <w:rFonts w:hint="eastAsia" w:ascii="Times New Roman" w:hAnsi="Times New Roman" w:eastAsia="方正仿宋_GBK" w:cs="Times New Roman"/>
                <w:b/>
                <w:bCs/>
                <w:color w:val="000000" w:themeColor="text1"/>
                <w:kern w:val="0"/>
                <w:sz w:val="24"/>
                <w:highlight w:val="none"/>
                <w:u w:val="single"/>
                <w:shd w:val="clear"/>
                <w:lang w:val="en-US" w:eastAsia="zh-CN"/>
                <w14:textFill>
                  <w14:solidFill>
                    <w14:schemeClr w14:val="tx1"/>
                  </w14:solidFill>
                </w14:textFill>
              </w:rPr>
              <w:t>859060.82</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元</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（须出具增值税专用发票）</w:t>
            </w:r>
            <w:r>
              <w:rPr>
                <w:rFonts w:hint="default" w:ascii="Times New Roman" w:hAnsi="Times New Roman" w:eastAsia="方正仿宋_GBK" w:cs="Times New Roman"/>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服务期限</w:t>
            </w:r>
          </w:p>
        </w:tc>
        <w:tc>
          <w:tcPr>
            <w:tcW w:w="7202"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2024年</w:t>
            </w:r>
            <w:r>
              <w:rPr>
                <w:rFonts w:hint="eastAsia" w:ascii="Times New Roman" w:hAnsi="Times New Roman" w:eastAsia="方正仿宋_GBK" w:cs="Times New Roman"/>
                <w:color w:val="000000" w:themeColor="text1"/>
                <w:sz w:val="24"/>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月1日起至2024年12月31日止；本项目采取1+1模式，2024年12月31日合同到期后，经评估合格另行签订补充协议，</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合同延续一年至2025年12月31日。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服务时间</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开始时间</w:t>
            </w:r>
            <w:r>
              <w:rPr>
                <w:rFonts w:hint="default" w:ascii="Times New Roman" w:hAnsi="Times New Roman" w:eastAsia="方正仿宋_GBK" w:cs="Times New Roman"/>
                <w:color w:val="000000" w:themeColor="text1"/>
                <w:sz w:val="24"/>
                <w:highlight w:val="none"/>
                <w14:textFill>
                  <w14:solidFill>
                    <w14:schemeClr w14:val="tx1"/>
                  </w14:solidFill>
                </w14:textFill>
              </w:rPr>
              <w:t>以</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实际</w:t>
            </w:r>
            <w:r>
              <w:rPr>
                <w:rFonts w:hint="default" w:ascii="Times New Roman" w:hAnsi="Times New Roman" w:eastAsia="方正仿宋_GBK" w:cs="Times New Roman"/>
                <w:color w:val="000000" w:themeColor="text1"/>
                <w:sz w:val="24"/>
                <w:highlight w:val="none"/>
                <w14:textFill>
                  <w14:solidFill>
                    <w14:schemeClr w14:val="tx1"/>
                  </w14:solidFill>
                </w14:textFill>
              </w:rPr>
              <w:t>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31" w:type="dxa"/>
            <w:gridSpan w:val="2"/>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二、比选被邀请人须知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29" w:type="dxa"/>
            <w:vAlign w:val="center"/>
          </w:tcPr>
          <w:p>
            <w:pPr>
              <w:spacing w:line="440" w:lineRule="exact"/>
              <w:jc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比选范围及内容</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1、比选范围：轨道</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2号线</w:t>
            </w:r>
            <w:r>
              <w:rPr>
                <w:rFonts w:hint="default" w:ascii="Times New Roman" w:hAnsi="Times New Roman" w:eastAsia="方正仿宋_GBK" w:cs="Times New Roman"/>
                <w:color w:val="000000" w:themeColor="text1"/>
                <w:sz w:val="24"/>
                <w:highlight w:val="none"/>
                <w14:textFill>
                  <w14:solidFill>
                    <w14:schemeClr w14:val="tx1"/>
                  </w14:solidFill>
                </w14:textFill>
              </w:rPr>
              <w:t>车站沿线轨行区清掏冲洗、</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外墙清洗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和</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沟渠池</w:t>
            </w:r>
            <w:r>
              <w:rPr>
                <w:rFonts w:hint="default" w:ascii="Times New Roman" w:hAnsi="Times New Roman" w:eastAsia="方正仿宋_GBK" w:cs="Times New Roman"/>
                <w:color w:val="000000" w:themeColor="text1"/>
                <w:sz w:val="24"/>
                <w:highlight w:val="none"/>
                <w14:textFill>
                  <w14:solidFill>
                    <w14:schemeClr w14:val="tx1"/>
                  </w14:solidFill>
                </w14:textFill>
              </w:rPr>
              <w:t>清掏服务。</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2、比选内容</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1）轨行区清掏冲洗：</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负责轨道2号线沿线区间隧道（上下行，含辅助线、出入段线）内水沟、隧道底面及底面以上1米范围隧道壁、高架区段（道岔桥）的冲洗；沿线隧道及高架道岔桥排水沟、排水暗沟、排水管、落水管等排水设施的清掏、疏通、清掏物的清扫、人工转运（转运距离平均约1公里）；区间隧道排水设施清掏物通过装袋后，需10t的渣车二次转运至符合规定的渣场处理；排水暗沟及暗管疏通；区间轨行区路基段清洁卫生及杂草清除；区间雨棚及防抛网清洁卫生；区间边坡挡墙清洁卫生及杂草清除；区间垃圾二次转运及处置。</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外墙清洗</w:t>
            </w:r>
            <w:r>
              <w:rPr>
                <w:rFonts w:hint="default" w:ascii="Times New Roman" w:hAnsi="Times New Roman" w:eastAsia="方正仿宋_GBK" w:cs="Times New Roman"/>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负责轨道2号线21个站点（黄花园、大溪沟、曾家岩、牛角沱、李子坝、佛图关（含手印墙、钟楼）、袁家岗、谢家湾、杨家坪、动物园、大堰村、马王场、平安、大渡口、新山村、天堂堡、建桥、金家湾、刘家坝、白居寺、大江）和3栋变电所（龙家湾主变电所、动物园主变电所、袁家岗外挂所）进出口</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的</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雨棚（内外侧及钢架结构）、</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外墙（</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包含玻璃幕墙、漆面墙体、顶墙等）、外墙表面（含铝塑板外墙、涂料外墙、石材外墙）、室外直升电梯外侧表面、车站站名牌</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和屋顶排水沟清掏等工作</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Chars="0" w:firstLine="0" w:firstLineChars="0"/>
              <w:textAlignment w:val="auto"/>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沟渠池</w:t>
            </w:r>
            <w:r>
              <w:rPr>
                <w:rFonts w:hint="default" w:ascii="Times New Roman" w:hAnsi="Times New Roman" w:eastAsia="方正仿宋_GBK" w:cs="Times New Roman"/>
                <w:color w:val="000000" w:themeColor="text1"/>
                <w:sz w:val="24"/>
                <w:highlight w:val="none"/>
                <w14:textFill>
                  <w14:solidFill>
                    <w14:schemeClr w14:val="tx1"/>
                  </w14:solidFill>
                </w14:textFill>
              </w:rPr>
              <w:t>清掏：</w:t>
            </w:r>
          </w:p>
          <w:p>
            <w:pPr>
              <w:pStyle w:val="2"/>
              <w:keepNext/>
              <w:keepLines/>
              <w:pageBreakBefore w:val="0"/>
              <w:widowControl w:val="0"/>
              <w:kinsoku/>
              <w:wordWrap/>
              <w:overflowPunct/>
              <w:topLinePunct w:val="0"/>
              <w:autoSpaceDE/>
              <w:autoSpaceDN/>
              <w:bidi w:val="0"/>
              <w:adjustRightInd/>
              <w:snapToGrid/>
              <w:spacing w:before="0" w:after="0" w:line="440" w:lineRule="exact"/>
              <w:textAlignment w:val="auto"/>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负责轨道2 号线 24 个站点（较场口至大江）沿线车站、变电所生化池、污水（井）处理池、废水池、排水沟、隔油池、集水井（池）、车站泵房</w:t>
            </w:r>
            <w:r>
              <w:rPr>
                <w:rFonts w:hint="eastAsia"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等清</w:t>
            </w: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掏抽排</w:t>
            </w:r>
            <w:r>
              <w:rPr>
                <w:rFonts w:hint="default" w:ascii="Times New Roman" w:hAnsi="Times New Roman" w:eastAsia="方正仿宋_GBK" w:cs="Times New Roman"/>
                <w:b w:val="0"/>
                <w:bCs w:val="0"/>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含垃圾转运处置</w:t>
            </w:r>
            <w:r>
              <w:rPr>
                <w:rFonts w:hint="default" w:ascii="Times New Roman" w:hAnsi="Times New Roman" w:eastAsia="方正仿宋_GBK" w:cs="Times New Roman"/>
                <w:b w:val="0"/>
                <w:bCs w:val="0"/>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和增加的</w:t>
            </w:r>
            <w:r>
              <w:rPr>
                <w:rFonts w:hint="eastAsia"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其他</w:t>
            </w: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临时清掏抽排工作，如下：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承担清掏工作涉及的揭板、清掏、管道进出口疏通及清掏物的外运弃倒和盖板复原等，所有的人员、机具、车辆运输、二次转运、污水处理等均应按照相关规定自行组织予以实施，</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作业</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中必须做好防毒安全措施，人员下池必须检测沼气浓度。在</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作业</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中应加强通风、防毒，防止人员中毒，按时、按量、按要求完成清掏、疏通、检查等工作</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0" w:firstLineChars="0"/>
              <w:textAlignment w:val="auto"/>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（2）临时性清掏包含：①沉积物超过进粪口；②有毒有害气体检测超标（气体检测仪报警）；③过粪孔堵塞；④化粪池泄漏；⑤隔油池堵塞或满溢；⑥其他需要安排临时清掏的情况。</w:t>
            </w:r>
          </w:p>
          <w:p>
            <w:pPr>
              <w:spacing w:line="440" w:lineRule="exact"/>
              <w:rPr>
                <w:rFonts w:hint="default" w:ascii="Times New Roman" w:hAnsi="Times New Roman" w:eastAsia="方正仿宋_GBK" w:cs="Times New Roman"/>
                <w:color w:val="000000" w:themeColor="text1"/>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3、作业量详见附件1。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3" w:hRule="atLeast"/>
        </w:trPr>
        <w:tc>
          <w:tcPr>
            <w:tcW w:w="2229" w:type="dxa"/>
            <w:vAlign w:val="center"/>
          </w:tcPr>
          <w:p>
            <w:pPr>
              <w:spacing w:line="440" w:lineRule="exact"/>
              <w:jc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比选被邀请人</w:t>
            </w:r>
          </w:p>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资格要求</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1、基本资格条件</w:t>
            </w:r>
          </w:p>
          <w:p>
            <w:pPr>
              <w:spacing w:line="440" w:lineRule="exact"/>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持有合法有效营业执照，具有履行合同所必需设备和专业能力</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p>
          <w:p>
            <w:pPr>
              <w:spacing w:line="440" w:lineRule="exact"/>
              <w:rPr>
                <w:rFonts w:hint="default" w:ascii="Times New Roman" w:hAnsi="Times New Roman" w:cs="Times New Roman"/>
                <w:color w:val="000000" w:themeColor="text1"/>
                <w:highlight w:val="none"/>
                <w:lang w:eastAsia="zh-CN"/>
                <w14:textFill>
                  <w14:solidFill>
                    <w14:schemeClr w14:val="tx1"/>
                  </w14:solidFill>
                </w14:textFill>
              </w:rPr>
            </w:pPr>
            <w:r>
              <w:rPr>
                <w:rFonts w:hint="default"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t>2、具备良好的商业信誉，参加本次招标前三年内，在经营活动中没有重大违法行为，需</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提供信用中国www.creditchina.gov.cn查询信用信息截图（失信被执行人、异常经营名录、税收违法黑名单查询截图各1张）。</w:t>
            </w:r>
          </w:p>
          <w:p>
            <w:pPr>
              <w:spacing w:line="440" w:lineRule="exact"/>
              <w:rPr>
                <w:rFonts w:hint="default"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3、特定资格条件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0" w:firstLineChars="0"/>
              <w:textAlignment w:val="auto"/>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highlight w:val="none"/>
                <w:lang w:val="en-US" w:eastAsia="zh-CN"/>
                <w14:textFill>
                  <w14:solidFill>
                    <w14:schemeClr w14:val="tx1"/>
                  </w14:solidFill>
                </w14:textFill>
              </w:rPr>
              <w:t>1）具备行业服务协会认定的保洁服务企业一级资质。</w:t>
            </w:r>
          </w:p>
          <w:p>
            <w:pPr>
              <w:spacing w:line="440" w:lineRule="exact"/>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2）具备重庆市城市管理局颁发的《城市生活垃圾经营性清扫收集运输处置服务许可证》。</w:t>
            </w:r>
          </w:p>
          <w:p>
            <w:pPr>
              <w:spacing w:line="440" w:lineRule="exact"/>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24"/>
                <w:highlight w:val="none"/>
                <w14:textFill>
                  <w14:solidFill>
                    <w14:schemeClr w14:val="tx1"/>
                  </w14:solidFill>
                </w14:textFill>
              </w:rPr>
              <w:t>具备行业协会或机构颁发的《城市粪便污水处理经营服务资质认定》三级及以上证书</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p>
          <w:p>
            <w:pPr>
              <w:spacing w:line="440" w:lineRule="exact"/>
              <w:rPr>
                <w:rFonts w:hint="default" w:ascii="Times New Roman" w:hAnsi="Times New Roman" w:cs="Times New Roman"/>
                <w:color w:val="000000" w:themeColor="text1"/>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24"/>
                <w:highlight w:val="none"/>
                <w14:textFill>
                  <w14:solidFill>
                    <w14:schemeClr w14:val="tx1"/>
                  </w14:solidFill>
                </w14:textFill>
              </w:rPr>
              <w:t>具备行业协会或机构颁发的</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高空服务业企业安全资质</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或</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高空清洗悬吊作业企业安全生产证书</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或</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高空外墙清洗服务企业资质</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或</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高空外墙清洁资质等级证书</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5"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比选文件领取和递交时间、地点及比选文件份数</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 xml:space="preserve">1、领取文件时间：见官网。 </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2、递交文件时间：</w:t>
            </w:r>
            <w:r>
              <w:rPr>
                <w:rFonts w:hint="default" w:ascii="Times New Roman" w:hAnsi="Times New Roman" w:eastAsia="仿宋" w:cs="Times New Roman"/>
                <w:color w:val="000000" w:themeColor="text1"/>
                <w:sz w:val="24"/>
                <w:highlight w:val="none"/>
                <w:lang w:val="en-US" w:eastAsia="zh-CN"/>
                <w14:textFill>
                  <w14:solidFill>
                    <w14:schemeClr w14:val="tx1"/>
                  </w14:solidFill>
                </w14:textFill>
              </w:rPr>
              <w:t>2024</w:t>
            </w:r>
            <w:r>
              <w:rPr>
                <w:rFonts w:hint="default" w:ascii="Times New Roman" w:hAnsi="Times New Roman" w:eastAsia="仿宋" w:cs="Times New Roman"/>
                <w:color w:val="000000" w:themeColor="text1"/>
                <w:sz w:val="24"/>
                <w:highlight w:val="none"/>
                <w14:textFill>
                  <w14:solidFill>
                    <w14:schemeClr w14:val="tx1"/>
                  </w14:solidFill>
                </w14:textFill>
              </w:rPr>
              <w:t>年   月   日    时   分</w:t>
            </w:r>
            <w:r>
              <w:rPr>
                <w:rFonts w:hint="default" w:ascii="Times New Roman" w:hAnsi="Times New Roman" w:eastAsia="方正仿宋_GBK" w:cs="Times New Roman"/>
                <w:color w:val="000000" w:themeColor="text1"/>
                <w:sz w:val="24"/>
                <w:highlight w:val="none"/>
                <w14:textFill>
                  <w14:solidFill>
                    <w14:schemeClr w14:val="tx1"/>
                  </w14:solidFill>
                </w14:textFill>
              </w:rPr>
              <w:t xml:space="preserve">截止。    </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3、递交文件地点：重庆市南岸区涂山镇腾龙大道58号重庆通邑智慧城市运营管理有限公司。</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4、比选时间：</w:t>
            </w:r>
            <w:r>
              <w:rPr>
                <w:rFonts w:hint="default" w:ascii="Times New Roman" w:hAnsi="Times New Roman" w:eastAsia="仿宋" w:cs="Times New Roman"/>
                <w:color w:val="000000" w:themeColor="text1"/>
                <w:sz w:val="24"/>
                <w:highlight w:val="none"/>
                <w:lang w:val="en-US" w:eastAsia="zh-CN"/>
                <w14:textFill>
                  <w14:solidFill>
                    <w14:schemeClr w14:val="tx1"/>
                  </w14:solidFill>
                </w14:textFill>
              </w:rPr>
              <w:t>2024</w:t>
            </w:r>
            <w:r>
              <w:rPr>
                <w:rFonts w:hint="default" w:ascii="Times New Roman" w:hAnsi="Times New Roman" w:eastAsia="仿宋" w:cs="Times New Roman"/>
                <w:color w:val="000000" w:themeColor="text1"/>
                <w:sz w:val="24"/>
                <w:highlight w:val="none"/>
                <w14:textFill>
                  <w14:solidFill>
                    <w14:schemeClr w14:val="tx1"/>
                  </w14:solidFill>
                </w14:textFill>
              </w:rPr>
              <w:t>年  月  日  时  分</w:t>
            </w:r>
            <w:r>
              <w:rPr>
                <w:rFonts w:hint="default" w:ascii="Times New Roman" w:hAnsi="Times New Roman" w:eastAsia="方正仿宋_GBK" w:cs="Times New Roman"/>
                <w:color w:val="000000" w:themeColor="text1"/>
                <w:sz w:val="24"/>
                <w:highlight w:val="none"/>
                <w14:textFill>
                  <w14:solidFill>
                    <w14:schemeClr w14:val="tx1"/>
                  </w14:solidFill>
                </w14:textFill>
              </w:rPr>
              <w:t>。</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5、比选文件份数：正本1份，副本1份。提供盖章版正本扫描件1份（以U盘形式装入正本文件袋）。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3"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比选保证金</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1、¥</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u w:val="single"/>
                <w:lang w:val="en-US" w:eastAsia="zh-CN"/>
                <w14:textFill>
                  <w14:solidFill>
                    <w14:schemeClr w14:val="tx1"/>
                  </w14:solidFill>
                </w14:textFill>
              </w:rPr>
              <w:t>5</w:t>
            </w:r>
            <w:r>
              <w:rPr>
                <w:rFonts w:hint="default" w:ascii="Times New Roman" w:hAnsi="Times New Roman" w:eastAsia="方正仿宋_GBK" w:cs="Times New Roman"/>
                <w:color w:val="000000" w:themeColor="text1"/>
                <w:sz w:val="24"/>
                <w:highlight w:val="none"/>
                <w:u w:val="single"/>
                <w:lang w:eastAsia="zh-CN"/>
                <w14:textFill>
                  <w14:solidFill>
                    <w14:schemeClr w14:val="tx1"/>
                  </w14:solidFill>
                </w14:textFill>
              </w:rPr>
              <w:t>0000</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14:textFill>
                  <w14:solidFill>
                    <w14:schemeClr w14:val="tx1"/>
                  </w14:solidFill>
                </w14:textFill>
              </w:rPr>
              <w:t>元（大写：人民币</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伍万元</w:t>
            </w:r>
            <w:r>
              <w:rPr>
                <w:rFonts w:hint="default" w:ascii="Times New Roman" w:hAnsi="Times New Roman" w:eastAsia="方正仿宋_GBK" w:cs="Times New Roman"/>
                <w:color w:val="000000" w:themeColor="text1"/>
                <w:sz w:val="24"/>
                <w:highlight w:val="none"/>
                <w14:textFill>
                  <w14:solidFill>
                    <w14:schemeClr w14:val="tx1"/>
                  </w14:solidFill>
                </w14:textFill>
              </w:rPr>
              <w:t>整）。</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2、比选人于</w:t>
            </w:r>
            <w:r>
              <w:rPr>
                <w:rFonts w:hint="default" w:ascii="Times New Roman" w:hAnsi="Times New Roman" w:eastAsia="方正仿宋_GBK" w:cs="Times New Roman"/>
                <w:color w:val="000000" w:themeColor="text1"/>
                <w:sz w:val="24"/>
                <w:highlight w:val="none"/>
                <w:u w:val="single"/>
                <w:lang w:val="en-US" w:eastAsia="zh-CN"/>
                <w14:textFill>
                  <w14:solidFill>
                    <w14:schemeClr w14:val="tx1"/>
                  </w14:solidFill>
                </w14:textFill>
              </w:rPr>
              <w:t>2024</w:t>
            </w:r>
            <w:r>
              <w:rPr>
                <w:rFonts w:hint="default" w:ascii="Times New Roman" w:hAnsi="Times New Roman" w:eastAsia="方正仿宋_GBK" w:cs="Times New Roman"/>
                <w:color w:val="000000" w:themeColor="text1"/>
                <w:sz w:val="24"/>
                <w:highlight w:val="none"/>
                <w14:textFill>
                  <w14:solidFill>
                    <w14:schemeClr w14:val="tx1"/>
                  </w14:solidFill>
                </w14:textFill>
              </w:rPr>
              <w:t>年</w:t>
            </w:r>
            <w:r>
              <w:rPr>
                <w:rFonts w:hint="default" w:ascii="Times New Roman" w:hAnsi="Times New Roman" w:eastAsia="方正仿宋_GBK"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14:textFill>
                  <w14:solidFill>
                    <w14:schemeClr w14:val="tx1"/>
                  </w14:solidFill>
                </w14:textFill>
              </w:rPr>
              <w:t>月</w:t>
            </w:r>
            <w:r>
              <w:rPr>
                <w:rFonts w:hint="default" w:ascii="Times New Roman" w:hAnsi="Times New Roman" w:eastAsia="方正仿宋_GBK"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14:textFill>
                  <w14:solidFill>
                    <w14:schemeClr w14:val="tx1"/>
                  </w14:solidFill>
                </w14:textFill>
              </w:rPr>
              <w:t>日</w:t>
            </w:r>
            <w:r>
              <w:rPr>
                <w:rFonts w:hint="default" w:ascii="Times New Roman" w:hAnsi="Times New Roman" w:eastAsia="方正仿宋_GBK"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14:textFill>
                  <w14:solidFill>
                    <w14:schemeClr w14:val="tx1"/>
                  </w14:solidFill>
                </w14:textFill>
              </w:rPr>
              <w:t>时</w:t>
            </w:r>
            <w:r>
              <w:rPr>
                <w:rFonts w:hint="default" w:ascii="Times New Roman" w:hAnsi="Times New Roman" w:eastAsia="方正仿宋_GBK"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14:textFill>
                  <w14:solidFill>
                    <w14:schemeClr w14:val="tx1"/>
                  </w14:solidFill>
                </w14:textFill>
              </w:rPr>
              <w:t>分前缴纳比选保证金，汇款时备注</w:t>
            </w:r>
            <w: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2号线</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轨行区清掏冲洗等比选保证金</w:t>
            </w:r>
            <w: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14:textFill>
                  <w14:solidFill>
                    <w14:schemeClr w14:val="tx1"/>
                  </w14:solidFill>
                </w14:textFill>
              </w:rPr>
              <w:t>约定期限内未缴纳的取消比选资格。</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3、未中选单位所缴比选保证金于中选通知书发放后</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10</w:t>
            </w:r>
            <w:r>
              <w:rPr>
                <w:rFonts w:hint="default" w:ascii="Times New Roman" w:hAnsi="Times New Roman" w:eastAsia="方正仿宋_GBK" w:cs="Times New Roman"/>
                <w:color w:val="000000" w:themeColor="text1"/>
                <w:sz w:val="24"/>
                <w:highlight w:val="none"/>
                <w14:textFill>
                  <w14:solidFill>
                    <w14:schemeClr w14:val="tx1"/>
                  </w14:solidFill>
                </w14:textFill>
              </w:rPr>
              <w:t>个工作日内无息退还，中选单位比选保证金直接转为履约保证金。</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4、若比选邀请人发现比选被邀请人所提供资料存在弄虚作假、围标串标等行为，则取消其比选资格，且比选保证金不予退还。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履约保证金</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1、¥</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u w:val="single"/>
                <w:lang w:val="en-US" w:eastAsia="zh-CN"/>
                <w14:textFill>
                  <w14:solidFill>
                    <w14:schemeClr w14:val="tx1"/>
                  </w14:solidFill>
                </w14:textFill>
              </w:rPr>
              <w:t>5</w:t>
            </w:r>
            <w:r>
              <w:rPr>
                <w:rFonts w:hint="default" w:ascii="Times New Roman" w:hAnsi="Times New Roman" w:eastAsia="方正仿宋_GBK" w:cs="Times New Roman"/>
                <w:color w:val="000000" w:themeColor="text1"/>
                <w:sz w:val="24"/>
                <w:highlight w:val="none"/>
                <w:u w:val="single"/>
                <w:lang w:eastAsia="zh-CN"/>
                <w14:textFill>
                  <w14:solidFill>
                    <w14:schemeClr w14:val="tx1"/>
                  </w14:solidFill>
                </w14:textFill>
              </w:rPr>
              <w:t>0000</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14:textFill>
                  <w14:solidFill>
                    <w14:schemeClr w14:val="tx1"/>
                  </w14:solidFill>
                </w14:textFill>
              </w:rPr>
              <w:t>元（大写：人民币</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伍万元</w:t>
            </w:r>
            <w:r>
              <w:rPr>
                <w:rFonts w:hint="default" w:ascii="Times New Roman" w:hAnsi="Times New Roman" w:eastAsia="方正仿宋_GBK" w:cs="Times New Roman"/>
                <w:color w:val="000000" w:themeColor="text1"/>
                <w:sz w:val="24"/>
                <w:highlight w:val="none"/>
                <w14:textFill>
                  <w14:solidFill>
                    <w14:schemeClr w14:val="tx1"/>
                  </w14:solidFill>
                </w14:textFill>
              </w:rPr>
              <w:t>整）</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2、中选单位比选保证金转为履约保证金，履约保证金在合同期满，且经比选邀请人确认中选单位无违约欠款或其他应付未付款项后，比选邀请人收到中选单位的履约保证金缴纳收据原件后15个工作日内无息退还。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exact"/>
        </w:trPr>
        <w:tc>
          <w:tcPr>
            <w:tcW w:w="2229" w:type="dxa"/>
            <w:vAlign w:val="center"/>
          </w:tcPr>
          <w:p>
            <w:pPr>
              <w:spacing w:line="440" w:lineRule="exact"/>
              <w:jc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保证金缴纳账户</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u w:val="singl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开户银行：</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 xml:space="preserve">民生银行南坪支行 </w:t>
            </w:r>
          </w:p>
          <w:p>
            <w:pPr>
              <w:spacing w:line="440" w:lineRule="exact"/>
              <w:rPr>
                <w:rFonts w:hint="default" w:ascii="Times New Roman" w:hAnsi="Times New Roman" w:eastAsia="方正仿宋_GBK" w:cs="Times New Roman"/>
                <w:color w:val="000000" w:themeColor="text1"/>
                <w:sz w:val="24"/>
                <w:highlight w:val="none"/>
                <w:u w:val="singl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户    名：</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 xml:space="preserve">重庆通邑智慧城市运营管理有限公司 </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银行账号：</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695138171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exact"/>
        </w:trPr>
        <w:tc>
          <w:tcPr>
            <w:tcW w:w="2229" w:type="dxa"/>
            <w:vMerge w:val="restart"/>
            <w:vAlign w:val="center"/>
          </w:tcPr>
          <w:p>
            <w:pPr>
              <w:spacing w:line="440" w:lineRule="exact"/>
              <w:jc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限价及</w:t>
            </w:r>
          </w:p>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报价要求</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限价：</w:t>
            </w:r>
          </w:p>
          <w:p>
            <w:pPr>
              <w:spacing w:line="440" w:lineRule="exact"/>
              <w:jc w:val="lef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不含税单价最高限价详见附件1</w:t>
            </w:r>
            <w:r>
              <w:rPr>
                <w:rFonts w:hint="default" w:ascii="Times New Roman" w:hAnsi="Times New Roman" w:eastAsia="方正仿宋_GBK" w:cs="Times New Roman"/>
                <w:b/>
                <w:bCs/>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kern w:val="0"/>
                <w:sz w:val="24"/>
                <w:highlight w:val="none"/>
                <w14:textFill>
                  <w14:solidFill>
                    <w14:schemeClr w14:val="tx1"/>
                  </w14:solidFill>
                </w14:textFill>
              </w:rPr>
              <w:t>不</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含税</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总价</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最高限价</w:t>
            </w:r>
            <w:r>
              <w:rPr>
                <w:rFonts w:hint="eastAsia" w:ascii="Times New Roman" w:hAnsi="Times New Roman" w:eastAsia="方正仿宋_GBK" w:cs="Times New Roman"/>
                <w:b/>
                <w:bCs/>
                <w:color w:val="000000" w:themeColor="text1"/>
                <w:sz w:val="24"/>
                <w:highlight w:val="none"/>
                <w:u w:val="single"/>
                <w:lang w:val="en-US" w:eastAsia="zh-CN"/>
                <w14:textFill>
                  <w14:solidFill>
                    <w14:schemeClr w14:val="tx1"/>
                  </w14:solidFill>
                </w14:textFill>
              </w:rPr>
              <w:t>859060.82</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元</w:t>
            </w:r>
            <w:r>
              <w:rPr>
                <w:rFonts w:hint="default" w:ascii="Times New Roman" w:hAnsi="Times New Roman" w:eastAsia="方正仿宋_GBK" w:cs="Times New Roman"/>
                <w:color w:val="000000" w:themeColor="text1"/>
                <w:sz w:val="24"/>
                <w:highlight w:val="none"/>
                <w14:textFill>
                  <w14:solidFill>
                    <w14:schemeClr w14:val="tx1"/>
                  </w14:solidFill>
                </w14:textFill>
              </w:rPr>
              <w:t>。本次比选为一次性最终报价，不再议价。请报价人根据自身情况自主报价，报价超过任一限价的作否决比选处理。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5" w:hRule="exact"/>
        </w:trPr>
        <w:tc>
          <w:tcPr>
            <w:tcW w:w="2229" w:type="dxa"/>
            <w:vMerge w:val="continue"/>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报价要求：</w:t>
            </w:r>
          </w:p>
          <w:p>
            <w:pPr>
              <w:spacing w:line="440" w:lineRule="exact"/>
              <w:rPr>
                <w:rFonts w:hint="default" w:ascii="Times New Roman" w:hAnsi="Times New Roman" w:eastAsia="方正仿宋_GBK" w:cs="Times New Roman"/>
                <w:b/>
                <w:bCs/>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b/>
                <w:bCs/>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b/>
                <w:bCs/>
                <w:color w:val="000000" w:themeColor="text1"/>
                <w:sz w:val="24"/>
                <w:highlight w:val="none"/>
                <w14:textFill>
                  <w14:solidFill>
                    <w14:schemeClr w14:val="tx1"/>
                  </w14:solidFill>
                </w14:textFill>
              </w:rPr>
              <w:t>本</w:t>
            </w:r>
            <w:r>
              <w:rPr>
                <w:rFonts w:hint="default" w:ascii="Times New Roman" w:hAnsi="Times New Roman" w:eastAsia="方正仿宋_GBK" w:cs="Times New Roman"/>
                <w:b/>
                <w:bCs/>
                <w:color w:val="000000" w:themeColor="text1"/>
                <w:sz w:val="24"/>
                <w:highlight w:val="none"/>
                <w:lang w:val="en-US" w:eastAsia="zh-CN"/>
                <w14:textFill>
                  <w14:solidFill>
                    <w14:schemeClr w14:val="tx1"/>
                  </w14:solidFill>
                </w14:textFill>
              </w:rPr>
              <w:t>项目采用</w:t>
            </w:r>
            <w:r>
              <w:rPr>
                <w:rFonts w:hint="default" w:ascii="Times New Roman" w:hAnsi="Times New Roman" w:eastAsia="方正仿宋_GBK" w:cs="Times New Roman"/>
                <w:b/>
                <w:bCs/>
                <w:color w:val="000000" w:themeColor="text1"/>
                <w:sz w:val="24"/>
                <w:highlight w:val="none"/>
                <w14:textFill>
                  <w14:solidFill>
                    <w14:schemeClr w14:val="tx1"/>
                  </w14:solidFill>
                </w14:textFill>
              </w:rPr>
              <w:t>综合包干价</w:t>
            </w:r>
            <w:r>
              <w:rPr>
                <w:rFonts w:hint="default" w:ascii="Times New Roman" w:hAnsi="Times New Roman" w:eastAsia="方正仿宋_GBK" w:cs="Times New Roman"/>
                <w:b/>
                <w:bCs/>
                <w:color w:val="000000" w:themeColor="text1"/>
                <w:sz w:val="24"/>
                <w:highlight w:val="none"/>
                <w:lang w:eastAsia="zh-CN"/>
                <w14:textFill>
                  <w14:solidFill>
                    <w14:schemeClr w14:val="tx1"/>
                  </w14:solidFill>
                </w14:textFill>
              </w:rPr>
              <w:t>。</w:t>
            </w:r>
          </w:p>
          <w:p>
            <w:pPr>
              <w:spacing w:line="440" w:lineRule="exact"/>
              <w:jc w:val="lef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lang w:val="en-US" w:eastAsia="zh-CN"/>
                <w14:textFill>
                  <w14:solidFill>
                    <w14:schemeClr w14:val="tx1"/>
                  </w14:solidFill>
                </w14:textFill>
              </w:rPr>
              <w:t>2、综合包干价</w:t>
            </w:r>
            <w:r>
              <w:rPr>
                <w:rFonts w:hint="default" w:ascii="Times New Roman" w:hAnsi="Times New Roman" w:eastAsia="方正仿宋_GBK" w:cs="Times New Roman"/>
                <w:b/>
                <w:bCs/>
                <w:color w:val="000000" w:themeColor="text1"/>
                <w:sz w:val="24"/>
                <w:highlight w:val="none"/>
                <w14:textFill>
                  <w14:solidFill>
                    <w14:schemeClr w14:val="tx1"/>
                  </w14:solidFill>
                </w14:textFill>
              </w:rPr>
              <w:t>包含但不限于</w:t>
            </w:r>
            <w:r>
              <w:rPr>
                <w:rFonts w:hint="default" w:ascii="Times New Roman" w:hAnsi="Times New Roman" w:eastAsia="方正仿宋_GBK" w:cs="Times New Roman"/>
                <w:b w:val="0"/>
                <w:bCs w:val="0"/>
                <w:color w:val="000000" w:themeColor="text1"/>
                <w:sz w:val="24"/>
                <w:highlight w:val="none"/>
                <w14:textFill>
                  <w14:solidFill>
                    <w14:schemeClr w14:val="tx1"/>
                  </w14:solidFill>
                </w14:textFill>
              </w:rPr>
              <w:t>人工费、</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社会保险及商业保险费、</w:t>
            </w:r>
            <w:r>
              <w:rPr>
                <w:rFonts w:hint="default" w:ascii="Times New Roman" w:hAnsi="Times New Roman" w:eastAsia="方正仿宋_GBK" w:cs="Times New Roman"/>
                <w:color w:val="000000" w:themeColor="text1"/>
                <w:sz w:val="24"/>
                <w:highlight w:val="none"/>
                <w14:textFill>
                  <w14:solidFill>
                    <w14:schemeClr w14:val="tx1"/>
                  </w14:solidFill>
                </w14:textFill>
              </w:rPr>
              <w:t>材料费、</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设备</w:t>
            </w:r>
            <w:r>
              <w:rPr>
                <w:rFonts w:hint="default" w:ascii="Times New Roman" w:hAnsi="Times New Roman" w:eastAsia="方正仿宋_GBK" w:cs="Times New Roman"/>
                <w:color w:val="000000" w:themeColor="text1"/>
                <w:sz w:val="24"/>
                <w:highlight w:val="none"/>
                <w14:textFill>
                  <w14:solidFill>
                    <w14:schemeClr w14:val="tx1"/>
                  </w14:solidFill>
                </w14:textFill>
              </w:rPr>
              <w:t>费、企业管理费、利润、风险费用、检测费、措施费、安全文明作业费、应急作业补偿费、水电费、材料涨价、垃圾清运费</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14:textFill>
                  <w14:solidFill>
                    <w14:schemeClr w14:val="tx1"/>
                  </w14:solidFill>
                </w14:textFill>
              </w:rPr>
              <w:t>弃渣费、税</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费</w:t>
            </w:r>
            <w:r>
              <w:rPr>
                <w:rFonts w:hint="default" w:ascii="Times New Roman" w:hAnsi="Times New Roman" w:eastAsia="方正仿宋_GBK" w:cs="Times New Roman"/>
                <w:color w:val="000000" w:themeColor="text1"/>
                <w:sz w:val="24"/>
                <w:highlight w:val="none"/>
                <w14:textFill>
                  <w14:solidFill>
                    <w14:schemeClr w14:val="tx1"/>
                  </w14:solidFill>
                </w14:textFill>
              </w:rPr>
              <w:t>、不可预计未列出的风险等所有费用</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14:textFill>
                  <w14:solidFill>
                    <w14:schemeClr w14:val="tx1"/>
                  </w14:solidFill>
                </w14:textFill>
              </w:rPr>
              <w:t>除此费用外，比选邀请人无须再向比选被邀请人或任何第三方支付其他任何款项或费用。</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3、比选邀请人不组织现场踏勘，比选被邀请人可自行到项目进行现场踏勘。</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4、比选被邀请人须充分考虑人工费用、税率变化、</w:t>
            </w:r>
            <w: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t>其他</w:t>
            </w:r>
            <w:r>
              <w:rPr>
                <w:rFonts w:hint="default" w:ascii="Times New Roman" w:hAnsi="Times New Roman" w:eastAsia="方正仿宋_GBK" w:cs="Times New Roman"/>
                <w:color w:val="000000" w:themeColor="text1"/>
                <w:sz w:val="24"/>
                <w:highlight w:val="none"/>
                <w14:textFill>
                  <w14:solidFill>
                    <w14:schemeClr w14:val="tx1"/>
                  </w14:solidFill>
                </w14:textFill>
              </w:rPr>
              <w:t>物料的变化等不利因素，合同期内不含税价及含税价均不因税率变化做</w:t>
            </w:r>
            <w: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t>调</w:t>
            </w:r>
            <w:r>
              <w:rPr>
                <w:rFonts w:hint="eastAsia" w:ascii="Times New Roman" w:hAnsi="Times New Roman" w:eastAsia="方正仿宋_GBK" w:cs="Times New Roman"/>
                <w:color w:val="000000" w:themeColor="text1"/>
                <w:sz w:val="24"/>
                <w:highlight w:val="none"/>
                <w:lang w:val="en-US" w:eastAsia="zh-CN"/>
                <w14:textFill>
                  <w14:solidFill>
                    <w14:schemeClr w14:val="tx1"/>
                  </w14:solidFill>
                </w14:textFill>
              </w:rPr>
              <w:t>增</w:t>
            </w:r>
            <w:r>
              <w:rPr>
                <w:rFonts w:hint="default" w:ascii="Times New Roman" w:hAnsi="Times New Roman" w:eastAsia="方正仿宋_GBK" w:cs="Times New Roman"/>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0"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费用支付方式</w:t>
            </w:r>
          </w:p>
        </w:tc>
        <w:tc>
          <w:tcPr>
            <w:tcW w:w="7202" w:type="dxa"/>
            <w:vAlign w:val="center"/>
          </w:tcPr>
          <w:p>
            <w:pPr>
              <w:pStyle w:val="4"/>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1、按季考核，按季支付。</w:t>
            </w:r>
            <w: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t>季度付款金额=（各项服务不含税单价×季度实际作业量×季度实际作业频次）*（1+税率）-季度考核费用。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2、比选邀请人在每月5日前完成上月服务质量考核，并与中选单位及时核对《供方服务月度评估报告》《</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实际作业量</w:t>
            </w:r>
            <w:r>
              <w:rPr>
                <w:rFonts w:hint="default" w:ascii="Times New Roman" w:hAnsi="Times New Roman" w:eastAsia="方正仿宋_GBK" w:cs="Times New Roman"/>
                <w:color w:val="000000" w:themeColor="text1"/>
                <w:sz w:val="24"/>
                <w:highlight w:val="none"/>
                <w14:textFill>
                  <w14:solidFill>
                    <w14:schemeClr w14:val="tx1"/>
                  </w14:solidFill>
                </w14:textFill>
              </w:rPr>
              <w:t>》</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服务质量考核表</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14:textFill>
                  <w14:solidFill>
                    <w14:schemeClr w14:val="tx1"/>
                  </w14:solidFill>
                </w14:textFill>
              </w:rPr>
              <w:t>等相关结算资料并签字确认。中选单位向比选邀请人开具等额增值税专用发票，在收到发票之后20个工作日内，比选邀请人向中选单位支付费用。若中选单位未提供增值税专用发票，比选邀请人有权拒绝支付相应款项，且不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其他需告知被邀请人的要求</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1、本项目不允许联合投标。</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2、本投标项目实行资格后审。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三、比选方式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2" w:hRule="exact"/>
        </w:trPr>
        <w:tc>
          <w:tcPr>
            <w:tcW w:w="9431" w:type="dxa"/>
            <w:gridSpan w:val="2"/>
            <w:vAlign w:val="center"/>
          </w:tcPr>
          <w:p>
            <w:pPr>
              <w:numPr>
                <w:ilvl w:val="0"/>
                <w:numId w:val="2"/>
              </w:num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此次比选采用综合评估法，</w:t>
            </w:r>
            <w:r>
              <w:rPr>
                <w:rFonts w:hint="default" w:ascii="Times New Roman" w:hAnsi="Times New Roman" w:eastAsia="方正仿宋_GBK" w:cs="Times New Roman"/>
                <w:b/>
                <w:bCs/>
                <w:color w:val="000000" w:themeColor="text1"/>
                <w:sz w:val="24"/>
                <w:highlight w:val="none"/>
                <w14:textFill>
                  <w14:solidFill>
                    <w14:schemeClr w14:val="tx1"/>
                  </w14:solidFill>
                </w14:textFill>
              </w:rPr>
              <w:t>报价部分（</w:t>
            </w:r>
            <w:r>
              <w:rPr>
                <w:rFonts w:hint="default" w:ascii="Times New Roman" w:hAnsi="Times New Roman" w:eastAsia="方正仿宋_GBK" w:cs="Times New Roman"/>
                <w:b/>
                <w:bCs/>
                <w:color w:val="000000" w:themeColor="text1"/>
                <w:sz w:val="24"/>
                <w:highlight w:val="none"/>
                <w:lang w:val="en-US" w:eastAsia="zh-CN"/>
                <w14:textFill>
                  <w14:solidFill>
                    <w14:schemeClr w14:val="tx1"/>
                  </w14:solidFill>
                </w14:textFill>
              </w:rPr>
              <w:t>40</w:t>
            </w:r>
            <w:r>
              <w:rPr>
                <w:rFonts w:hint="default" w:ascii="Times New Roman" w:hAnsi="Times New Roman" w:eastAsia="方正仿宋_GBK" w:cs="Times New Roman"/>
                <w:b/>
                <w:bCs/>
                <w:color w:val="000000" w:themeColor="text1"/>
                <w:sz w:val="24"/>
                <w:highlight w:val="none"/>
                <w14:textFill>
                  <w14:solidFill>
                    <w14:schemeClr w14:val="tx1"/>
                  </w14:solidFill>
                </w14:textFill>
              </w:rPr>
              <w:t>分）+商务部分（</w:t>
            </w:r>
            <w:r>
              <w:rPr>
                <w:rFonts w:hint="default" w:ascii="Times New Roman" w:hAnsi="Times New Roman" w:eastAsia="方正仿宋_GBK" w:cs="Times New Roman"/>
                <w:b/>
                <w:bCs/>
                <w:color w:val="000000" w:themeColor="text1"/>
                <w:sz w:val="24"/>
                <w:highlight w:val="none"/>
                <w:lang w:val="en-US" w:eastAsia="zh-CN"/>
                <w14:textFill>
                  <w14:solidFill>
                    <w14:schemeClr w14:val="tx1"/>
                  </w14:solidFill>
                </w14:textFill>
              </w:rPr>
              <w:t>30</w:t>
            </w:r>
            <w:r>
              <w:rPr>
                <w:rFonts w:hint="default" w:ascii="Times New Roman" w:hAnsi="Times New Roman" w:eastAsia="方正仿宋_GBK" w:cs="Times New Roman"/>
                <w:b/>
                <w:bCs/>
                <w:color w:val="000000" w:themeColor="text1"/>
                <w:sz w:val="24"/>
                <w:highlight w:val="none"/>
                <w14:textFill>
                  <w14:solidFill>
                    <w14:schemeClr w14:val="tx1"/>
                  </w14:solidFill>
                </w14:textFill>
              </w:rPr>
              <w:t>分）+技术部分（</w:t>
            </w:r>
            <w:r>
              <w:rPr>
                <w:rFonts w:hint="default" w:ascii="Times New Roman" w:hAnsi="Times New Roman" w:eastAsia="方正仿宋_GBK" w:cs="Times New Roman"/>
                <w:b/>
                <w:bCs/>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b/>
                <w:bCs/>
                <w:color w:val="000000" w:themeColor="text1"/>
                <w:sz w:val="24"/>
                <w:highlight w:val="none"/>
                <w14:textFill>
                  <w14:solidFill>
                    <w14:schemeClr w14:val="tx1"/>
                  </w14:solidFill>
                </w14:textFill>
              </w:rPr>
              <w:t>0分）=最终得分</w:t>
            </w:r>
            <w:r>
              <w:rPr>
                <w:rFonts w:hint="default" w:ascii="Times New Roman" w:hAnsi="Times New Roman" w:eastAsia="方正仿宋_GBK" w:cs="Times New Roman"/>
                <w:color w:val="000000" w:themeColor="text1"/>
                <w:sz w:val="24"/>
                <w:highlight w:val="none"/>
                <w14:textFill>
                  <w14:solidFill>
                    <w14:schemeClr w14:val="tx1"/>
                  </w14:solidFill>
                </w14:textFill>
              </w:rPr>
              <w:t>，技术部分以评审小组成员平均分作为此部分的比选分数，推荐得分最高的单位作为第一候选单位，对未中选情况不</w:t>
            </w:r>
            <w: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t>作解释</w:t>
            </w:r>
            <w:r>
              <w:rPr>
                <w:rFonts w:hint="default" w:ascii="Times New Roman" w:hAnsi="Times New Roman" w:eastAsia="方正仿宋_GBK" w:cs="Times New Roman"/>
                <w:color w:val="000000" w:themeColor="text1"/>
                <w:sz w:val="24"/>
                <w:highlight w:val="none"/>
                <w14:textFill>
                  <w14:solidFill>
                    <w14:schemeClr w14:val="tx1"/>
                  </w14:solidFill>
                </w14:textFill>
              </w:rPr>
              <w:t>。若出现两家及以上单位比选得分相同情况，推荐不含税报价最低的单位作为第一候选单位；如报价相同则须进行二次报价直至出现价差为止。</w:t>
            </w:r>
          </w:p>
          <w:p>
            <w:pPr>
              <w:numPr>
                <w:ilvl w:val="0"/>
                <w:numId w:val="2"/>
              </w:num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比选各方人员在公司监督人员的见证下当众开启密封文件，查验响应性文件。</w:t>
            </w:r>
          </w:p>
          <w:p>
            <w:pPr>
              <w:numPr>
                <w:ilvl w:val="0"/>
                <w:numId w:val="3"/>
              </w:numPr>
              <w:spacing w:line="440" w:lineRule="exact"/>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查验商务文件是否符合比选邀请函要求，若未能完全响应资格要求，视为无效文件。</w:t>
            </w:r>
          </w:p>
          <w:p>
            <w:pPr>
              <w:numPr>
                <w:ilvl w:val="0"/>
                <w:numId w:val="3"/>
              </w:numPr>
              <w:spacing w:line="440" w:lineRule="exact"/>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查验经济文件并</w:t>
            </w:r>
            <w:r>
              <w:rPr>
                <w:rFonts w:hint="default" w:ascii="Times New Roman" w:hAnsi="Times New Roman" w:eastAsia="方正仿宋_GBK" w:cs="Times New Roman"/>
                <w:color w:val="000000" w:themeColor="text1"/>
                <w:sz w:val="24"/>
                <w:highlight w:val="none"/>
                <w14:textFill>
                  <w14:solidFill>
                    <w14:schemeClr w14:val="tx1"/>
                  </w14:solidFill>
                </w14:textFill>
              </w:rPr>
              <w:t>宣读报价</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若未能完全响应比选函，视为无效文件。</w:t>
            </w:r>
          </w:p>
          <w:p>
            <w:pPr>
              <w:numPr>
                <w:ilvl w:val="0"/>
                <w:numId w:val="0"/>
              </w:numPr>
              <w:spacing w:line="440" w:lineRule="exact"/>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委托代理人签字确认报价</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p>
          <w:p>
            <w:pPr>
              <w:numPr>
                <w:ilvl w:val="0"/>
                <w:numId w:val="0"/>
              </w:numPr>
              <w:spacing w:line="440" w:lineRule="exact"/>
              <w:rPr>
                <w:rFonts w:hint="default" w:ascii="Times New Roman" w:hAnsi="Times New Roman" w:eastAsia="方正仿宋_GBK" w:cs="Times New Roman"/>
                <w:b w:val="0"/>
                <w:bCs w:val="0"/>
                <w:color w:val="000000" w:themeColor="text1"/>
                <w:sz w:val="24"/>
                <w:highlight w:val="none"/>
                <w14:textFill>
                  <w14:solidFill>
                    <w14:schemeClr w14:val="tx1"/>
                  </w14:solidFill>
                </w14:textFill>
              </w:rPr>
            </w:pP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（4）响应文件符合的比选单位委托代理人现场讲解技术文件（10分钟内），讲解后由评审小组就技术文件相关内容提问，并由比选邀请人现场解答（10分钟内）。</w:t>
            </w:r>
          </w:p>
          <w:p>
            <w:pPr>
              <w:numPr>
                <w:ilvl w:val="0"/>
                <w:numId w:val="0"/>
              </w:num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24"/>
                <w:highlight w:val="none"/>
                <w14:textFill>
                  <w14:solidFill>
                    <w14:schemeClr w14:val="tx1"/>
                  </w14:solidFill>
                </w14:textFill>
              </w:rPr>
              <w:t>评审小组对响应文件进行详细比选</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打分</w:t>
            </w:r>
            <w:r>
              <w:rPr>
                <w:rFonts w:hint="default" w:ascii="Times New Roman" w:hAnsi="Times New Roman" w:eastAsia="方正仿宋_GBK" w:cs="Times New Roman"/>
                <w:color w:val="000000" w:themeColor="text1"/>
                <w:sz w:val="24"/>
                <w:highlight w:val="none"/>
                <w14:textFill>
                  <w14:solidFill>
                    <w14:schemeClr w14:val="tx1"/>
                  </w14:solidFill>
                </w14:textFill>
              </w:rPr>
              <w:t>并进行记录</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依次</w:t>
            </w:r>
            <w:r>
              <w:rPr>
                <w:rFonts w:hint="default" w:ascii="Times New Roman" w:hAnsi="Times New Roman" w:eastAsia="方正仿宋_GBK" w:cs="Times New Roman"/>
                <w:color w:val="000000" w:themeColor="text1"/>
                <w:sz w:val="24"/>
                <w:highlight w:val="none"/>
                <w14:textFill>
                  <w14:solidFill>
                    <w14:schemeClr w14:val="tx1"/>
                  </w14:solidFill>
                </w14:textFill>
              </w:rPr>
              <w:t>得出</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比选</w:t>
            </w:r>
            <w:r>
              <w:rPr>
                <w:rFonts w:hint="default" w:ascii="Times New Roman" w:hAnsi="Times New Roman" w:eastAsia="方正仿宋_GBK" w:cs="Times New Roman"/>
                <w:color w:val="000000" w:themeColor="text1"/>
                <w:sz w:val="24"/>
                <w:highlight w:val="none"/>
                <w14:textFill>
                  <w14:solidFill>
                    <w14:schemeClr w14:val="tx1"/>
                  </w14:solidFill>
                </w14:textFill>
              </w:rPr>
              <w:t>单位最终得分。</w:t>
            </w:r>
          </w:p>
          <w:p>
            <w:pPr>
              <w:spacing w:line="440" w:lineRule="exac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、综合评估标准详见附件2。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spacing w:line="440" w:lineRule="exac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四、比选文件组成及要求</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6" w:hRule="exact"/>
        </w:trPr>
        <w:tc>
          <w:tcPr>
            <w:tcW w:w="9431" w:type="dxa"/>
            <w:gridSpan w:val="2"/>
            <w:vAlign w:val="center"/>
          </w:tcPr>
          <w:p>
            <w:pPr>
              <w:numPr>
                <w:ilvl w:val="0"/>
                <w:numId w:val="4"/>
              </w:numPr>
              <w:spacing w:line="440" w:lineRule="exac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比选文件包括但不限于以下内容：</w:t>
            </w:r>
          </w:p>
          <w:p>
            <w:pPr>
              <w:numPr>
                <w:ilvl w:val="0"/>
                <w:numId w:val="5"/>
              </w:numPr>
              <w:spacing w:line="440" w:lineRule="exact"/>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商务文件：</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营业执照</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失信被执行人查询截图、异常经营名录查询截图、税收违法黑名单查询截图</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资质证书、法定代表人资格证明书、</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法定代表人授权委托书</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投标保证金缴纳凭据</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业绩证明材料、体系认证材料、机具配置、人员配置等。</w:t>
            </w:r>
          </w:p>
          <w:p>
            <w:pPr>
              <w:numPr>
                <w:ilvl w:val="0"/>
                <w:numId w:val="0"/>
              </w:numPr>
              <w:spacing w:line="440" w:lineRule="exact"/>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（2）经济文件：</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比选函</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p>
          <w:p>
            <w:pPr>
              <w:numPr>
                <w:ilvl w:val="0"/>
                <w:numId w:val="0"/>
              </w:numPr>
              <w:spacing w:line="440" w:lineRule="exact"/>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（3）技术文件：</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整体服务方案</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分项服务方案</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管理制度及人员培训方案</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安全保障</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应急预案</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等文件以及</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根据比选项目情况认为需要添加的其他资料</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p>
          <w:p>
            <w:pPr>
              <w:spacing w:line="440" w:lineRule="exac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2、要求提供的资料均需加盖鲜章，所有资料密封并在密封袋上写明单位名称、项目名称、日期并加盖公章。</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、比选文件</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装订份数及装订要求</w:t>
            </w:r>
            <w:r>
              <w:rPr>
                <w:rFonts w:hint="default" w:ascii="Times New Roman" w:hAnsi="Times New Roman" w:eastAsia="方正仿宋_GBK" w:cs="Times New Roman"/>
                <w:color w:val="000000" w:themeColor="text1"/>
                <w:sz w:val="24"/>
                <w:highlight w:val="none"/>
                <w14:textFill>
                  <w14:solidFill>
                    <w14:schemeClr w14:val="tx1"/>
                  </w14:solidFill>
                </w14:textFill>
              </w:rPr>
              <w:t>：</w:t>
            </w:r>
          </w:p>
          <w:p>
            <w:pPr>
              <w:numPr>
                <w:ilvl w:val="0"/>
                <w:numId w:val="0"/>
              </w:numPr>
              <w:spacing w:line="440" w:lineRule="exact"/>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纸质文件一共2份，</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正本1份，副本1份</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正本、副本各自装入1个文件袋，一共2个文件袋，文件袋需密封完好。</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盖章版扫描件1份（以U盘形式装入</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正本</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文件袋）。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9431" w:type="dxa"/>
            <w:gridSpan w:val="2"/>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联系人：黄平                         电话：181 1791 6353</w:t>
            </w:r>
          </w:p>
        </w:tc>
      </w:tr>
    </w:tbl>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sectPr>
          <w:footerReference r:id="rId3" w:type="default"/>
          <w:pgSz w:w="11906" w:h="16838"/>
          <w:pgMar w:top="1587" w:right="1587" w:bottom="1587" w:left="1587" w:header="851" w:footer="992" w:gutter="0"/>
          <w:pgNumType w:fmt="decimal"/>
          <w:cols w:space="0" w:num="1"/>
          <w:docGrid w:type="lines" w:linePitch="312" w:charSpace="0"/>
        </w:sectPr>
      </w:pPr>
    </w:p>
    <w:p>
      <w:pP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附件1</w:t>
      </w:r>
    </w:p>
    <w:p>
      <w:pPr>
        <w:jc w:val="cente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轨道</w:t>
      </w:r>
      <w:r>
        <w:rPr>
          <w:rFonts w:hint="default" w:ascii="Times New Roman" w:hAnsi="Times New Roman" w:eastAsia="方正仿宋_GBK" w:cs="Times New Roman"/>
          <w:b/>
          <w:bCs/>
          <w:color w:val="000000" w:themeColor="text1"/>
          <w:sz w:val="32"/>
          <w:szCs w:val="32"/>
          <w:highlight w:val="none"/>
          <w:lang w:eastAsia="zh-CN"/>
          <w14:textFill>
            <w14:solidFill>
              <w14:schemeClr w14:val="tx1"/>
            </w14:solidFill>
          </w14:textFill>
        </w:rPr>
        <w:t>2号线</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轨行区清掏冲洗、</w:t>
      </w:r>
      <w:r>
        <w:rPr>
          <w:rFonts w:hint="default" w:ascii="Times New Roman" w:hAnsi="Times New Roman" w:eastAsia="方正仿宋_GBK" w:cs="Times New Roman"/>
          <w:b/>
          <w:bCs/>
          <w:color w:val="000000" w:themeColor="text1"/>
          <w:sz w:val="32"/>
          <w:szCs w:val="32"/>
          <w:highlight w:val="none"/>
          <w:lang w:eastAsia="zh-CN"/>
          <w14:textFill>
            <w14:solidFill>
              <w14:schemeClr w14:val="tx1"/>
            </w14:solidFill>
          </w14:textFill>
        </w:rPr>
        <w:t>外墙清洗</w:t>
      </w: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和</w:t>
      </w:r>
      <w:r>
        <w:rPr>
          <w:rFonts w:hint="default" w:ascii="Times New Roman" w:hAnsi="Times New Roman" w:eastAsia="方正仿宋_GBK" w:cs="Times New Roman"/>
          <w:b/>
          <w:bCs/>
          <w:color w:val="000000" w:themeColor="text1"/>
          <w:sz w:val="32"/>
          <w:szCs w:val="32"/>
          <w:highlight w:val="none"/>
          <w:lang w:eastAsia="zh-CN"/>
          <w14:textFill>
            <w14:solidFill>
              <w14:schemeClr w14:val="tx1"/>
            </w14:solidFill>
          </w14:textFill>
        </w:rPr>
        <w:t>沟渠池</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清掏服务最高限价表</w:t>
      </w:r>
    </w:p>
    <w:tbl>
      <w:tblPr>
        <w:tblStyle w:val="10"/>
        <w:tblW w:w="1393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89"/>
        <w:gridCol w:w="1708"/>
        <w:gridCol w:w="1708"/>
        <w:gridCol w:w="2617"/>
        <w:gridCol w:w="2233"/>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服务内容</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 xml:space="preserve">计量单位                 </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作业量</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不含税单价</w:t>
            </w: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 xml:space="preserve"> 最高限价（元）</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作业频次</w:t>
            </w: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次/年</w:t>
            </w:r>
            <w:r>
              <w:rPr>
                <w:rFonts w:hint="eastAsia"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不含税总价</w:t>
            </w: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 xml:space="preserve"> 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39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1.轨行区清掏冲洗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隧道冲洗</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Style w:val="24"/>
                <w:rFonts w:hint="default" w:ascii="Times New Roman" w:hAnsi="Times New Roman" w:cs="Times New Roman"/>
                <w:color w:val="000000" w:themeColor="text1"/>
                <w:highlight w:val="none"/>
                <w:lang w:val="en-US" w:eastAsia="zh-CN" w:bidi="ar"/>
                <w14:textFill>
                  <w14:solidFill>
                    <w14:schemeClr w14:val="tx1"/>
                  </w14:solidFill>
                </w14:textFill>
              </w:rPr>
              <w:t>㎡</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40800.00</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0.2530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20644.80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隧道排水沟清掏</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m</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9920.00</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1.0120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30117.12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垃圾清运</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Style w:val="24"/>
                <w:rFonts w:hint="default" w:ascii="Times New Roman" w:hAnsi="Times New Roman" w:cs="Times New Roman"/>
                <w:color w:val="000000" w:themeColor="text1"/>
                <w:highlight w:val="none"/>
                <w:lang w:val="en-US" w:eastAsia="zh-CN" w:bidi="ar"/>
                <w14:textFill>
                  <w14:solidFill>
                    <w14:schemeClr w14:val="tx1"/>
                  </w14:solidFill>
                </w14:textFill>
              </w:rPr>
              <w:t>车</w:t>
            </w:r>
            <w:r>
              <w:rPr>
                <w:rFonts w:hint="default" w:ascii="Times New Roman" w:hAnsi="Times New Roman" w:eastAsia="宋体" w:cs="Times New Roman"/>
                <w:i w:val="0"/>
                <w:iCs w:val="0"/>
                <w:color w:val="000000" w:themeColor="text1"/>
                <w:kern w:val="0"/>
                <w:sz w:val="18"/>
                <w:szCs w:val="18"/>
                <w:highlight w:val="none"/>
                <w:u w:val="none"/>
                <w:lang w:val="en-US" w:eastAsia="zh-CN" w:bidi="ar"/>
                <w14:textFill>
                  <w14:solidFill>
                    <w14:schemeClr w14:val="tx1"/>
                  </w14:solidFill>
                </w14:textFill>
              </w:rPr>
              <w:t>（</w:t>
            </w:r>
            <w:r>
              <w:rPr>
                <w:rFonts w:hint="default" w:ascii="Times New Roman" w:hAnsi="Times New Roman" w:eastAsia="方正仿宋_GBK" w:cs="Times New Roman"/>
                <w:i w:val="0"/>
                <w:iCs w:val="0"/>
                <w:color w:val="000000" w:themeColor="text1"/>
                <w:kern w:val="0"/>
                <w:sz w:val="18"/>
                <w:szCs w:val="18"/>
                <w:highlight w:val="none"/>
                <w:u w:val="none"/>
                <w:lang w:val="en-US" w:eastAsia="zh-CN" w:bidi="ar"/>
                <w14:textFill>
                  <w14:solidFill>
                    <w14:schemeClr w14:val="tx1"/>
                  </w14:solidFill>
                </w14:textFill>
              </w:rPr>
              <w:t>t</w:t>
            </w:r>
            <w:r>
              <w:rPr>
                <w:rFonts w:hint="default" w:ascii="Times New Roman" w:hAnsi="Times New Roman" w:eastAsia="宋体" w:cs="Times New Roman"/>
                <w:i w:val="0"/>
                <w:iCs w:val="0"/>
                <w:color w:val="000000" w:themeColor="text1"/>
                <w:kern w:val="0"/>
                <w:sz w:val="18"/>
                <w:szCs w:val="18"/>
                <w:highlight w:val="none"/>
                <w:u w:val="none"/>
                <w:lang w:val="en-US" w:eastAsia="zh-CN" w:bidi="ar"/>
                <w14:textFill>
                  <w14:solidFill>
                    <w14:schemeClr w14:val="tx1"/>
                  </w14:solidFill>
                </w14:textFill>
              </w:rPr>
              <w:t>）</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25.00</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737.9629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18449.07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道岔桥清洁</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Style w:val="24"/>
                <w:rFonts w:hint="default" w:ascii="Times New Roman" w:hAnsi="Times New Roman" w:cs="Times New Roman"/>
                <w:color w:val="000000" w:themeColor="text1"/>
                <w:highlight w:val="none"/>
                <w:lang w:val="en-US" w:eastAsia="zh-CN" w:bidi="ar"/>
                <w14:textFill>
                  <w14:solidFill>
                    <w14:schemeClr w14:val="tx1"/>
                  </w14:solidFill>
                </w14:textFill>
              </w:rPr>
              <w:t>㎡</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5535.00</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0.4217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4668.22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区间轨行区路基段清洁卫生及杂草清除</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Style w:val="24"/>
                <w:rFonts w:hint="default" w:ascii="Times New Roman" w:hAnsi="Times New Roman" w:cs="Times New Roman"/>
                <w:color w:val="000000" w:themeColor="text1"/>
                <w:highlight w:val="none"/>
                <w:lang w:val="en-US" w:eastAsia="zh-CN" w:bidi="ar"/>
                <w14:textFill>
                  <w14:solidFill>
                    <w14:schemeClr w14:val="tx1"/>
                  </w14:solidFill>
                </w14:textFill>
              </w:rPr>
              <w:t>㎡</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20000.00</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0.4217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16868.00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雨棚及区间防抛网</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Style w:val="24"/>
                <w:rFonts w:hint="default" w:ascii="Times New Roman" w:hAnsi="Times New Roman" w:cs="Times New Roman"/>
                <w:color w:val="000000" w:themeColor="text1"/>
                <w:highlight w:val="none"/>
                <w:lang w:val="en-US" w:eastAsia="zh-CN" w:bidi="ar"/>
                <w14:textFill>
                  <w14:solidFill>
                    <w14:schemeClr w14:val="tx1"/>
                  </w14:solidFill>
                </w14:textFill>
              </w:rPr>
              <w:t>㎡</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3000.00</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1.8553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11131.80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边坡、挡墙清洁卫生及杂草清除</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Style w:val="24"/>
                <w:rFonts w:hint="default" w:ascii="Times New Roman" w:hAnsi="Times New Roman" w:cs="Times New Roman"/>
                <w:color w:val="000000" w:themeColor="text1"/>
                <w:highlight w:val="none"/>
                <w:lang w:val="en-US" w:eastAsia="zh-CN" w:bidi="ar"/>
                <w14:textFill>
                  <w14:solidFill>
                    <w14:schemeClr w14:val="tx1"/>
                  </w14:solidFill>
                </w14:textFill>
              </w:rPr>
              <w:t>㎡</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1000.00</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0.4217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843.40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39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2.外墙清洗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变电所外墙</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Style w:val="24"/>
                <w:rFonts w:hint="default" w:ascii="Times New Roman" w:hAnsi="Times New Roman" w:cs="Times New Roman"/>
                <w:color w:val="000000" w:themeColor="text1"/>
                <w:highlight w:val="none"/>
                <w:lang w:val="en-US" w:eastAsia="zh-CN" w:bidi="ar"/>
                <w14:textFill>
                  <w14:solidFill>
                    <w14:schemeClr w14:val="tx1"/>
                  </w14:solidFill>
                </w14:textFill>
              </w:rPr>
              <w:t>㎡</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4063.80</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1.8553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7539.57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车站外墙保洁</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Style w:val="24"/>
                <w:rFonts w:hint="default" w:ascii="Times New Roman" w:hAnsi="Times New Roman" w:cs="Times New Roman"/>
                <w:color w:val="000000" w:themeColor="text1"/>
                <w:highlight w:val="none"/>
                <w:lang w:val="en-US" w:eastAsia="zh-CN" w:bidi="ar"/>
                <w14:textFill>
                  <w14:solidFill>
                    <w14:schemeClr w14:val="tx1"/>
                  </w14:solidFill>
                </w14:textFill>
              </w:rPr>
              <w:t>㎡</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91616.60</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1.8553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509928.83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39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3.沟渠池清掏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车站生化池清掏（除平安、大渡口、新山村站）</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Style w:val="24"/>
                <w:rFonts w:hint="default" w:ascii="Times New Roman" w:hAnsi="Times New Roman" w:cs="Times New Roman"/>
                <w:color w:val="000000" w:themeColor="text1"/>
                <w:highlight w:val="none"/>
                <w:lang w:val="en-US" w:eastAsia="zh-CN" w:bidi="ar"/>
                <w14:textFill>
                  <w14:solidFill>
                    <w14:schemeClr w14:val="tx1"/>
                  </w14:solidFill>
                </w14:textFill>
              </w:rPr>
              <w:t>m³</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1139.40</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25.2999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86480.12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车站生化池清掏（平安、大渡口、新山村站）</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Style w:val="24"/>
                <w:rFonts w:hint="default" w:ascii="Times New Roman" w:hAnsi="Times New Roman" w:cs="Times New Roman"/>
                <w:color w:val="000000" w:themeColor="text1"/>
                <w:highlight w:val="none"/>
                <w:lang w:val="en-US" w:eastAsia="zh-CN" w:bidi="ar"/>
                <w14:textFill>
                  <w14:solidFill>
                    <w14:schemeClr w14:val="tx1"/>
                  </w14:solidFill>
                </w14:textFill>
              </w:rPr>
              <w:t>m³</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609.76</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25.2999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138841.80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污水井清掏</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Style w:val="24"/>
                <w:rFonts w:hint="default" w:ascii="Times New Roman" w:hAnsi="Times New Roman" w:cs="Times New Roman"/>
                <w:color w:val="000000" w:themeColor="text1"/>
                <w:highlight w:val="none"/>
                <w:lang w:val="en-US" w:eastAsia="zh-CN" w:bidi="ar"/>
                <w14:textFill>
                  <w14:solidFill>
                    <w14:schemeClr w14:val="tx1"/>
                  </w14:solidFill>
                </w14:textFill>
              </w:rPr>
              <w:t>m³</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21.66</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25.2999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1643.99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隔油池清掏</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Style w:val="24"/>
                <w:rFonts w:hint="default" w:ascii="Times New Roman" w:hAnsi="Times New Roman" w:cs="Times New Roman"/>
                <w:color w:val="000000" w:themeColor="text1"/>
                <w:highlight w:val="none"/>
                <w:lang w:val="en-US" w:eastAsia="zh-CN" w:bidi="ar"/>
                <w14:textFill>
                  <w14:solidFill>
                    <w14:schemeClr w14:val="tx1"/>
                  </w14:solidFill>
                </w14:textFill>
              </w:rPr>
              <w:t>m³</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18.00 </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25.2999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2312" w:cs="Times New Roman"/>
                <w:i w:val="0"/>
                <w:iCs w:val="0"/>
                <w:color w:val="000000" w:themeColor="text1"/>
                <w:kern w:val="0"/>
                <w:sz w:val="22"/>
                <w:szCs w:val="22"/>
                <w:highlight w:val="none"/>
                <w:u w:val="none"/>
                <w:lang w:val="en-US" w:eastAsia="zh-CN" w:bidi="ar"/>
                <w14:textFill>
                  <w14:solidFill>
                    <w14:schemeClr w14:val="tx1"/>
                  </w14:solidFill>
                </w14:textFill>
              </w:rPr>
              <w:t xml:space="preserve">9 </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2312" w:cs="Times New Roman"/>
                <w:i w:val="0"/>
                <w:iCs w:val="0"/>
                <w:color w:val="000000" w:themeColor="text1"/>
                <w:kern w:val="0"/>
                <w:sz w:val="22"/>
                <w:szCs w:val="22"/>
                <w:highlight w:val="none"/>
                <w:u w:val="none"/>
                <w:lang w:val="en-US" w:eastAsia="zh-CN" w:bidi="ar"/>
                <w14:textFill>
                  <w14:solidFill>
                    <w14:schemeClr w14:val="tx1"/>
                  </w14:solidFill>
                </w14:textFill>
              </w:rPr>
              <w:t xml:space="preserve">4098.58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车站、区间废水池</w:t>
            </w: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清</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掏</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Style w:val="24"/>
                <w:rFonts w:hint="default" w:ascii="Times New Roman" w:hAnsi="Times New Roman" w:cs="Times New Roman"/>
                <w:color w:val="000000" w:themeColor="text1"/>
                <w:highlight w:val="none"/>
                <w:lang w:val="en-US" w:eastAsia="zh-CN" w:bidi="ar"/>
                <w14:textFill>
                  <w14:solidFill>
                    <w14:schemeClr w14:val="tx1"/>
                  </w14:solidFill>
                </w14:textFill>
              </w:rPr>
              <w:t>m³</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55.32</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25.2999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2312" w:cs="Times New Roman"/>
                <w:i w:val="0"/>
                <w:iCs w:val="0"/>
                <w:color w:val="000000" w:themeColor="text1"/>
                <w:kern w:val="0"/>
                <w:sz w:val="22"/>
                <w:szCs w:val="22"/>
                <w:highlight w:val="none"/>
                <w:u w:val="none"/>
                <w:lang w:val="en-US" w:eastAsia="zh-CN" w:bidi="ar"/>
                <w14:textFill>
                  <w14:solidFill>
                    <w14:schemeClr w14:val="tx1"/>
                  </w14:solidFill>
                </w14:textFill>
              </w:rPr>
              <w:t xml:space="preserve">1 </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2312" w:cs="Times New Roman"/>
                <w:i w:val="0"/>
                <w:iCs w:val="0"/>
                <w:color w:val="000000" w:themeColor="text1"/>
                <w:kern w:val="0"/>
                <w:sz w:val="22"/>
                <w:szCs w:val="22"/>
                <w:highlight w:val="none"/>
                <w:u w:val="none"/>
                <w:lang w:val="en-US" w:eastAsia="zh-CN" w:bidi="ar"/>
                <w14:textFill>
                  <w14:solidFill>
                    <w14:schemeClr w14:val="tx1"/>
                  </w14:solidFill>
                </w14:textFill>
              </w:rPr>
              <w:t xml:space="preserve">1399.59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车站集水井（池）</w:t>
            </w: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清</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掏</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Style w:val="24"/>
                <w:rFonts w:hint="default" w:ascii="Times New Roman" w:hAnsi="Times New Roman" w:cs="Times New Roman"/>
                <w:color w:val="000000" w:themeColor="text1"/>
                <w:highlight w:val="none"/>
                <w:lang w:val="en-US" w:eastAsia="zh-CN" w:bidi="ar"/>
                <w14:textFill>
                  <w14:solidFill>
                    <w14:schemeClr w14:val="tx1"/>
                  </w14:solidFill>
                </w14:textFill>
              </w:rPr>
              <w:t>m³</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253.20</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25.2999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2312" w:cs="Times New Roman"/>
                <w:i w:val="0"/>
                <w:iCs w:val="0"/>
                <w:color w:val="000000" w:themeColor="text1"/>
                <w:kern w:val="0"/>
                <w:sz w:val="22"/>
                <w:szCs w:val="22"/>
                <w:highlight w:val="none"/>
                <w:u w:val="none"/>
                <w:lang w:val="en-US" w:eastAsia="zh-CN" w:bidi="ar"/>
                <w14:textFill>
                  <w14:solidFill>
                    <w14:schemeClr w14:val="tx1"/>
                  </w14:solidFill>
                </w14:textFill>
              </w:rPr>
              <w:t xml:space="preserve">1 </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2312" w:cs="Times New Roman"/>
                <w:i w:val="0"/>
                <w:iCs w:val="0"/>
                <w:color w:val="000000" w:themeColor="text1"/>
                <w:kern w:val="0"/>
                <w:sz w:val="22"/>
                <w:szCs w:val="22"/>
                <w:highlight w:val="none"/>
                <w:u w:val="none"/>
                <w:lang w:val="en-US" w:eastAsia="zh-CN" w:bidi="ar"/>
                <w14:textFill>
                  <w14:solidFill>
                    <w14:schemeClr w14:val="tx1"/>
                  </w14:solidFill>
                </w14:textFill>
              </w:rPr>
              <w:t xml:space="preserve">6405.93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暂定不含税总价（元）</w:t>
            </w:r>
          </w:p>
        </w:tc>
        <w:tc>
          <w:tcPr>
            <w:tcW w:w="10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859060.82</w:t>
            </w:r>
          </w:p>
        </w:tc>
      </w:tr>
    </w:tbl>
    <w:p>
      <w:pPr>
        <w:rPr>
          <w:rFonts w:hint="default" w:ascii="Times New Roman" w:hAnsi="Times New Roman" w:eastAsia="方正仿宋_GBK" w:cs="Times New Roman"/>
          <w:color w:val="000000" w:themeColor="text1"/>
          <w:sz w:val="24"/>
          <w:szCs w:val="32"/>
          <w:highlight w:val="none"/>
          <w14:textFill>
            <w14:solidFill>
              <w14:schemeClr w14:val="tx1"/>
            </w14:solidFill>
          </w14:textFill>
        </w:rPr>
      </w:pPr>
    </w:p>
    <w:p>
      <w:pPr>
        <w:rPr>
          <w:rFonts w:hint="default" w:ascii="Times New Roman" w:hAnsi="Times New Roman" w:eastAsia="方正仿宋_GBK" w:cs="Times New Roman"/>
          <w:color w:val="000000" w:themeColor="text1"/>
          <w:kern w:val="0"/>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32"/>
          <w:highlight w:val="none"/>
          <w14:textFill>
            <w14:solidFill>
              <w14:schemeClr w14:val="tx1"/>
            </w14:solidFill>
          </w14:textFill>
        </w:rPr>
        <w:t>备注：</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表格</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中</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作业量</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和作业频次</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均为预估，</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实际</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作业量</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和作业频次</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以现场实际</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需求</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为准。</w:t>
      </w:r>
    </w:p>
    <w:p>
      <w:pPr>
        <w:rPr>
          <w:rFonts w:hint="default" w:ascii="Times New Roman" w:hAnsi="Times New Roman" w:cs="Times New Roman"/>
          <w:color w:val="000000" w:themeColor="text1"/>
          <w:highlight w:val="none"/>
          <w14:textFill>
            <w14:solidFill>
              <w14:schemeClr w14:val="tx1"/>
            </w14:solidFill>
          </w14:textFill>
        </w:rPr>
        <w:sectPr>
          <w:headerReference r:id="rId4" w:type="default"/>
          <w:footerReference r:id="rId5" w:type="default"/>
          <w:pgSz w:w="16840" w:h="11900" w:orient="landscape"/>
          <w:pgMar w:top="940" w:right="1340" w:bottom="940" w:left="1340" w:header="920" w:footer="0" w:gutter="0"/>
          <w:pgNumType w:fmt="decimal"/>
          <w:cols w:space="720" w:num="1"/>
          <w:docGrid w:type="lines" w:linePitch="0" w:charSpace="0"/>
        </w:sectPr>
      </w:pPr>
    </w:p>
    <w:p>
      <w:pPr>
        <w:rPr>
          <w:rFonts w:hint="default" w:ascii="Times New Roman" w:hAnsi="Times New Roman" w:cs="Times New Roman"/>
          <w:color w:val="000000" w:themeColor="text1"/>
          <w:sz w:val="2"/>
          <w:szCs w:val="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附件2：综合评估标准</w:t>
      </w:r>
    </w:p>
    <w:p>
      <w:pPr>
        <w:rPr>
          <w:rFonts w:hint="default" w:ascii="Times New Roman" w:hAnsi="Times New Roman" w:cs="Times New Roman"/>
          <w:color w:val="000000" w:themeColor="text1"/>
          <w:highlight w:val="none"/>
          <w14:textFill>
            <w14:solidFill>
              <w14:schemeClr w14:val="tx1"/>
            </w14:solidFill>
          </w14:textFill>
        </w:rPr>
      </w:pPr>
    </w:p>
    <w:tbl>
      <w:tblPr>
        <w:tblStyle w:val="10"/>
        <w:tblW w:w="14687" w:type="dxa"/>
        <w:tblInd w:w="-321" w:type="dxa"/>
        <w:tblLayout w:type="fixed"/>
        <w:tblCellMar>
          <w:top w:w="0" w:type="dxa"/>
          <w:left w:w="108" w:type="dxa"/>
          <w:bottom w:w="0" w:type="dxa"/>
          <w:right w:w="108" w:type="dxa"/>
        </w:tblCellMar>
      </w:tblPr>
      <w:tblGrid>
        <w:gridCol w:w="1106"/>
        <w:gridCol w:w="1275"/>
        <w:gridCol w:w="732"/>
        <w:gridCol w:w="8367"/>
        <w:gridCol w:w="3207"/>
      </w:tblGrid>
      <w:tr>
        <w:tblPrEx>
          <w:tblCellMar>
            <w:top w:w="0" w:type="dxa"/>
            <w:left w:w="108" w:type="dxa"/>
            <w:bottom w:w="0" w:type="dxa"/>
            <w:right w:w="108" w:type="dxa"/>
          </w:tblCellMar>
        </w:tblPrEx>
        <w:trPr>
          <w:trHeight w:val="576" w:hRule="atLeast"/>
        </w:trPr>
        <w:tc>
          <w:tcPr>
            <w:tcW w:w="1106" w:type="dxa"/>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类别</w:t>
            </w: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评分因素</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分值</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评分标准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说明</w:t>
            </w:r>
          </w:p>
        </w:tc>
      </w:tr>
      <w:tr>
        <w:tblPrEx>
          <w:tblCellMar>
            <w:top w:w="0" w:type="dxa"/>
            <w:left w:w="108" w:type="dxa"/>
            <w:bottom w:w="0" w:type="dxa"/>
            <w:right w:w="108" w:type="dxa"/>
          </w:tblCellMar>
        </w:tblPrEx>
        <w:trPr>
          <w:trHeight w:val="396" w:hRule="atLeast"/>
        </w:trPr>
        <w:tc>
          <w:tcPr>
            <w:tcW w:w="1106" w:type="dxa"/>
            <w:vMerge w:val="restart"/>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报价</w:t>
            </w:r>
          </w:p>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部分</w:t>
            </w:r>
          </w:p>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40</w:t>
            </w: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投标报价</w:t>
            </w:r>
          </w:p>
        </w:tc>
        <w:tc>
          <w:tcPr>
            <w:tcW w:w="732"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sz w:val="24"/>
                <w:highlight w:val="none"/>
                <w:lang w:val="en-US"/>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40</w:t>
            </w:r>
          </w:p>
        </w:tc>
        <w:tc>
          <w:tcPr>
            <w:tcW w:w="8367"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所有有效报价总价的平均值作为此次评标基准价。投标报价与评标基准价相比，相等的得</w:t>
            </w:r>
            <w:r>
              <w:rPr>
                <w:rFonts w:hint="default"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40</w:t>
            </w: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分；报价每高于评标基准价1%扣1分，每低于评标基准价1 %扣0.5分，扣完为止</w:t>
            </w:r>
            <w:r>
              <w:rPr>
                <w:rFonts w:hint="eastAsia" w:ascii="Times New Roman" w:hAnsi="Times New Roman" w:eastAsia="方正仿宋_GBK" w:cs="Times New Roman"/>
                <w:color w:val="000000" w:themeColor="text1"/>
                <w:kern w:val="0"/>
                <w:sz w:val="24"/>
                <w:highlight w:val="none"/>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不足1%的按1%计算</w:t>
            </w:r>
            <w:r>
              <w:rPr>
                <w:rFonts w:hint="eastAsia" w:ascii="Times New Roman" w:hAnsi="Times New Roman" w:eastAsia="方正仿宋_GBK" w:cs="Times New Roman"/>
                <w:color w:val="000000" w:themeColor="text1"/>
                <w:kern w:val="0"/>
                <w:sz w:val="24"/>
                <w:highlight w:val="none"/>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eastAsia="zh-CN" w:bidi="ar"/>
                <w14:textFill>
                  <w14:solidFill>
                    <w14:schemeClr w14:val="tx1"/>
                  </w14:solidFill>
                </w14:textFill>
              </w:rPr>
              <w:t>。</w:t>
            </w:r>
          </w:p>
        </w:tc>
        <w:tc>
          <w:tcPr>
            <w:tcW w:w="3207" w:type="dxa"/>
            <w:vMerge w:val="restart"/>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如报价人报价超过限价的则该单位作否决比选处理</w:t>
            </w:r>
          </w:p>
        </w:tc>
      </w:tr>
      <w:tr>
        <w:tblPrEx>
          <w:tblCellMar>
            <w:top w:w="0" w:type="dxa"/>
            <w:left w:w="108" w:type="dxa"/>
            <w:bottom w:w="0" w:type="dxa"/>
            <w:right w:w="108" w:type="dxa"/>
          </w:tblCellMar>
        </w:tblPrEx>
        <w:trPr>
          <w:trHeight w:val="396"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836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3207" w:type="dxa"/>
            <w:vMerge w:val="continue"/>
            <w:tcBorders>
              <w:top w:val="single" w:color="000000" w:sz="4" w:space="0"/>
              <w:left w:val="single" w:color="000000" w:sz="4" w:space="0"/>
              <w:bottom w:val="single" w:color="000000" w:sz="4" w:space="0"/>
              <w:right w:val="single" w:color="000000" w:sz="8"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1721" w:hRule="atLeast"/>
        </w:trPr>
        <w:tc>
          <w:tcPr>
            <w:tcW w:w="1106" w:type="dxa"/>
            <w:vMerge w:val="restart"/>
            <w:tcBorders>
              <w:top w:val="single" w:color="000000" w:sz="4" w:space="0"/>
              <w:left w:val="single" w:color="000000" w:sz="8"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商务</w:t>
            </w:r>
          </w:p>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部分</w:t>
            </w:r>
          </w:p>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0%）</w:t>
            </w: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业绩</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10</w:t>
            </w:r>
          </w:p>
        </w:tc>
        <w:tc>
          <w:tcPr>
            <w:tcW w:w="8367" w:type="dxa"/>
            <w:tcBorders>
              <w:top w:val="single" w:color="000000" w:sz="4" w:space="0"/>
              <w:left w:val="single" w:color="000000" w:sz="4" w:space="0"/>
              <w:bottom w:val="single" w:color="000000" w:sz="4" w:space="0"/>
              <w:right w:val="single" w:color="000000" w:sz="4" w:space="0"/>
            </w:tcBorders>
            <w:vAlign w:val="center"/>
          </w:tcPr>
          <w:p>
            <w:pPr>
              <w:pStyle w:val="2"/>
              <w:keepNext/>
              <w:keepLines/>
              <w:pageBreakBefore w:val="0"/>
              <w:widowControl w:val="0"/>
              <w:kinsoku/>
              <w:wordWrap/>
              <w:overflowPunct/>
              <w:topLinePunct w:val="0"/>
              <w:autoSpaceDE/>
              <w:autoSpaceDN/>
              <w:bidi w:val="0"/>
              <w:adjustRightInd/>
              <w:snapToGrid/>
              <w:spacing w:before="0" w:after="0" w:line="320" w:lineRule="exact"/>
              <w:textAlignment w:val="auto"/>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1、提供2020年至今，包含外墙清洗服务的合同金额达30万，提供一个得2分，最高得5分，未提供得0分；</w:t>
            </w:r>
          </w:p>
          <w:p>
            <w:pPr>
              <w:pStyle w:val="2"/>
              <w:keepNext/>
              <w:keepLines/>
              <w:pageBreakBefore w:val="0"/>
              <w:widowControl w:val="0"/>
              <w:kinsoku/>
              <w:wordWrap/>
              <w:overflowPunct/>
              <w:topLinePunct w:val="0"/>
              <w:autoSpaceDE/>
              <w:autoSpaceDN/>
              <w:bidi w:val="0"/>
              <w:adjustRightInd/>
              <w:snapToGrid/>
              <w:spacing w:before="0" w:after="0" w:line="320" w:lineRule="exact"/>
              <w:textAlignment w:val="auto"/>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2、提供2020年至今，包含生化池清掏服务的合同金额达30万，提供一个得2分，最高得5分，未提供得0分；</w:t>
            </w:r>
          </w:p>
          <w:p>
            <w:pPr>
              <w:pStyle w:val="2"/>
              <w:keepNext/>
              <w:keepLines/>
              <w:pageBreakBefore w:val="0"/>
              <w:widowControl w:val="0"/>
              <w:kinsoku/>
              <w:wordWrap/>
              <w:overflowPunct/>
              <w:topLinePunct w:val="0"/>
              <w:autoSpaceDE/>
              <w:autoSpaceDN/>
              <w:bidi w:val="0"/>
              <w:adjustRightInd/>
              <w:snapToGrid/>
              <w:spacing w:before="0" w:after="0" w:line="320" w:lineRule="exact"/>
              <w:textAlignment w:val="auto"/>
              <w:rPr>
                <w:rFonts w:hint="default" w:ascii="Times New Roman" w:hAnsi="Times New Roman" w:eastAsia="方正仿宋_GBK" w:cs="Times New Roman"/>
                <w:color w:val="000000" w:themeColor="text1"/>
                <w:sz w:val="24"/>
                <w:highlight w:val="none"/>
                <w:lang w:val="en-US"/>
                <w14:textFill>
                  <w14:solidFill>
                    <w14:schemeClr w14:val="tx1"/>
                  </w14:solidFill>
                </w14:textFill>
              </w:rPr>
            </w:pP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两类业绩累计最高得10分。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themeColor="text1"/>
                <w:sz w:val="24"/>
                <w:highlight w:val="none"/>
                <w:lang w:val="en-US"/>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highlight w:val="none"/>
                <w14:textFill>
                  <w14:solidFill>
                    <w14:schemeClr w14:val="tx1"/>
                  </w14:solidFill>
                </w14:textFill>
              </w:rPr>
              <w:t>提供业绩合同复印件加盖公章，原件备查</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同一项目不同时间的合同不重复计算得分）                     2、同一合同包含上述内容的，仅按照一项内容计算得分，不重复计算</w:t>
            </w:r>
          </w:p>
        </w:tc>
      </w:tr>
      <w:tr>
        <w:tblPrEx>
          <w:tblCellMar>
            <w:top w:w="0" w:type="dxa"/>
            <w:left w:w="108" w:type="dxa"/>
            <w:bottom w:w="0" w:type="dxa"/>
            <w:right w:w="108" w:type="dxa"/>
          </w:tblCellMar>
        </w:tblPrEx>
        <w:trPr>
          <w:trHeight w:val="51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体系认证</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9</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color w:val="000000" w:themeColor="text1"/>
                <w:sz w:val="24"/>
                <w:highlight w:val="none"/>
                <w:lang w:val="en-US"/>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提供有效的质量管理体系认证、环境管理体系认证、职业健康安全管理体系认证</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，提供一个得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3分，最高得9分，</w:t>
            </w: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未提供得0分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机具配置</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11</w:t>
            </w:r>
          </w:p>
        </w:tc>
        <w:tc>
          <w:tcPr>
            <w:tcW w:w="836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shd w:val="clea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具备大型专业机具：</w:t>
            </w:r>
          </w:p>
          <w:p>
            <w:pPr>
              <w:pageBreakBefore w:val="0"/>
              <w:shd w:val="clea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1.升降机，</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highlight w:val="none"/>
                <w14:textFill>
                  <w14:solidFill>
                    <w14:schemeClr w14:val="tx1"/>
                  </w14:solidFill>
                </w14:textFill>
              </w:rPr>
              <w:t>辆及以上得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未提供</w:t>
            </w:r>
            <w:r>
              <w:rPr>
                <w:rFonts w:hint="default" w:ascii="Times New Roman" w:hAnsi="Times New Roman" w:eastAsia="方正仿宋_GBK" w:cs="Times New Roman"/>
                <w:color w:val="000000" w:themeColor="text1"/>
                <w:sz w:val="24"/>
                <w:highlight w:val="none"/>
                <w14:textFill>
                  <w14:solidFill>
                    <w14:schemeClr w14:val="tx1"/>
                  </w14:solidFill>
                </w14:textFill>
              </w:rPr>
              <w:t>得0分。</w:t>
            </w:r>
          </w:p>
          <w:p>
            <w:pPr>
              <w:pageBreakBefore w:val="0"/>
              <w:shd w:val="clea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2.高空作业车，</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highlight w:val="none"/>
                <w14:textFill>
                  <w14:solidFill>
                    <w14:schemeClr w14:val="tx1"/>
                  </w14:solidFill>
                </w14:textFill>
              </w:rPr>
              <w:t>辆及以上得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未提供</w:t>
            </w:r>
            <w:r>
              <w:rPr>
                <w:rFonts w:hint="default" w:ascii="Times New Roman" w:hAnsi="Times New Roman" w:eastAsia="方正仿宋_GBK" w:cs="Times New Roman"/>
                <w:color w:val="000000" w:themeColor="text1"/>
                <w:sz w:val="24"/>
                <w:highlight w:val="none"/>
                <w14:textFill>
                  <w14:solidFill>
                    <w14:schemeClr w14:val="tx1"/>
                  </w14:solidFill>
                </w14:textFill>
              </w:rPr>
              <w:t>得0分。</w:t>
            </w:r>
          </w:p>
          <w:p>
            <w:pPr>
              <w:pageBreakBefore w:val="0"/>
              <w:shd w:val="clea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核定载重量为7</w:t>
            </w:r>
            <w:r>
              <w:rPr>
                <w:rFonts w:hint="default" w:ascii="Times New Roman" w:hAnsi="Times New Roman" w:eastAsia="方正仿宋_GBK" w:cs="Times New Roman"/>
                <w:color w:val="000000" w:themeColor="text1"/>
                <w:sz w:val="24"/>
                <w:highlight w:val="none"/>
                <w14:textFill>
                  <w14:solidFill>
                    <w14:schemeClr w14:val="tx1"/>
                  </w14:solidFill>
                </w14:textFill>
              </w:rPr>
              <w:t>吨</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的</w:t>
            </w:r>
            <w:r>
              <w:rPr>
                <w:rFonts w:hint="default" w:ascii="Times New Roman" w:hAnsi="Times New Roman" w:eastAsia="方正仿宋_GBK" w:cs="Times New Roman"/>
                <w:color w:val="000000" w:themeColor="text1"/>
                <w:sz w:val="24"/>
                <w:highlight w:val="none"/>
                <w14:textFill>
                  <w14:solidFill>
                    <w14:schemeClr w14:val="tx1"/>
                  </w14:solidFill>
                </w14:textFill>
              </w:rPr>
              <w:t>大型渣车，</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辆及以上得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2辆得2分，1辆得1分，未提供</w:t>
            </w:r>
            <w:r>
              <w:rPr>
                <w:rFonts w:hint="default" w:ascii="Times New Roman" w:hAnsi="Times New Roman" w:eastAsia="方正仿宋_GBK" w:cs="Times New Roman"/>
                <w:color w:val="000000" w:themeColor="text1"/>
                <w:sz w:val="24"/>
                <w:highlight w:val="none"/>
                <w14:textFill>
                  <w14:solidFill>
                    <w14:schemeClr w14:val="tx1"/>
                  </w14:solidFill>
                </w14:textFill>
              </w:rPr>
              <w:t>得0分。</w:t>
            </w:r>
          </w:p>
          <w:p>
            <w:pPr>
              <w:pageBreakBefore w:val="0"/>
              <w:shd w:val="clea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4.核定载重量为3</w:t>
            </w:r>
            <w:r>
              <w:rPr>
                <w:rFonts w:hint="default" w:ascii="Times New Roman" w:hAnsi="Times New Roman" w:eastAsia="方正仿宋_GBK" w:cs="Times New Roman"/>
                <w:color w:val="000000" w:themeColor="text1"/>
                <w:sz w:val="24"/>
                <w:highlight w:val="none"/>
                <w14:textFill>
                  <w14:solidFill>
                    <w14:schemeClr w14:val="tx1"/>
                  </w14:solidFill>
                </w14:textFill>
              </w:rPr>
              <w:t>吨级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吸污车，2</w:t>
            </w:r>
            <w:r>
              <w:rPr>
                <w:rFonts w:hint="default" w:ascii="Times New Roman" w:hAnsi="Times New Roman" w:eastAsia="方正仿宋_GBK" w:cs="Times New Roman"/>
                <w:color w:val="000000" w:themeColor="text1"/>
                <w:sz w:val="24"/>
                <w:highlight w:val="none"/>
                <w14:textFill>
                  <w14:solidFill>
                    <w14:schemeClr w14:val="tx1"/>
                  </w14:solidFill>
                </w14:textFill>
              </w:rPr>
              <w:t>辆及以上得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1辆得1分，未提供</w:t>
            </w:r>
            <w:r>
              <w:rPr>
                <w:rFonts w:hint="default" w:ascii="Times New Roman" w:hAnsi="Times New Roman" w:eastAsia="方正仿宋_GBK" w:cs="Times New Roman"/>
                <w:color w:val="000000" w:themeColor="text1"/>
                <w:sz w:val="24"/>
                <w:highlight w:val="none"/>
                <w14:textFill>
                  <w14:solidFill>
                    <w14:schemeClr w14:val="tx1"/>
                  </w14:solidFill>
                </w14:textFill>
              </w:rPr>
              <w:t>得0分。</w:t>
            </w:r>
          </w:p>
        </w:tc>
        <w:tc>
          <w:tcPr>
            <w:tcW w:w="3207" w:type="dxa"/>
            <w:tcBorders>
              <w:top w:val="single" w:color="000000" w:sz="4" w:space="0"/>
              <w:left w:val="single" w:color="000000" w:sz="4" w:space="0"/>
              <w:bottom w:val="single" w:color="000000" w:sz="4"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机具为供应商自有</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或租赁</w:t>
            </w:r>
            <w:r>
              <w:rPr>
                <w:rFonts w:hint="default" w:ascii="Times New Roman" w:hAnsi="Times New Roman" w:eastAsia="方正仿宋_GBK" w:cs="Times New Roman"/>
                <w:color w:val="000000" w:themeColor="text1"/>
                <w:sz w:val="24"/>
                <w:highlight w:val="none"/>
                <w14:textFill>
                  <w14:solidFill>
                    <w14:schemeClr w14:val="tx1"/>
                  </w14:solidFill>
                </w14:textFill>
              </w:rPr>
              <w:t>，须</w:t>
            </w:r>
            <w: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t>提供</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有效的购买发票复印件、</w:t>
            </w:r>
            <w:r>
              <w:rPr>
                <w:rFonts w:hint="default" w:ascii="Times New Roman" w:hAnsi="Times New Roman" w:eastAsia="方正仿宋_GBK" w:cs="Times New Roman"/>
                <w:color w:val="000000" w:themeColor="text1"/>
                <w:sz w:val="24"/>
                <w:highlight w:val="none"/>
                <w14:textFill>
                  <w14:solidFill>
                    <w14:schemeClr w14:val="tx1"/>
                  </w14:solidFill>
                </w14:textFill>
              </w:rPr>
              <w:t>行驶</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证复印件和登记证复印件或租赁合同，原件备查</w:t>
            </w:r>
          </w:p>
        </w:tc>
      </w:tr>
      <w:tr>
        <w:tblPrEx>
          <w:tblCellMar>
            <w:top w:w="0" w:type="dxa"/>
            <w:left w:w="108" w:type="dxa"/>
            <w:bottom w:w="0" w:type="dxa"/>
            <w:right w:w="108" w:type="dxa"/>
          </w:tblCellMar>
        </w:tblPrEx>
        <w:trPr>
          <w:trHeight w:val="1070" w:hRule="atLeast"/>
        </w:trPr>
        <w:tc>
          <w:tcPr>
            <w:tcW w:w="1106" w:type="dxa"/>
            <w:vMerge w:val="restart"/>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技术</w:t>
            </w:r>
          </w:p>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部分</w:t>
            </w: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3</w:t>
            </w: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0%）</w:t>
            </w: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整体服务方案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5</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6"/>
              </w:numP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针对本项目具体情况，提出</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项目总体制度、</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总体目标、</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管理</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服务模式、</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作业流程和</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进场安排，并对本项目的特点进行分析，提出相应的解决措施</w:t>
            </w:r>
            <w:r>
              <w:rPr>
                <w:rFonts w:hint="default" w:ascii="Times New Roman" w:hAnsi="Times New Roman" w:eastAsia="方正仿宋_GBK" w:cs="Times New Roman"/>
                <w:b w:val="0"/>
                <w:bCs w:val="0"/>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内容完整但</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w:t>
            </w:r>
            <w:r>
              <w:rPr>
                <w:rFonts w:hint="default" w:ascii="Times New Roman" w:hAnsi="Times New Roman" w:eastAsia="方正仿宋_GBK" w:cs="Times New Roman"/>
                <w:color w:val="000000" w:themeColor="text1"/>
                <w:sz w:val="24"/>
                <w:highlight w:val="none"/>
                <w14:textFill>
                  <w14:solidFill>
                    <w14:schemeClr w14:val="tx1"/>
                  </w14:solidFill>
                </w14:textFill>
              </w:rPr>
              <w:t>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差得1分，未提供方案得0分。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765"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分项服务方案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12</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highlight w:val="none"/>
                <w14:textFill>
                  <w14:solidFill>
                    <w14:schemeClr w14:val="tx1"/>
                  </w14:solidFill>
                </w14:textFill>
              </w:rPr>
              <w:t>轨行区清掏冲洗服务方案，包括</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管理机制、技术措施、</w:t>
            </w:r>
            <w:r>
              <w:rPr>
                <w:rFonts w:hint="default" w:ascii="Times New Roman" w:hAnsi="Times New Roman" w:eastAsia="方正仿宋_GBK" w:cs="Times New Roman"/>
                <w:color w:val="000000" w:themeColor="text1"/>
                <w:sz w:val="24"/>
                <w:highlight w:val="none"/>
                <w14:textFill>
                  <w14:solidFill>
                    <w14:schemeClr w14:val="tx1"/>
                  </w14:solidFill>
                </w14:textFill>
              </w:rPr>
              <w:t>作业重难点、</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作业标准、作业指导书和</w:t>
            </w:r>
            <w:r>
              <w:rPr>
                <w:rFonts w:hint="default" w:ascii="Times New Roman" w:hAnsi="Times New Roman" w:eastAsia="方正仿宋_GBK" w:cs="Times New Roman"/>
                <w:color w:val="000000" w:themeColor="text1"/>
                <w:sz w:val="24"/>
                <w:highlight w:val="none"/>
                <w14:textFill>
                  <w14:solidFill>
                    <w14:schemeClr w14:val="tx1"/>
                  </w14:solidFill>
                </w14:textFill>
              </w:rPr>
              <w:t>注意事项等</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内容完整但</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w:t>
            </w:r>
            <w:r>
              <w:rPr>
                <w:rFonts w:hint="default" w:ascii="Times New Roman" w:hAnsi="Times New Roman" w:eastAsia="方正仿宋_GBK" w:cs="Times New Roman"/>
                <w:color w:val="000000" w:themeColor="text1"/>
                <w:sz w:val="24"/>
                <w:highlight w:val="none"/>
                <w14:textFill>
                  <w14:solidFill>
                    <w14:schemeClr w14:val="tx1"/>
                  </w14:solidFill>
                </w14:textFill>
              </w:rPr>
              <w:t>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差得1分，未提供方案得0分。</w:t>
            </w:r>
          </w:p>
          <w:p>
            <w:pPr>
              <w:pageBreakBefore w:val="0"/>
              <w:numPr>
                <w:ilvl w:val="0"/>
                <w:numId w:val="0"/>
              </w:numP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外墙清洗</w:t>
            </w:r>
            <w:r>
              <w:rPr>
                <w:rFonts w:hint="default" w:ascii="Times New Roman" w:hAnsi="Times New Roman" w:eastAsia="方正仿宋_GBK" w:cs="Times New Roman"/>
                <w:color w:val="000000" w:themeColor="text1"/>
                <w:sz w:val="24"/>
                <w:highlight w:val="none"/>
                <w14:textFill>
                  <w14:solidFill>
                    <w14:schemeClr w14:val="tx1"/>
                  </w14:solidFill>
                </w14:textFill>
              </w:rPr>
              <w:t>服务方案，包括</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管理机制、技术措施、</w:t>
            </w:r>
            <w:r>
              <w:rPr>
                <w:rFonts w:hint="default" w:ascii="Times New Roman" w:hAnsi="Times New Roman" w:eastAsia="方正仿宋_GBK" w:cs="Times New Roman"/>
                <w:color w:val="000000" w:themeColor="text1"/>
                <w:sz w:val="24"/>
                <w:highlight w:val="none"/>
                <w14:textFill>
                  <w14:solidFill>
                    <w14:schemeClr w14:val="tx1"/>
                  </w14:solidFill>
                </w14:textFill>
              </w:rPr>
              <w:t>作业重难点、</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作业标准、作业指导书和</w:t>
            </w:r>
            <w:r>
              <w:rPr>
                <w:rFonts w:hint="default" w:ascii="Times New Roman" w:hAnsi="Times New Roman" w:eastAsia="方正仿宋_GBK" w:cs="Times New Roman"/>
                <w:color w:val="000000" w:themeColor="text1"/>
                <w:sz w:val="24"/>
                <w:highlight w:val="none"/>
                <w14:textFill>
                  <w14:solidFill>
                    <w14:schemeClr w14:val="tx1"/>
                  </w14:solidFill>
                </w14:textFill>
              </w:rPr>
              <w:t>注意事项等</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内容完整但</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w:t>
            </w:r>
            <w:r>
              <w:rPr>
                <w:rFonts w:hint="default" w:ascii="Times New Roman" w:hAnsi="Times New Roman" w:eastAsia="方正仿宋_GBK" w:cs="Times New Roman"/>
                <w:color w:val="000000" w:themeColor="text1"/>
                <w:sz w:val="24"/>
                <w:highlight w:val="none"/>
                <w14:textFill>
                  <w14:solidFill>
                    <w14:schemeClr w14:val="tx1"/>
                  </w14:solidFill>
                </w14:textFill>
              </w:rPr>
              <w:t>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差得1分，未提供方案得0分。</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3.</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沟渠池</w:t>
            </w:r>
            <w:r>
              <w:rPr>
                <w:rFonts w:hint="default" w:ascii="Times New Roman" w:hAnsi="Times New Roman" w:eastAsia="方正仿宋_GBK" w:cs="Times New Roman"/>
                <w:color w:val="000000" w:themeColor="text1"/>
                <w:sz w:val="24"/>
                <w:highlight w:val="none"/>
                <w14:textFill>
                  <w14:solidFill>
                    <w14:schemeClr w14:val="tx1"/>
                  </w14:solidFill>
                </w14:textFill>
              </w:rPr>
              <w:t>清掏服务方案，包括</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管理机制、技术措施、</w:t>
            </w:r>
            <w:r>
              <w:rPr>
                <w:rFonts w:hint="default" w:ascii="Times New Roman" w:hAnsi="Times New Roman" w:eastAsia="方正仿宋_GBK" w:cs="Times New Roman"/>
                <w:color w:val="000000" w:themeColor="text1"/>
                <w:sz w:val="24"/>
                <w:highlight w:val="none"/>
                <w14:textFill>
                  <w14:solidFill>
                    <w14:schemeClr w14:val="tx1"/>
                  </w14:solidFill>
                </w14:textFill>
              </w:rPr>
              <w:t>作业重难点、</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作业标准、作业指导书和</w:t>
            </w:r>
            <w:r>
              <w:rPr>
                <w:rFonts w:hint="default" w:ascii="Times New Roman" w:hAnsi="Times New Roman" w:eastAsia="方正仿宋_GBK" w:cs="Times New Roman"/>
                <w:color w:val="000000" w:themeColor="text1"/>
                <w:sz w:val="24"/>
                <w:highlight w:val="none"/>
                <w14:textFill>
                  <w14:solidFill>
                    <w14:schemeClr w14:val="tx1"/>
                  </w14:solidFill>
                </w14:textFill>
              </w:rPr>
              <w:t>注意事项等</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内容完整但</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w:t>
            </w:r>
            <w:r>
              <w:rPr>
                <w:rFonts w:hint="default" w:ascii="Times New Roman" w:hAnsi="Times New Roman" w:eastAsia="方正仿宋_GBK" w:cs="Times New Roman"/>
                <w:color w:val="000000" w:themeColor="text1"/>
                <w:sz w:val="24"/>
                <w:highlight w:val="none"/>
                <w14:textFill>
                  <w14:solidFill>
                    <w14:schemeClr w14:val="tx1"/>
                  </w14:solidFill>
                </w14:textFill>
              </w:rPr>
              <w:t>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差得1分，未提供方案得0分。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kern w:val="0"/>
                <w:sz w:val="24"/>
                <w:szCs w:val="24"/>
                <w:highlight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人员配置</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kern w:val="0"/>
                <w:sz w:val="24"/>
                <w:szCs w:val="24"/>
                <w:highlight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5</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highlight w:val="none"/>
                <w14:textFill>
                  <w14:solidFill>
                    <w14:schemeClr w14:val="tx1"/>
                  </w14:solidFill>
                </w14:textFill>
              </w:rPr>
              <w:t>.本项目配置</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4"/>
                <w:highlight w:val="none"/>
                <w14:textFill>
                  <w14:solidFill>
                    <w14:schemeClr w14:val="tx1"/>
                  </w14:solidFill>
                </w14:textFill>
              </w:rPr>
              <w:t>名高处作业人员，均具有</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重庆市</w:t>
            </w:r>
            <w:r>
              <w:rPr>
                <w:rFonts w:hint="default" w:ascii="Times New Roman" w:hAnsi="Times New Roman" w:eastAsia="方正仿宋_GBK" w:cs="Times New Roman"/>
                <w:color w:val="000000" w:themeColor="text1"/>
                <w:sz w:val="24"/>
                <w:highlight w:val="none"/>
                <w14:textFill>
                  <w14:solidFill>
                    <w14:schemeClr w14:val="tx1"/>
                  </w14:solidFill>
                </w14:textFill>
              </w:rPr>
              <w:t>应急管理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局</w:t>
            </w:r>
            <w:r>
              <w:rPr>
                <w:rFonts w:hint="default" w:ascii="Times New Roman" w:hAnsi="Times New Roman" w:eastAsia="方正仿宋_GBK" w:cs="Times New Roman"/>
                <w:color w:val="000000" w:themeColor="text1"/>
                <w:sz w:val="24"/>
                <w:highlight w:val="none"/>
                <w14:textFill>
                  <w14:solidFill>
                    <w14:schemeClr w14:val="tx1"/>
                  </w14:solidFill>
                </w14:textFill>
              </w:rPr>
              <w:t>颁发</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的作业类别为</w:t>
            </w:r>
            <w:r>
              <w:rPr>
                <w:rFonts w:hint="default" w:ascii="Times New Roman" w:hAnsi="Times New Roman" w:eastAsia="方正仿宋_GBK" w:cs="Times New Roman"/>
                <w:color w:val="000000" w:themeColor="text1"/>
                <w:sz w:val="24"/>
                <w:highlight w:val="none"/>
                <w14:textFill>
                  <w14:solidFill>
                    <w14:schemeClr w14:val="tx1"/>
                  </w14:solidFill>
                </w14:textFill>
              </w:rPr>
              <w:t>“高处作业”</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的</w:t>
            </w:r>
            <w:r>
              <w:rPr>
                <w:rFonts w:hint="default" w:ascii="Times New Roman" w:hAnsi="Times New Roman" w:eastAsia="方正仿宋_GBK" w:cs="Times New Roman"/>
                <w:color w:val="000000" w:themeColor="text1"/>
                <w:sz w:val="24"/>
                <w:highlight w:val="none"/>
                <w14:textFill>
                  <w14:solidFill>
                    <w14:schemeClr w14:val="tx1"/>
                  </w14:solidFill>
                </w14:textFill>
              </w:rPr>
              <w:t>特种操作证书得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highlight w:val="none"/>
                <w14:textFill>
                  <w14:solidFill>
                    <w14:schemeClr w14:val="tx1"/>
                  </w14:solidFill>
                </w14:textFill>
              </w:rPr>
              <w:t>分，不满足得0分。</w:t>
            </w:r>
          </w:p>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highlight w:val="none"/>
                <w14:textFill>
                  <w14:solidFill>
                    <w14:schemeClr w14:val="tx1"/>
                  </w14:solidFill>
                </w14:textFill>
              </w:rPr>
              <w:t>.本项目配置</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10</w:t>
            </w:r>
            <w:r>
              <w:rPr>
                <w:rFonts w:hint="default" w:ascii="Times New Roman" w:hAnsi="Times New Roman" w:eastAsia="方正仿宋_GBK" w:cs="Times New Roman"/>
                <w:color w:val="000000" w:themeColor="text1"/>
                <w:sz w:val="24"/>
                <w:highlight w:val="none"/>
                <w14:textFill>
                  <w14:solidFill>
                    <w14:schemeClr w14:val="tx1"/>
                  </w14:solidFill>
                </w14:textFill>
              </w:rPr>
              <w:t>名清掏作业人员，具有有效的“</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化粪池</w:t>
            </w:r>
            <w:r>
              <w:rPr>
                <w:rFonts w:hint="default" w:ascii="Times New Roman" w:hAnsi="Times New Roman" w:eastAsia="方正仿宋_GBK" w:cs="Times New Roman"/>
                <w:color w:val="000000" w:themeColor="text1"/>
                <w:sz w:val="24"/>
                <w:highlight w:val="none"/>
                <w14:textFill>
                  <w14:solidFill>
                    <w14:schemeClr w14:val="tx1"/>
                  </w14:solidFill>
                </w14:textFill>
              </w:rPr>
              <w:t>清掏维护专项职业能力证书”的得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分，不满足得0分。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提供所列证书复印件、比选截止时间前6个月的连续社保证明材料复印件，均需加盖公章</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原件备查</w:t>
            </w:r>
          </w:p>
        </w:tc>
      </w:tr>
      <w:tr>
        <w:tblPrEx>
          <w:tblCellMar>
            <w:top w:w="0" w:type="dxa"/>
            <w:left w:w="108" w:type="dxa"/>
            <w:bottom w:w="0" w:type="dxa"/>
            <w:right w:w="108" w:type="dxa"/>
          </w:tblCellMar>
        </w:tblPrEx>
        <w:trPr>
          <w:trHeight w:val="9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管理制度及人员培训方案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ind w:firstLine="240" w:firstLineChars="100"/>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1.管理制度方案：包括</w:t>
            </w:r>
            <w:r>
              <w:rPr>
                <w:rFonts w:hint="default" w:ascii="Times New Roman" w:hAnsi="Times New Roman" w:eastAsia="方正仿宋_GBK" w:cs="Times New Roman"/>
                <w:color w:val="000000" w:themeColor="text1"/>
                <w:sz w:val="24"/>
                <w:highlight w:val="none"/>
                <w14:textFill>
                  <w14:solidFill>
                    <w14:schemeClr w14:val="tx1"/>
                  </w14:solidFill>
                </w14:textFill>
              </w:rPr>
              <w:t>项目</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内部管理制度、项目组织架构</w:t>
            </w:r>
            <w:r>
              <w:rPr>
                <w:rFonts w:hint="default" w:ascii="Times New Roman" w:hAnsi="Times New Roman" w:eastAsia="方正仿宋_GBK" w:cs="Times New Roman"/>
                <w:color w:val="000000" w:themeColor="text1"/>
                <w:sz w:val="24"/>
                <w:highlight w:val="none"/>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管理职责和考核细则。内容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差得0.5分，未提供方案得0分。</w:t>
            </w:r>
          </w:p>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2.人员培训方案：包括培训目标、培训计划和培训课程等。内容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差得0.5分，未提供方案得0分。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1275"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安全保障</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提供完善的安全保障方案，包括安全作业措施、安全保障设备、</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质量保证措施、</w:t>
            </w:r>
            <w:r>
              <w:rPr>
                <w:rFonts w:hint="default" w:ascii="Times New Roman" w:hAnsi="Times New Roman" w:eastAsia="方正仿宋_GBK" w:cs="Times New Roman"/>
                <w:color w:val="000000" w:themeColor="text1"/>
                <w:sz w:val="24"/>
                <w:highlight w:val="none"/>
                <w14:textFill>
                  <w14:solidFill>
                    <w14:schemeClr w14:val="tx1"/>
                  </w14:solidFill>
                </w14:textFill>
              </w:rPr>
              <w:t>各类安全事故处理措施等</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内容完整但</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w:t>
            </w:r>
            <w:r>
              <w:rPr>
                <w:rFonts w:hint="default" w:ascii="Times New Roman" w:hAnsi="Times New Roman" w:eastAsia="方正仿宋_GBK" w:cs="Times New Roman"/>
                <w:color w:val="000000" w:themeColor="text1"/>
                <w:sz w:val="24"/>
                <w:highlight w:val="none"/>
                <w14:textFill>
                  <w14:solidFill>
                    <w14:schemeClr w14:val="tx1"/>
                  </w14:solidFill>
                </w14:textFill>
              </w:rPr>
              <w:t>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差得1分，未提供方案得0分。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78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8"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应急预案</w:t>
            </w:r>
          </w:p>
        </w:tc>
        <w:tc>
          <w:tcPr>
            <w:tcW w:w="732" w:type="dxa"/>
            <w:tcBorders>
              <w:top w:val="single" w:color="000000" w:sz="4" w:space="0"/>
              <w:left w:val="single" w:color="000000" w:sz="4" w:space="0"/>
              <w:bottom w:val="single" w:color="000000" w:sz="8"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p>
        </w:tc>
        <w:tc>
          <w:tcPr>
            <w:tcW w:w="8367" w:type="dxa"/>
            <w:tcBorders>
              <w:top w:val="single" w:color="000000" w:sz="4" w:space="0"/>
              <w:left w:val="single" w:color="000000" w:sz="4" w:space="0"/>
              <w:bottom w:val="single" w:color="000000" w:sz="8"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针对轨道业态的突发事件、恶劣天气等特殊情况制定应急预案，包括应急保障小组、传达机制、应急情况种类、处置流程、人员安排和设备调配等</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内容完整但</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w:t>
            </w:r>
            <w:r>
              <w:rPr>
                <w:rFonts w:hint="default" w:ascii="Times New Roman" w:hAnsi="Times New Roman" w:eastAsia="方正仿宋_GBK" w:cs="Times New Roman"/>
                <w:color w:val="000000" w:themeColor="text1"/>
                <w:sz w:val="24"/>
                <w:highlight w:val="none"/>
                <w14:textFill>
                  <w14:solidFill>
                    <w14:schemeClr w14:val="tx1"/>
                  </w14:solidFill>
                </w14:textFill>
              </w:rPr>
              <w:t>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差得1分，未提供方案得0分。</w:t>
            </w:r>
          </w:p>
        </w:tc>
        <w:tc>
          <w:tcPr>
            <w:tcW w:w="3207" w:type="dxa"/>
            <w:tcBorders>
              <w:top w:val="single" w:color="000000" w:sz="4" w:space="0"/>
              <w:left w:val="single" w:color="000000" w:sz="4" w:space="0"/>
              <w:bottom w:val="single" w:color="000000" w:sz="8"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bl>
    <w:p>
      <w:pPr>
        <w:pStyle w:val="2"/>
        <w:rPr>
          <w:rFonts w:hint="default" w:ascii="Times New Roman" w:hAnsi="Times New Roman" w:cs="Times New Roman"/>
          <w:color w:val="000000" w:themeColor="text1"/>
          <w:highlight w:val="none"/>
          <w14:textFill>
            <w14:solidFill>
              <w14:schemeClr w14:val="tx1"/>
            </w14:solidFill>
          </w14:textFill>
        </w:rPr>
        <w:sectPr>
          <w:pgSz w:w="16840" w:h="11900" w:orient="landscape"/>
          <w:pgMar w:top="940" w:right="1340" w:bottom="940" w:left="1340" w:header="920" w:footer="0" w:gutter="0"/>
          <w:pgNumType w:fmt="decimal"/>
          <w:cols w:space="720" w:num="1"/>
          <w:docGrid w:type="lines" w:linePitch="0" w:charSpace="0"/>
        </w:sect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附件3：</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 xml:space="preserve">文件格式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b/>
          <w:bCs/>
          <w:color w:val="000000" w:themeColor="text1"/>
          <w:sz w:val="36"/>
          <w:szCs w:val="36"/>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6"/>
          <w:szCs w:val="36"/>
          <w:highlight w:val="none"/>
          <w:lang w:val="en-US" w:eastAsia="zh-CN"/>
          <w14:textFill>
            <w14:solidFill>
              <w14:schemeClr w14:val="tx1"/>
            </w14:solidFill>
          </w14:textFill>
        </w:rPr>
        <w:t>一、商务文件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1、</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sectPr>
          <w:pgSz w:w="11900" w:h="16840"/>
          <w:pgMar w:top="1440" w:right="1134" w:bottom="1440" w:left="1134" w:header="920" w:footer="0" w:gutter="0"/>
          <w:pgNumType w:fmt="decimal"/>
          <w:cols w:space="720" w:num="1"/>
          <w:docGrid w:type="lines" w:linePitch="0" w:charSpace="0"/>
        </w:sect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格式自拟</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失信被执行人查询截图、异常经营名录查询截图、税收违法黑名单查询截图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sectPr>
          <w:footerReference r:id="rId6" w:type="default"/>
          <w:pgSz w:w="11900" w:h="16840"/>
          <w:pgMar w:top="1440" w:right="1134" w:bottom="1440" w:left="1134" w:header="920" w:footer="0" w:gutter="0"/>
          <w:pgNumType w:fmt="decimal"/>
          <w:cols w:space="720" w:num="1"/>
          <w:docGrid w:type="lines" w:linePitch="0" w:charSpace="0"/>
        </w:sect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格式自拟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3、资质证书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格式自拟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需包含：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t>行业服务协会认定的保洁服务企业一级资质。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t>重庆市城市管理局颁发的《城市生活垃圾经营性清扫收集运输处置服务许可证》。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行业协会或机构颁发的《城市粪便污水处理经营服务资质认定》三级及以上证书</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sectPr>
          <w:pgSz w:w="11900" w:h="16840"/>
          <w:pgMar w:top="1440" w:right="1134" w:bottom="1440" w:left="1134" w:header="920" w:footer="0" w:gutter="0"/>
          <w:pgNumType w:fmt="decimal"/>
          <w:cols w:space="720" w:num="1"/>
          <w:docGrid w:type="lines" w:linePitch="0" w:charSpace="0"/>
        </w:sectPr>
      </w:pP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行业协会或机构颁发的</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高空服务业企业安全资质</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或</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高空清洗悬吊作业企业安全生产证书</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或</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高空外墙清洗服务企业资质</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或</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高空外墙清洁资质等级证书</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4、法定代表人资格证明书（本页文字格式和内容不得删减和添加）</w:t>
      </w:r>
    </w:p>
    <w:p>
      <w:pPr>
        <w:jc w:val="center"/>
        <w:rPr>
          <w:rFonts w:hint="default" w:ascii="Times New Roman" w:hAnsi="Times New Roman" w:eastAsia="方正小标宋_GBK" w:cs="Times New Roman"/>
          <w:b/>
          <w:bCs/>
          <w:color w:val="000000" w:themeColor="text1"/>
          <w:sz w:val="36"/>
          <w:szCs w:val="36"/>
          <w:highlight w:val="none"/>
          <w14:textFill>
            <w14:solidFill>
              <w14:schemeClr w14:val="tx1"/>
            </w14:solidFill>
          </w14:textFill>
        </w:rPr>
      </w:pPr>
    </w:p>
    <w:p>
      <w:pPr>
        <w:numPr>
          <w:ilvl w:val="0"/>
          <w:numId w:val="0"/>
        </w:numPr>
        <w:ind w:leftChars="0"/>
        <w:jc w:val="center"/>
        <w:rPr>
          <w:rFonts w:hint="default" w:ascii="Times New Roman" w:hAnsi="Times New Roman" w:eastAsia="方正仿宋_GBK" w:cs="Times New Roman"/>
          <w:b/>
          <w:bCs/>
          <w:color w:val="000000" w:themeColor="text1"/>
          <w:kern w:val="2"/>
          <w:sz w:val="36"/>
          <w:szCs w:val="36"/>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6"/>
          <w:szCs w:val="36"/>
          <w:highlight w:val="none"/>
          <w:lang w:val="en-US" w:eastAsia="zh-CN" w:bidi="ar-SA"/>
          <w14:textFill>
            <w14:solidFill>
              <w14:schemeClr w14:val="tx1"/>
            </w14:solidFill>
          </w14:textFill>
        </w:rPr>
        <w:t>法定代表人资格证明书</w:t>
      </w:r>
    </w:p>
    <w:p>
      <w:pPr>
        <w:pStyle w:val="2"/>
        <w:rPr>
          <w:rFonts w:hint="default" w:ascii="Times New Roman" w:hAnsi="Times New Roman" w:eastAsia="方正仿宋_GBK" w:cs="Times New Roman"/>
          <w:b w:val="0"/>
          <w:color w:val="000000" w:themeColor="text1"/>
          <w:kern w:val="0"/>
          <w:sz w:val="28"/>
          <w:szCs w:val="28"/>
          <w:highlight w:val="none"/>
          <w14:textFill>
            <w14:solidFill>
              <w14:schemeClr w14:val="tx1"/>
            </w14:solidFill>
          </w14:textFill>
        </w:rPr>
      </w:pPr>
      <w:r>
        <w:rPr>
          <w:rFonts w:hint="default" w:ascii="Times New Roman" w:hAnsi="Times New Roman" w:eastAsia="方正小标宋_GBK" w:cs="Times New Roman"/>
          <w:color w:val="000000" w:themeColor="text1"/>
          <w:sz w:val="36"/>
          <w:szCs w:val="36"/>
          <w:highlight w:val="none"/>
          <w14:textFill>
            <w14:solidFill>
              <w14:schemeClr w14:val="tx1"/>
            </w14:solidFill>
          </w14:textFill>
        </w:rPr>
        <w:t xml:space="preserve">    </w:t>
      </w:r>
      <w:r>
        <w:rPr>
          <w:rFonts w:hint="default" w:ascii="Times New Roman" w:hAnsi="Times New Roman" w:eastAsia="方正小标宋_GBK" w:cs="Times New Roman"/>
          <w:color w:val="000000" w:themeColor="text1"/>
          <w:sz w:val="36"/>
          <w:szCs w:val="36"/>
          <w:highlight w:val="none"/>
          <w:u w:val="single"/>
          <w14:textFill>
            <w14:solidFill>
              <w14:schemeClr w14:val="tx1"/>
            </w14:solidFill>
          </w14:textFill>
        </w:rPr>
        <w:t xml:space="preserve">          </w:t>
      </w:r>
      <w:r>
        <w:rPr>
          <w:rFonts w:hint="default" w:ascii="Times New Roman" w:hAnsi="Times New Roman" w:eastAsia="方正仿宋_GBK" w:cs="Times New Roman"/>
          <w:b w:val="0"/>
          <w:color w:val="000000" w:themeColor="text1"/>
          <w:kern w:val="0"/>
          <w:sz w:val="28"/>
          <w:szCs w:val="28"/>
          <w:highlight w:val="none"/>
          <w14:textFill>
            <w14:solidFill>
              <w14:schemeClr w14:val="tx1"/>
            </w14:solidFill>
          </w14:textFill>
        </w:rPr>
        <w:t>（法定代表人姓名）系</w:t>
      </w:r>
      <w:r>
        <w:rPr>
          <w:rFonts w:hint="default" w:ascii="Times New Roman" w:hAnsi="Times New Roman" w:eastAsia="方正小标宋_GBK" w:cs="Times New Roman"/>
          <w:color w:val="000000" w:themeColor="text1"/>
          <w:sz w:val="36"/>
          <w:szCs w:val="36"/>
          <w:highlight w:val="none"/>
          <w:u w:val="single"/>
          <w14:textFill>
            <w14:solidFill>
              <w14:schemeClr w14:val="tx1"/>
            </w14:solidFill>
          </w14:textFill>
        </w:rPr>
        <w:t xml:space="preserve">              </w:t>
      </w:r>
      <w:r>
        <w:rPr>
          <w:rFonts w:hint="default" w:ascii="Times New Roman" w:hAnsi="Times New Roman" w:eastAsia="方正仿宋_GBK" w:cs="Times New Roman"/>
          <w:b w:val="0"/>
          <w:color w:val="000000" w:themeColor="text1"/>
          <w:kern w:val="0"/>
          <w:sz w:val="28"/>
          <w:szCs w:val="28"/>
          <w:highlight w:val="none"/>
          <w14:textFill>
            <w14:solidFill>
              <w14:schemeClr w14:val="tx1"/>
            </w14:solidFill>
          </w14:textFill>
        </w:rPr>
        <w:t>（比选单位）的法定代表人。</w:t>
      </w:r>
    </w:p>
    <w:p>
      <w:pPr>
        <w:ind w:firstLine="722"/>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特此证明</w:t>
      </w:r>
    </w:p>
    <w:p>
      <w:pPr>
        <w:pStyle w:val="2"/>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-75565</wp:posOffset>
                </wp:positionH>
                <wp:positionV relativeFrom="paragraph">
                  <wp:posOffset>268605</wp:posOffset>
                </wp:positionV>
                <wp:extent cx="6399530" cy="3460115"/>
                <wp:effectExtent l="6350" t="6350" r="13970" b="19685"/>
                <wp:wrapNone/>
                <wp:docPr id="3" name="文本框 3"/>
                <wp:cNvGraphicFramePr/>
                <a:graphic xmlns:a="http://schemas.openxmlformats.org/drawingml/2006/main">
                  <a:graphicData uri="http://schemas.microsoft.com/office/word/2010/wordprocessingShape">
                    <wps:wsp>
                      <wps:cNvSpPr txBox="1"/>
                      <wps:spPr>
                        <a:xfrm>
                          <a:off x="0" y="0"/>
                          <a:ext cx="2857500" cy="378460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jc w:val="center"/>
                              <w:rPr>
                                <w:rFonts w:ascii="方正仿宋_GBK" w:hAnsi="方正仿宋_GBK" w:eastAsia="方正仿宋_GBK" w:cs="方正仿宋_GBK"/>
                              </w:rPr>
                            </w:pPr>
                            <w:r>
                              <w:rPr>
                                <w:rFonts w:hint="eastAsia" w:ascii="方正仿宋_GBK" w:hAnsi="方正仿宋_GBK" w:eastAsia="方正仿宋_GBK" w:cs="方正仿宋_GBK"/>
                              </w:rPr>
                              <w:t>法定代表人身份证复印件粘贴处</w:t>
                            </w:r>
                          </w:p>
                          <w:p>
                            <w:pPr>
                              <w:jc w:val="center"/>
                              <w:rPr>
                                <w:rFonts w:ascii="方正仿宋_GBK" w:hAnsi="方正仿宋_GBK" w:eastAsia="方正仿宋_GBK" w:cs="方正仿宋_GBK"/>
                              </w:rPr>
                            </w:pPr>
                            <w:r>
                              <w:rPr>
                                <w:rFonts w:hint="eastAsia" w:ascii="方正仿宋_GBK" w:hAnsi="方正仿宋_GBK" w:eastAsia="方正仿宋_GBK" w:cs="方正仿宋_GBK"/>
                              </w:rPr>
                              <w:t>（须提供正反两面）</w:t>
                            </w:r>
                          </w:p>
                        </w:txbxContent>
                      </wps:txbx>
                      <wps:bodyPr upright="1"/>
                    </wps:wsp>
                  </a:graphicData>
                </a:graphic>
              </wp:anchor>
            </w:drawing>
          </mc:Choice>
          <mc:Fallback>
            <w:pict>
              <v:shape id="_x0000_s1026" o:spid="_x0000_s1026" o:spt="202" type="#_x0000_t202" style="position:absolute;left:0pt;margin-left:-5.95pt;margin-top:21.15pt;height:272.45pt;width:503.9pt;z-index:251664384;mso-width-relative:page;mso-height-relative:page;" fillcolor="#FFFFFF" filled="t" stroked="t" coordsize="21600,21600" o:gfxdata="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WUjEE3AAAAAoBAAAPAAAA&#10;AAAAAAEAIAAAACIAAABkcnMvZG93bnJldi54bWxQSwECFAAUAAAACACHTuJAJFdjHRECAABFBAAA&#10;DgAAAAAAAAABACAAAAArAQAAZHJzL2Uyb0RvYy54bWxQSwUGAAAAAAYABgBZAQAArgUAAAAA&#10;">
                <v:fill on="t" focussize="0,0"/>
                <v:stroke weight="1pt" color="#000000" joinstyle="miter" dashstyle="dash"/>
                <v:imagedata o:title=""/>
                <o:lock v:ext="edit" aspectratio="f"/>
                <v:textbox>
                  <w:txbxContent>
                    <w:p>
                      <w:pPr>
                        <w:jc w:val="center"/>
                        <w:rPr>
                          <w:rFonts w:ascii="方正仿宋_GBK" w:hAnsi="方正仿宋_GBK" w:eastAsia="方正仿宋_GBK" w:cs="方正仿宋_GBK"/>
                        </w:rPr>
                      </w:pPr>
                      <w:r>
                        <w:rPr>
                          <w:rFonts w:hint="eastAsia" w:ascii="方正仿宋_GBK" w:hAnsi="方正仿宋_GBK" w:eastAsia="方正仿宋_GBK" w:cs="方正仿宋_GBK"/>
                        </w:rPr>
                        <w:t>法定代表人身份证复印件粘贴处</w:t>
                      </w:r>
                    </w:p>
                    <w:p>
                      <w:pPr>
                        <w:jc w:val="center"/>
                        <w:rPr>
                          <w:rFonts w:ascii="方正仿宋_GBK" w:hAnsi="方正仿宋_GBK" w:eastAsia="方正仿宋_GBK" w:cs="方正仿宋_GBK"/>
                        </w:rPr>
                      </w:pPr>
                      <w:r>
                        <w:rPr>
                          <w:rFonts w:hint="eastAsia" w:ascii="方正仿宋_GBK" w:hAnsi="方正仿宋_GBK" w:eastAsia="方正仿宋_GBK" w:cs="方正仿宋_GBK"/>
                        </w:rPr>
                        <w:t>（须提供正反两面）</w:t>
                      </w:r>
                    </w:p>
                  </w:txbxContent>
                </v:textbox>
              </v:shape>
            </w:pict>
          </mc:Fallback>
        </mc:AlternateContent>
      </w:r>
    </w:p>
    <w:p>
      <w:pPr>
        <w:pStyle w:val="2"/>
        <w:ind w:firstLine="722"/>
        <w:rPr>
          <w:rFonts w:hint="default" w:ascii="Times New Roman" w:hAnsi="Times New Roman" w:cs="Times New Roman"/>
          <w:color w:val="000000" w:themeColor="text1"/>
          <w:highlight w:val="none"/>
          <w14:textFill>
            <w14:solidFill>
              <w14:schemeClr w14:val="tx1"/>
            </w14:solidFill>
          </w14:textFill>
        </w:rPr>
      </w:pPr>
    </w:p>
    <w:p>
      <w:pPr>
        <w:widowControl/>
        <w:spacing w:before="100" w:beforeAutospacing="1" w:after="100" w:afterAutospacing="1" w:line="252" w:lineRule="atLeast"/>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p>
    <w:p>
      <w:pPr>
        <w:widowControl/>
        <w:spacing w:before="100" w:beforeAutospacing="1" w:after="100" w:afterAutospacing="1" w:line="252" w:lineRule="atLeast"/>
        <w:jc w:val="cente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p>
    <w:p>
      <w:pPr>
        <w:widowControl/>
        <w:spacing w:before="100" w:beforeAutospacing="1" w:after="100" w:afterAutospacing="1" w:line="252" w:lineRule="atLeast"/>
        <w:jc w:val="cente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p>
    <w:p>
      <w:pPr>
        <w:widowControl/>
        <w:spacing w:before="100" w:beforeAutospacing="1" w:after="100" w:afterAutospacing="1" w:line="252" w:lineRule="atLeast"/>
        <w:jc w:val="cente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p>
    <w:p>
      <w:pPr>
        <w:pStyle w:val="2"/>
        <w:tabs>
          <w:tab w:val="left" w:pos="5649"/>
        </w:tabs>
        <w:rPr>
          <w:rFonts w:hint="default" w:ascii="Times New Roman" w:hAnsi="Times New Roman" w:eastAsia="方正仿宋_GBK" w:cs="Times New Roman"/>
          <w:color w:val="000000" w:themeColor="text1"/>
          <w:kern w:val="0"/>
          <w:sz w:val="28"/>
          <w:szCs w:val="28"/>
          <w:highlight w:val="none"/>
          <w:lang w:eastAsia="zh-CN"/>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p>
    <w:p>
      <w:pPr>
        <w:widowControl/>
        <w:spacing w:before="100" w:beforeAutospacing="1" w:after="100" w:afterAutospacing="1" w:line="252" w:lineRule="atLeast"/>
        <w:jc w:val="cente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比选单位名称（盖章）：</w:t>
      </w:r>
    </w:p>
    <w:p>
      <w:pPr>
        <w:pStyle w:val="2"/>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方正仿宋_GBK" w:cs="Times New Roman"/>
          <w:b w:val="0"/>
          <w:color w:val="000000" w:themeColor="text1"/>
          <w:kern w:val="0"/>
          <w:sz w:val="28"/>
          <w:szCs w:val="28"/>
          <w:highlight w:val="none"/>
          <w14:textFill>
            <w14:solidFill>
              <w14:schemeClr w14:val="tx1"/>
            </w14:solidFill>
          </w14:textFill>
        </w:rPr>
        <w:t xml:space="preserve">                              日期：</w:t>
      </w:r>
    </w:p>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sectPr>
          <w:pgSz w:w="11900" w:h="16840"/>
          <w:pgMar w:top="1440" w:right="1134" w:bottom="1440" w:left="1134" w:header="920" w:footer="0" w:gutter="0"/>
          <w:pgNumType w:fmt="decimal"/>
          <w:cols w:space="720" w:num="1"/>
          <w:docGrid w:type="lines" w:linePitch="0" w:charSpace="0"/>
        </w:sectPr>
      </w:pPr>
    </w:p>
    <w:p>
      <w:pPr>
        <w:numPr>
          <w:ilvl w:val="0"/>
          <w:numId w:val="0"/>
        </w:numPr>
        <w:ind w:leftChars="0"/>
        <w:rPr>
          <w:rFonts w:hint="default" w:ascii="Times New Roman" w:hAnsi="Times New Roman" w:eastAsia="方正仿宋_GBK" w:cs="Times New Roman"/>
          <w:b/>
          <w:bCs/>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5、法定代表人授权委托书</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本页文字格式和内容不得删减和添加）</w:t>
      </w:r>
    </w:p>
    <w:p>
      <w:pPr>
        <w:numPr>
          <w:ilvl w:val="0"/>
          <w:numId w:val="0"/>
        </w:numPr>
        <w:ind w:leftChars="0"/>
        <w:jc w:val="center"/>
        <w:rPr>
          <w:rFonts w:hint="default" w:ascii="Times New Roman" w:hAnsi="Times New Roman" w:eastAsia="方正仿宋_GBK" w:cs="Times New Roman"/>
          <w:b/>
          <w:bCs/>
          <w:color w:val="000000" w:themeColor="text1"/>
          <w:kern w:val="2"/>
          <w:sz w:val="36"/>
          <w:szCs w:val="36"/>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6"/>
          <w:szCs w:val="36"/>
          <w:highlight w:val="none"/>
          <w:lang w:val="en-US" w:eastAsia="zh-CN" w:bidi="ar-SA"/>
          <w14:textFill>
            <w14:solidFill>
              <w14:schemeClr w14:val="tx1"/>
            </w14:solidFill>
          </w14:textFill>
        </w:rPr>
        <w:t xml:space="preserve"> 法定代表人授权委托书 </w:t>
      </w:r>
    </w:p>
    <w:p>
      <w:pPr>
        <w:widowControl/>
        <w:snapToGrid w:val="0"/>
        <w:spacing w:before="100" w:beforeAutospacing="1" w:after="100" w:afterAutospacing="1" w:line="360" w:lineRule="auto"/>
        <w:jc w:val="left"/>
        <w:textAlignment w:val="bottom"/>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     本授权书声明：注册于</w:t>
      </w:r>
      <w:r>
        <w:rPr>
          <w:rFonts w:hint="default" w:ascii="Times New Roman" w:hAnsi="Times New Roman" w:eastAsia="方正仿宋_GBK" w:cs="Times New Roman"/>
          <w:bCs/>
          <w:color w:val="000000" w:themeColor="text1"/>
          <w:kern w:val="0"/>
          <w:sz w:val="28"/>
          <w:szCs w:val="28"/>
          <w:highlight w:val="none"/>
          <w:u w:val="single"/>
          <w14:textFill>
            <w14:solidFill>
              <w14:schemeClr w14:val="tx1"/>
            </w14:solidFill>
          </w14:textFill>
        </w:rPr>
        <w:t>                                   （注册地址）</w:t>
      </w: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的</w:t>
      </w:r>
      <w:r>
        <w:rPr>
          <w:rFonts w:hint="default" w:ascii="Times New Roman" w:hAnsi="Times New Roman" w:eastAsia="方正仿宋_GBK" w:cs="Times New Roman"/>
          <w:bCs/>
          <w:color w:val="000000" w:themeColor="text1"/>
          <w:kern w:val="0"/>
          <w:sz w:val="28"/>
          <w:szCs w:val="28"/>
          <w:highlight w:val="none"/>
          <w:u w:val="single"/>
          <w14:textFill>
            <w14:solidFill>
              <w14:schemeClr w14:val="tx1"/>
            </w14:solidFill>
          </w14:textFill>
        </w:rPr>
        <w:t>                    （公司名称）</w:t>
      </w: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公司的在下面签字的</w:t>
      </w:r>
      <w:r>
        <w:rPr>
          <w:rFonts w:hint="default" w:ascii="Times New Roman" w:hAnsi="Times New Roman" w:eastAsia="方正仿宋_GBK" w:cs="Times New Roman"/>
          <w:bCs/>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（法定代表人姓名、职务）代表本公司授权在下面签字的</w:t>
      </w:r>
      <w:r>
        <w:rPr>
          <w:rFonts w:hint="default" w:ascii="Times New Roman" w:hAnsi="Times New Roman" w:eastAsia="方正仿宋_GBK" w:cs="Times New Roman"/>
          <w:bCs/>
          <w:iCs/>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Cs/>
          <w:iCs/>
          <w:color w:val="000000" w:themeColor="text1"/>
          <w:kern w:val="0"/>
          <w:sz w:val="28"/>
          <w:szCs w:val="28"/>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bCs/>
          <w:iCs/>
          <w:color w:val="000000" w:themeColor="text1"/>
          <w:kern w:val="0"/>
          <w:sz w:val="28"/>
          <w:szCs w:val="28"/>
          <w:highlight w:val="none"/>
          <w:u w:val="single"/>
          <w14:textFill>
            <w14:solidFill>
              <w14:schemeClr w14:val="tx1"/>
            </w14:solidFill>
          </w14:textFill>
        </w:rPr>
        <w:t xml:space="preserve">   </w:t>
      </w:r>
      <w:r>
        <w:rPr>
          <w:rFonts w:hint="eastAsia" w:ascii="Times New Roman" w:hAnsi="Times New Roman" w:eastAsia="方正仿宋_GBK" w:cs="Times New Roman"/>
          <w:bCs/>
          <w:iCs/>
          <w:color w:val="000000" w:themeColor="text1"/>
          <w:kern w:val="0"/>
          <w:sz w:val="28"/>
          <w:szCs w:val="28"/>
          <w:highlight w:val="none"/>
          <w:u w:val="single"/>
          <w:lang w:eastAsia="zh-CN"/>
          <w14:textFill>
            <w14:solidFill>
              <w14:schemeClr w14:val="tx1"/>
            </w14:solidFill>
          </w14:textFill>
        </w:rPr>
        <w:t>（</w:t>
      </w: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被授权人的姓名、职务）为本公司的合法代理人，就</w:t>
      </w:r>
      <w:r>
        <w:rPr>
          <w:rFonts w:hint="default" w:ascii="Times New Roman" w:hAnsi="Times New Roman" w:eastAsia="方正仿宋_GBK" w:cs="Times New Roman"/>
          <w:bCs/>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项目的报价以及合同的谈判、签约、执行、完成等全权负责，以本公司名义处理一切与之有关的事务。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本授权书于    年   月   日签字生效，特此声明。</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 xml:space="preserve">比选单位名称（盖章）：          </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比选单位地址：</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授权人（法定代表人）签字</w:t>
      </w:r>
      <w:r>
        <w:rPr>
          <w:rFonts w:hint="eastAsia" w:ascii="Times New Roman" w:hAnsi="Times New Roman" w:eastAsia="方正仿宋_GBK" w:cs="Times New Roman"/>
          <w:color w:val="000000" w:themeColor="text1"/>
          <w:kern w:val="0"/>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或盖章</w:t>
      </w:r>
      <w:r>
        <w:rPr>
          <w:rFonts w:hint="eastAsia" w:ascii="Times New Roman" w:hAnsi="Times New Roman" w:eastAsia="方正仿宋_GBK" w:cs="Times New Roman"/>
          <w:color w:val="000000" w:themeColor="text1"/>
          <w:kern w:val="0"/>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 xml:space="preserve">：                     </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3204845</wp:posOffset>
                </wp:positionH>
                <wp:positionV relativeFrom="paragraph">
                  <wp:posOffset>297815</wp:posOffset>
                </wp:positionV>
                <wp:extent cx="3006090" cy="3436620"/>
                <wp:effectExtent l="6350" t="6350" r="16510" b="24130"/>
                <wp:wrapNone/>
                <wp:docPr id="4" name="文本框 1"/>
                <wp:cNvGraphicFramePr/>
                <a:graphic xmlns:a="http://schemas.openxmlformats.org/drawingml/2006/main">
                  <a:graphicData uri="http://schemas.microsoft.com/office/word/2010/wordprocessingShape">
                    <wps:wsp>
                      <wps:cNvSpPr txBox="1"/>
                      <wps:spPr>
                        <a:xfrm>
                          <a:off x="0" y="0"/>
                          <a:ext cx="2971800" cy="343662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txbxContent>
                      </wps:txbx>
                      <wps:bodyPr upright="1"/>
                    </wps:wsp>
                  </a:graphicData>
                </a:graphic>
              </wp:anchor>
            </w:drawing>
          </mc:Choice>
          <mc:Fallback>
            <w:pict>
              <v:shape id="文本框 1" o:spid="_x0000_s1026" o:spt="202" type="#_x0000_t202" style="position:absolute;left:0pt;margin-left:252.35pt;margin-top:23.45pt;height:270.6pt;width:236.7pt;z-index:251666432;mso-width-relative:page;mso-height-relative:page;" fillcolor="#FFFFFF" filled="t" stroked="t" coordsize="21600,21600" o:gfxdata="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rxKrcAAAACgEAAA8A&#10;AAAAAAAAAQAgAAAAIgAAAGRycy9kb3ducmV2LnhtbFBLAQIUABQAAAAIAIdO4kDO3UxYEwIAAEUE&#10;AAAOAAAAAAAAAAEAIAAAACsBAABkcnMvZTJvRG9jLnhtbFBLBQYAAAAABgAGAFkBAACwBQAAAAA=&#10;">
                <v:fill on="t" focussize="0,0"/>
                <v:stroke weight="1pt" color="#000000" joinstyle="miter" dashstyle="dash"/>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txbxContent>
                </v:textbox>
              </v:shape>
            </w:pict>
          </mc:Fallback>
        </mc:AlternateContent>
      </w:r>
      <w:r>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80010</wp:posOffset>
                </wp:positionH>
                <wp:positionV relativeFrom="paragraph">
                  <wp:posOffset>299720</wp:posOffset>
                </wp:positionV>
                <wp:extent cx="3006090" cy="3437890"/>
                <wp:effectExtent l="6350" t="6350" r="16510" b="22860"/>
                <wp:wrapNone/>
                <wp:docPr id="2" name="文本框 3"/>
                <wp:cNvGraphicFramePr/>
                <a:graphic xmlns:a="http://schemas.openxmlformats.org/drawingml/2006/main">
                  <a:graphicData uri="http://schemas.microsoft.com/office/word/2010/wordprocessingShape">
                    <wps:wsp>
                      <wps:cNvSpPr txBox="1"/>
                      <wps:spPr>
                        <a:xfrm>
                          <a:off x="0" y="0"/>
                          <a:ext cx="2857500" cy="343789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hint="eastAsia"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pPr>
                              <w:pStyle w:val="2"/>
                              <w:rPr>
                                <w:rFonts w:hint="default"/>
                                <w:lang w:val="en-US" w:eastAsia="zh-CN"/>
                              </w:rPr>
                            </w:pPr>
                          </w:p>
                        </w:txbxContent>
                      </wps:txbx>
                      <wps:bodyPr upright="1"/>
                    </wps:wsp>
                  </a:graphicData>
                </a:graphic>
              </wp:anchor>
            </w:drawing>
          </mc:Choice>
          <mc:Fallback>
            <w:pict>
              <v:shape id="文本框 3" o:spid="_x0000_s1026" o:spt="202" type="#_x0000_t202" style="position:absolute;left:0pt;margin-left:6.3pt;margin-top:23.6pt;height:270.7pt;width:236.7pt;z-index:251665408;mso-width-relative:page;mso-height-relative:page;" fillcolor="#FFFFFF" filled="t" stroked="t" coordsize="21600,21600" o:gfxdata="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0a5aiNoAAAAJAQAADwAA&#10;AAAAAAABACAAAAAiAAAAZHJzL2Rvd25yZXYueG1sUEsBAhQAFAAAAAgAh07iQKOg2zAUAgAARQQA&#10;AA4AAAAAAAAAAQAgAAAAKQEAAGRycy9lMm9Eb2MueG1sUEsFBgAAAAAGAAYAWQEAAK8FAAAAAA==&#10;">
                <v:fill on="t" focussize="0,0"/>
                <v:stroke weight="1pt" color="#000000" joinstyle="miter" dashstyle="dash"/>
                <v:imagedata o:title=""/>
                <o:lock v:ext="edit" aspectratio="f"/>
                <v:textbox>
                  <w:txbxContent>
                    <w:p>
                      <w:pPr>
                        <w:rPr>
                          <w:rFonts w:hint="eastAsia"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pPr>
                        <w:pStyle w:val="2"/>
                        <w:rPr>
                          <w:rFonts w:hint="default"/>
                          <w:lang w:val="en-US" w:eastAsia="zh-CN"/>
                        </w:rPr>
                      </w:pPr>
                    </w:p>
                  </w:txbxContent>
                </v:textbox>
              </v:shape>
            </w:pict>
          </mc:Fallback>
        </mc:AlternateConten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被授权人（代理人）签字：  </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 </w:t>
      </w: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w:pP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w:pP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w:pP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w:t>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p>
    <w:p>
      <w:pP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sectPr>
          <w:pgSz w:w="11900" w:h="16840"/>
          <w:pgMar w:top="1440" w:right="1134" w:bottom="1440" w:left="1134" w:header="920" w:footer="0" w:gutter="0"/>
          <w:pgNumType w:fmt="decimal"/>
          <w:cols w:space="720" w:num="1"/>
          <w:docGrid w:type="lines" w:linePitch="0" w:charSpace="0"/>
        </w:sect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6、投标保证金缴纳凭据</w:t>
      </w:r>
    </w:p>
    <w:p>
      <w:pPr>
        <w:pStyle w:val="2"/>
        <w:numPr>
          <w:ilvl w:val="0"/>
          <w:numId w:val="0"/>
        </w:numPr>
        <w:ind w:leftChars="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p>
      <w:pPr>
        <w:pStyle w:val="2"/>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p>
    <w:p>
      <w:pPr>
        <w:numPr>
          <w:ilvl w:val="0"/>
          <w:numId w:val="0"/>
        </w:numPr>
        <w:ind w:leftChars="0"/>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7、业绩证明材料</w:t>
      </w:r>
      <w:r>
        <w:rPr>
          <w:rFonts w:hint="default" w:ascii="Times New Roman" w:hAnsi="Times New Roman" w:eastAsia="方正仿宋_GBK" w:cs="Times New Roman"/>
          <w:b/>
          <w:bCs/>
          <w:color w:val="000000" w:themeColor="text1"/>
          <w:kern w:val="2"/>
          <w:sz w:val="28"/>
          <w:szCs w:val="28"/>
          <w:highlight w:val="none"/>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不得对合同单价、总价、人数、服务面积、服务时间等关键信息遮挡）</w:t>
      </w:r>
    </w:p>
    <w:p>
      <w:pPr>
        <w:pStyle w:val="2"/>
        <w:numPr>
          <w:ilvl w:val="0"/>
          <w:numId w:val="0"/>
        </w:numPr>
        <w:ind w:leftChars="0"/>
        <w:rPr>
          <w:rFonts w:hint="default" w:ascii="Times New Roman" w:hAnsi="Times New Roman" w:cs="Times New Roman"/>
          <w:b w:val="0"/>
          <w:bCs w:val="0"/>
          <w:color w:val="000000" w:themeColor="text1"/>
          <w:highlight w:val="none"/>
          <w:lang w:val="en-US" w:eastAsia="zh-CN"/>
          <w14:textFill>
            <w14:solidFill>
              <w14:schemeClr w14:val="tx1"/>
            </w14:solidFill>
          </w14:textFill>
        </w:rPr>
      </w:pPr>
      <w:bookmarkStart w:id="0" w:name="OLE_LINK1"/>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bookmarkEnd w:id="0"/>
    <w:p>
      <w:pP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p>
    <w:p>
      <w:pPr>
        <w:numPr>
          <w:ilvl w:val="0"/>
          <w:numId w:val="0"/>
        </w:numPr>
        <w:ind w:leftChars="0"/>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8、体系认证材料</w:t>
      </w:r>
    </w:p>
    <w:p>
      <w:pPr>
        <w:pStyle w:val="2"/>
        <w:numPr>
          <w:ilvl w:val="0"/>
          <w:numId w:val="0"/>
        </w:numPr>
        <w:ind w:leftChars="0"/>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p>
      <w:pP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p>
    <w:p>
      <w:pPr>
        <w:numPr>
          <w:ilvl w:val="0"/>
          <w:numId w:val="0"/>
        </w:numP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9、机具配置</w:t>
      </w:r>
    </w:p>
    <w:p>
      <w:pPr>
        <w:numPr>
          <w:ilvl w:val="0"/>
          <w:numId w:val="0"/>
        </w:numPr>
        <w:ind w:leftChars="0"/>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p>
    <w:p>
      <w:pPr>
        <w:numPr>
          <w:ilvl w:val="0"/>
          <w:numId w:val="0"/>
        </w:numPr>
        <w:ind w:leftChars="0"/>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格式自拟</w:t>
      </w:r>
    </w:p>
    <w:p>
      <w:pPr>
        <w:rPr>
          <w:rFonts w:hint="default" w:ascii="Times New Roman" w:hAnsi="Times New Roman" w:cs="Times New Roman"/>
          <w:color w:val="000000" w:themeColor="text1"/>
          <w:highlight w:val="none"/>
          <w14:textFill>
            <w14:solidFill>
              <w14:schemeClr w14:val="tx1"/>
            </w14:solidFill>
          </w14:textFill>
        </w:rPr>
        <w:sectPr>
          <w:pgSz w:w="11900" w:h="16840"/>
          <w:pgMar w:top="1440" w:right="1134" w:bottom="1440" w:left="1134" w:header="920" w:footer="0" w:gutter="0"/>
          <w:pgNumType w:fmt="decimal"/>
          <w:cols w:space="720" w:num="1"/>
          <w:docGrid w:type="lines" w:linePitch="0" w:charSpace="0"/>
        </w:sectPr>
      </w:pP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6"/>
          <w:szCs w:val="36"/>
          <w:highlight w:val="none"/>
          <w:lang w:val="en-US" w:eastAsia="zh-CN"/>
          <w14:textFill>
            <w14:solidFill>
              <w14:schemeClr w14:val="tx1"/>
            </w14:solidFill>
          </w14:textFill>
        </w:rPr>
        <w:t>二、经济文件</w:t>
      </w: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本页文字格式和内容不得删减和添加）</w:t>
      </w:r>
    </w:p>
    <w:p>
      <w:pPr>
        <w:jc w:val="cente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格式一   </w:t>
      </w:r>
      <w:r>
        <w:rPr>
          <w:rFonts w:hint="default" w:ascii="Times New Roman" w:hAnsi="Times New Roman" w:eastAsia="方正小标宋_GBK" w:cs="Times New Roman"/>
          <w:b/>
          <w:bCs/>
          <w:color w:val="000000" w:themeColor="text1"/>
          <w:sz w:val="36"/>
          <w:szCs w:val="36"/>
          <w:highlight w:val="none"/>
          <w14:textFill>
            <w14:solidFill>
              <w14:schemeClr w14:val="tx1"/>
            </w14:solidFill>
          </w14:textFill>
        </w:rPr>
        <w:t>比 选 函</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重庆通邑智慧城市运营管理有限公司：</w:t>
      </w:r>
    </w:p>
    <w:p>
      <w:pPr>
        <w:spacing w:line="360" w:lineRule="auto"/>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     根据贵方</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项目的比选函文件，本公司正式授权的下述签字人</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（姓名和职务）代表本公司</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（比选被邀请人名称），提交本比选函。</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据此函，签字人兹宣布同意如下：</w:t>
      </w:r>
    </w:p>
    <w:p>
      <w:pPr>
        <w:numPr>
          <w:ilvl w:val="0"/>
          <w:numId w:val="7"/>
        </w:num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愿意接受比选函中提出的酬金支付方式，我司报价如下：</w:t>
      </w:r>
    </w:p>
    <w:tbl>
      <w:tblPr>
        <w:tblStyle w:val="10"/>
        <w:tblW w:w="980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51"/>
        <w:gridCol w:w="1650"/>
        <w:gridCol w:w="1833"/>
        <w:gridCol w:w="1250"/>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7" w:hRule="atLeas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服务内容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作业量</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不含税单价</w:t>
            </w: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（元）</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作业频次</w:t>
            </w: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次/年</w:t>
            </w:r>
            <w:r>
              <w:rPr>
                <w:rFonts w:hint="eastAsia"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不含税总价</w:t>
            </w: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98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1.轨行区清掏冲洗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隧道冲洗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40800.00㎡</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隧道排水沟清掏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9920.00m</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垃圾清运</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25.00</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车</w:t>
            </w:r>
            <w:r>
              <w:rPr>
                <w:rFonts w:hint="default" w:ascii="Times New Roman" w:hAnsi="Times New Roman" w:eastAsia="宋体" w:cs="Times New Roman"/>
                <w:i w:val="0"/>
                <w:iCs w:val="0"/>
                <w:color w:val="000000" w:themeColor="text1"/>
                <w:kern w:val="0"/>
                <w:sz w:val="18"/>
                <w:szCs w:val="18"/>
                <w:highlight w:val="none"/>
                <w:u w:val="none"/>
                <w:lang w:val="en-US" w:eastAsia="zh-CN" w:bidi="ar"/>
                <w14:textFill>
                  <w14:solidFill>
                    <w14:schemeClr w14:val="tx1"/>
                  </w14:solidFill>
                </w14:textFill>
              </w:rPr>
              <w:t>（</w:t>
            </w:r>
            <w:r>
              <w:rPr>
                <w:rFonts w:hint="default" w:ascii="Times New Roman" w:hAnsi="Times New Roman" w:eastAsia="方正仿宋_GBK" w:cs="Times New Roman"/>
                <w:i w:val="0"/>
                <w:iCs w:val="0"/>
                <w:color w:val="000000" w:themeColor="text1"/>
                <w:kern w:val="0"/>
                <w:sz w:val="18"/>
                <w:szCs w:val="18"/>
                <w:highlight w:val="none"/>
                <w:u w:val="none"/>
                <w:lang w:val="en-US" w:eastAsia="zh-CN" w:bidi="ar"/>
                <w14:textFill>
                  <w14:solidFill>
                    <w14:schemeClr w14:val="tx1"/>
                  </w14:solidFill>
                </w14:textFill>
              </w:rPr>
              <w:t>t</w:t>
            </w:r>
            <w:r>
              <w:rPr>
                <w:rFonts w:hint="default" w:ascii="Times New Roman" w:hAnsi="Times New Roman" w:eastAsia="宋体" w:cs="Times New Roman"/>
                <w:i w:val="0"/>
                <w:iCs w:val="0"/>
                <w:color w:val="000000" w:themeColor="text1"/>
                <w:kern w:val="0"/>
                <w:sz w:val="18"/>
                <w:szCs w:val="18"/>
                <w:highlight w:val="none"/>
                <w:u w:val="none"/>
                <w:lang w:val="en-US" w:eastAsia="zh-CN" w:bidi="ar"/>
                <w14:textFill>
                  <w14:solidFill>
                    <w14:schemeClr w14:val="tx1"/>
                  </w14:solidFill>
                </w14:textFill>
              </w:rPr>
              <w:t>）</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道岔桥清洁</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5535.00㎡</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1"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区间轨行区路基段清洁卫生及杂草清除</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20000.00㎡</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雨棚及区间防抛网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3000.00㎡</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边坡、挡墙清洁卫生及杂草清除</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1000.00㎡</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exact"/>
        </w:trPr>
        <w:tc>
          <w:tcPr>
            <w:tcW w:w="98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2.外墙清洗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变电所外墙</w:t>
            </w: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（含屋顶排水沟清掏）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4063.80㎡</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车站外墙保洁</w:t>
            </w: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（含屋顶排水沟清掏）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91616.60㎡</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98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3.沟渠池清掏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车站生化池清掏（除平安、大渡口、新山村站）</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1139.40m³</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车站生化池清掏（平安、大渡口、新山村站）</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609.76m³</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9</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污水井清掏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21.66m³</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隔油池清掏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18.00m³</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2312" w:cs="Times New Roman"/>
                <w:i w:val="0"/>
                <w:iCs w:val="0"/>
                <w:color w:val="000000" w:themeColor="text1"/>
                <w:kern w:val="0"/>
                <w:sz w:val="22"/>
                <w:szCs w:val="22"/>
                <w:highlight w:val="none"/>
                <w:u w:val="none"/>
                <w:lang w:val="en-US" w:eastAsia="zh-CN" w:bidi="ar"/>
                <w14:textFill>
                  <w14:solidFill>
                    <w14:schemeClr w14:val="tx1"/>
                  </w14:solidFill>
                </w14:textFill>
              </w:rPr>
              <w:t xml:space="preserve">9 </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车站、区间废水池</w:t>
            </w: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清</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55.32m³</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2312" w:cs="Times New Roman"/>
                <w:i w:val="0"/>
                <w:iCs w:val="0"/>
                <w:color w:val="000000" w:themeColor="text1"/>
                <w:kern w:val="0"/>
                <w:sz w:val="22"/>
                <w:szCs w:val="22"/>
                <w:highlight w:val="none"/>
                <w:u w:val="none"/>
                <w:lang w:val="en-US" w:eastAsia="zh-CN" w:bidi="ar"/>
                <w14:textFill>
                  <w14:solidFill>
                    <w14:schemeClr w14:val="tx1"/>
                  </w14:solidFill>
                </w14:textFill>
              </w:rPr>
              <w:t xml:space="preserve">1 </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车站集水井（池）</w:t>
            </w: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清</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253.20m³</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2312" w:cs="Times New Roman"/>
                <w:i w:val="0"/>
                <w:iCs w:val="0"/>
                <w:color w:val="000000" w:themeColor="text1"/>
                <w:kern w:val="0"/>
                <w:sz w:val="22"/>
                <w:szCs w:val="22"/>
                <w:highlight w:val="none"/>
                <w:u w:val="none"/>
                <w:lang w:val="en-US" w:eastAsia="zh-CN" w:bidi="ar"/>
                <w14:textFill>
                  <w14:solidFill>
                    <w14:schemeClr w14:val="tx1"/>
                  </w14:solidFill>
                </w14:textFill>
              </w:rPr>
              <w:t xml:space="preserve">1 </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bl>
    <w:p>
      <w:pPr>
        <w:pStyle w:val="2"/>
        <w:keepNext/>
        <w:keepLines/>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暂定</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不含税总价：</w:t>
      </w:r>
      <w:r>
        <w:rPr>
          <w:rFonts w:hint="default" w:ascii="Times New Roman" w:hAnsi="Times New Roman" w:eastAsia="方正仿宋_GBK" w:cs="Times New Roman"/>
          <w:b w:val="0"/>
          <w:bCs w:val="0"/>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暂定</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含税总价：</w:t>
      </w:r>
      <w:r>
        <w:rPr>
          <w:rFonts w:hint="default" w:ascii="Times New Roman" w:hAnsi="Times New Roman" w:eastAsia="方正仿宋_GBK" w:cs="Times New Roman"/>
          <w:b w:val="0"/>
          <w:bCs w:val="0"/>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元</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，（大写：人民币</w:t>
      </w:r>
      <w:r>
        <w:rPr>
          <w:rFonts w:hint="default" w:ascii="Times New Roman" w:hAnsi="Times New Roman" w:eastAsia="方正仿宋_GBK" w:cs="Times New Roman"/>
          <w:b w:val="0"/>
          <w:bCs w:val="0"/>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元</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增值税专用发票税率</w:t>
      </w:r>
      <w:r>
        <w:rPr>
          <w:rFonts w:hint="default" w:ascii="Times New Roman" w:hAnsi="Times New Roman" w:eastAsia="方正仿宋_GBK"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p>
    <w:p>
      <w:pPr>
        <w:pStyle w:val="2"/>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备注：</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①</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表格中作业量和作业频次均为预估，实际作业量和作业频次以现场实际需求为准。</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②表格中不含税单价</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须保留至小数点后</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4</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位</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表格中单项不含税总价=作业量*单项不含税单价*作业频次，且须保留</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至小数点后</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2</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位</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表格下方的暂定不含税总价为表格中单项不含税总价的累计数值，且须保留</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至小数点后</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2</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位</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表格下方的暂定含税总价=暂定不含税总价*（</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1+税率</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），且须保留至小数点后2位；</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小数点后无数字时填写0</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p>
    <w:p>
      <w:pPr>
        <w:pageBreakBefore w:val="0"/>
        <w:widowControl w:val="0"/>
        <w:numPr>
          <w:ilvl w:val="0"/>
          <w:numId w:val="8"/>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我们已详细阅读了比选函全部内容，我们知道必须放弃提出含糊不清或误解的问题的权利。</w:t>
      </w:r>
    </w:p>
    <w:p>
      <w:pPr>
        <w:pageBreakBefore w:val="0"/>
        <w:widowControl w:val="0"/>
        <w:numPr>
          <w:ilvl w:val="0"/>
          <w:numId w:val="8"/>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我们保证根据规定履行合同责任和义务。</w:t>
      </w:r>
    </w:p>
    <w:p>
      <w:pPr>
        <w:pageBreakBefore w:val="0"/>
        <w:widowControl w:val="0"/>
        <w:numPr>
          <w:ilvl w:val="0"/>
          <w:numId w:val="8"/>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本比选函自开启之日起至项目全部完成之内有效。</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比选单位全称（公章）： </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通信地址：                              </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电话、传真：</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报价人法定代表人或授权代理人签字：</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日期：   年 月 日</w:t>
      </w:r>
    </w:p>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sectPr>
          <w:pgSz w:w="11900" w:h="16840"/>
          <w:pgMar w:top="1440" w:right="1134" w:bottom="1440" w:left="1134" w:header="920" w:footer="0" w:gutter="0"/>
          <w:pgNumType w:fmt="decimal"/>
          <w:cols w:space="720" w:num="1"/>
          <w:docGrid w:type="lines" w:linePitch="0" w:charSpace="0"/>
        </w:sectPr>
      </w:pP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三、技术文件</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整体服务方案</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color w:val="000000" w:themeColor="text1"/>
          <w:sz w:val="28"/>
          <w:szCs w:val="36"/>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2、分项服务方案</w:t>
      </w:r>
      <w:r>
        <w:rPr>
          <w:rFonts w:hint="default" w:ascii="Times New Roman" w:hAnsi="Times New Roman" w:eastAsia="方正仿宋_GBK" w:cs="Times New Roman"/>
          <w:b w:val="0"/>
          <w:bCs w:val="0"/>
          <w:color w:val="000000" w:themeColor="text1"/>
          <w:sz w:val="36"/>
          <w:szCs w:val="44"/>
          <w:highlight w:val="none"/>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36"/>
          <w:highlight w:val="none"/>
          <w:lang w:val="en-US" w:eastAsia="zh-CN"/>
          <w14:textFill>
            <w14:solidFill>
              <w14:schemeClr w14:val="tx1"/>
            </w14:solidFill>
          </w14:textFill>
        </w:rPr>
        <w:t>包括</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轨行区清掏冲洗、</w:t>
      </w:r>
      <w:r>
        <w:rPr>
          <w:rFonts w:hint="default" w:ascii="Times New Roman" w:hAnsi="Times New Roman" w:eastAsia="方正仿宋_GBK" w:cs="Times New Roman"/>
          <w:b w:val="0"/>
          <w:bCs w:val="0"/>
          <w:color w:val="000000" w:themeColor="text1"/>
          <w:sz w:val="28"/>
          <w:szCs w:val="36"/>
          <w:highlight w:val="none"/>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外墙清洗和沟渠池清掏服务方案</w:t>
      </w:r>
      <w:r>
        <w:rPr>
          <w:rFonts w:hint="default" w:ascii="Times New Roman" w:hAnsi="Times New Roman" w:eastAsia="方正仿宋_GBK" w:cs="Times New Roman"/>
          <w:b w:val="0"/>
          <w:bCs w:val="0"/>
          <w:color w:val="000000" w:themeColor="text1"/>
          <w:sz w:val="28"/>
          <w:szCs w:val="36"/>
          <w:highlight w:val="none"/>
          <w:lang w:val="en-US" w:eastAsia="zh-CN"/>
          <w14:textFill>
            <w14:solidFill>
              <w14:schemeClr w14:val="tx1"/>
            </w14:solidFill>
          </w14:textFill>
        </w:rPr>
        <w:t>）</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3、人员配置方案</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格式自拟</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4、</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管理制度及人员培训方案</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格式自拟</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000000" w:themeColor="text1"/>
          <w:sz w:val="36"/>
          <w:szCs w:val="44"/>
          <w:highlight w:val="none"/>
          <w:lang w:val="en-US" w:eastAsia="zh-CN"/>
          <w14:textFill>
            <w14:solidFill>
              <w14:schemeClr w14:val="tx1"/>
            </w14:solidFill>
          </w14:textFill>
        </w:rPr>
      </w:pPr>
    </w:p>
    <w:p>
      <w:pPr>
        <w:pageBreakBefore w:val="0"/>
        <w:widowControl w:val="0"/>
        <w:numPr>
          <w:ilvl w:val="0"/>
          <w:numId w:val="9"/>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安全保障</w:t>
      </w: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方案</w:t>
      </w:r>
    </w:p>
    <w:p>
      <w:pPr>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6、</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应急预案</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pP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7、</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根据比选项目情况认为需要添加的其他资料</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themeColor="text1"/>
          <w:highlight w:val="none"/>
          <w:lang w:val="en-US" w:eastAsia="zh-CN"/>
          <w14:textFill>
            <w14:solidFill>
              <w14:schemeClr w14:val="tx1"/>
            </w14:solidFill>
          </w14:textFill>
        </w:rPr>
        <w:sectPr>
          <w:pgSz w:w="11900" w:h="16840"/>
          <w:pgMar w:top="1440" w:right="1134" w:bottom="1440" w:left="1134" w:header="920" w:footer="0" w:gutter="0"/>
          <w:pgNumType w:fmt="decimal"/>
          <w:cols w:space="720" w:num="1"/>
          <w:docGrid w:type="lines" w:linePitch="0" w:charSpace="0"/>
        </w:sectPr>
      </w:pPr>
    </w:p>
    <w:p>
      <w:pPr>
        <w:widowControl/>
        <w:spacing w:before="100" w:beforeAutospacing="1" w:after="100" w:afterAutospacing="1" w:line="252" w:lineRule="atLeast"/>
        <w:jc w:val="left"/>
        <w:outlineLvl w:val="0"/>
        <w:rPr>
          <w:rFonts w:hint="default" w:ascii="Times New Roman" w:hAnsi="Times New Roman" w:eastAsia="方正仿宋_GBK" w:cs="Times New Roman"/>
          <w:b/>
          <w:bCs/>
          <w:color w:val="000000" w:themeColor="text1"/>
          <w:kern w:val="2"/>
          <w:sz w:val="36"/>
          <w:szCs w:val="36"/>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6"/>
          <w:szCs w:val="36"/>
          <w:highlight w:val="none"/>
          <w:lang w:val="en-US" w:eastAsia="zh-CN" w:bidi="ar-SA"/>
          <w14:textFill>
            <w14:solidFill>
              <w14:schemeClr w14:val="tx1"/>
            </w14:solidFill>
          </w14:textFill>
        </w:rPr>
        <w:t>四、合同文件</w:t>
      </w:r>
    </w:p>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pacing w:line="541" w:lineRule="exact"/>
        <w:jc w:val="cente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2</w:t>
      </w:r>
      <w:r>
        <w:rPr>
          <w:rFonts w:hint="default" w:ascii="Times New Roman" w:hAnsi="Times New Roman" w:eastAsia="方正仿宋_GBK" w:cs="Times New Roman"/>
          <w:b/>
          <w:bCs/>
          <w:color w:val="000000" w:themeColor="text1"/>
          <w:sz w:val="32"/>
          <w:szCs w:val="32"/>
          <w:highlight w:val="none"/>
          <w:lang w:eastAsia="zh-CN"/>
          <w14:textFill>
            <w14:solidFill>
              <w14:schemeClr w14:val="tx1"/>
            </w14:solidFill>
          </w14:textFill>
        </w:rPr>
        <w:t>024年度</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轨道</w:t>
      </w:r>
      <w:r>
        <w:rPr>
          <w:rFonts w:hint="default" w:ascii="Times New Roman" w:hAnsi="Times New Roman" w:eastAsia="方正仿宋_GBK" w:cs="Times New Roman"/>
          <w:b/>
          <w:bCs/>
          <w:color w:val="000000" w:themeColor="text1"/>
          <w:sz w:val="32"/>
          <w:szCs w:val="32"/>
          <w:highlight w:val="none"/>
          <w:lang w:eastAsia="zh-CN"/>
          <w14:textFill>
            <w14:solidFill>
              <w14:schemeClr w14:val="tx1"/>
            </w14:solidFill>
          </w14:textFill>
        </w:rPr>
        <w:t>2号线</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轨行区清掏冲洗、</w:t>
      </w:r>
      <w:r>
        <w:rPr>
          <w:rFonts w:hint="default" w:ascii="Times New Roman" w:hAnsi="Times New Roman" w:eastAsia="方正仿宋_GBK" w:cs="Times New Roman"/>
          <w:b/>
          <w:bCs/>
          <w:color w:val="000000" w:themeColor="text1"/>
          <w:sz w:val="32"/>
          <w:szCs w:val="32"/>
          <w:highlight w:val="none"/>
          <w:lang w:eastAsia="zh-CN"/>
          <w14:textFill>
            <w14:solidFill>
              <w14:schemeClr w14:val="tx1"/>
            </w14:solidFill>
          </w14:textFill>
        </w:rPr>
        <w:t>外墙清洗</w:t>
      </w: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和</w:t>
      </w:r>
      <w:r>
        <w:rPr>
          <w:rFonts w:hint="default" w:ascii="Times New Roman" w:hAnsi="Times New Roman" w:eastAsia="方正仿宋_GBK" w:cs="Times New Roman"/>
          <w:b/>
          <w:bCs/>
          <w:color w:val="000000" w:themeColor="text1"/>
          <w:sz w:val="32"/>
          <w:szCs w:val="32"/>
          <w:highlight w:val="none"/>
          <w:lang w:eastAsia="zh-CN"/>
          <w14:textFill>
            <w14:solidFill>
              <w14:schemeClr w14:val="tx1"/>
            </w14:solidFill>
          </w14:textFill>
        </w:rPr>
        <w:t>沟渠池</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清掏</w:t>
      </w:r>
    </w:p>
    <w:p>
      <w:pPr>
        <w:spacing w:line="541" w:lineRule="exact"/>
        <w:jc w:val="cente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服务合同</w:t>
      </w:r>
    </w:p>
    <w:p>
      <w:pPr>
        <w:adjustRightInd w:val="0"/>
        <w:spacing w:line="360" w:lineRule="auto"/>
        <w:jc w:val="righ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adjustRightInd w:val="0"/>
        <w:spacing w:line="360" w:lineRule="auto"/>
        <w:jc w:val="righ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【合同编号：              】</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pacing w:line="360" w:lineRule="auto"/>
        <w:outlineLvl w:val="1"/>
        <w:rPr>
          <w:rFonts w:hint="default" w:ascii="Times New Roman" w:hAnsi="Times New Roman" w:eastAsia="方正仿宋_GBK" w:cs="Times New Roman"/>
          <w:b/>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8"/>
          <w:szCs w:val="28"/>
          <w:highlight w:val="none"/>
          <w14:textFill>
            <w14:solidFill>
              <w14:schemeClr w14:val="tx1"/>
            </w14:solidFill>
          </w14:textFill>
        </w:rPr>
        <w:t>甲 方：</w:t>
      </w:r>
      <w:r>
        <w:rPr>
          <w:rFonts w:hint="default" w:ascii="Times New Roman" w:hAnsi="Times New Roman" w:eastAsia="方正仿宋_GBK" w:cs="Times New Roman"/>
          <w:color w:val="000000" w:themeColor="text1"/>
          <w:kern w:val="0"/>
          <w:sz w:val="28"/>
          <w:szCs w:val="28"/>
          <w:highlight w:val="none"/>
          <w:u w:val="single"/>
          <w14:textFill>
            <w14:solidFill>
              <w14:schemeClr w14:val="tx1"/>
            </w14:solidFill>
          </w14:textFill>
        </w:rPr>
        <w:t>重庆通邑智慧城市运营管理有限公司</w:t>
      </w:r>
    </w:p>
    <w:p>
      <w:pPr>
        <w:spacing w:line="360" w:lineRule="auto"/>
        <w:rPr>
          <w:rFonts w:hint="default" w:ascii="Times New Roman" w:hAnsi="Times New Roman" w:eastAsia="方正仿宋_GBK" w:cs="Times New Roman"/>
          <w:b/>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color w:val="000000" w:themeColor="text1"/>
          <w:sz w:val="28"/>
          <w:szCs w:val="28"/>
          <w:highlight w:val="none"/>
          <w14:textFill>
            <w14:solidFill>
              <w14:schemeClr w14:val="tx1"/>
            </w14:solidFill>
          </w14:textFill>
        </w:rPr>
        <w:t>地 址：</w:t>
      </w:r>
      <w:r>
        <w:rPr>
          <w:rFonts w:hint="default" w:ascii="Times New Roman" w:hAnsi="Times New Roman" w:eastAsia="方正仿宋_GBK" w:cs="Times New Roman"/>
          <w:color w:val="000000" w:themeColor="text1"/>
          <w:kern w:val="0"/>
          <w:sz w:val="28"/>
          <w:szCs w:val="28"/>
          <w:highlight w:val="none"/>
          <w:u w:val="single"/>
          <w14:textFill>
            <w14:solidFill>
              <w14:schemeClr w14:val="tx1"/>
            </w14:solidFill>
          </w14:textFill>
        </w:rPr>
        <w:t>重庆市南岸区腾龙大道58号附25号</w:t>
      </w:r>
    </w:p>
    <w:p>
      <w:pPr>
        <w:spacing w:line="360" w:lineRule="auto"/>
        <w:rPr>
          <w:rFonts w:hint="default" w:ascii="Times New Roman" w:hAnsi="Times New Roman" w:eastAsia="方正仿宋_GBK" w:cs="Times New Roman"/>
          <w:b/>
          <w:color w:val="000000" w:themeColor="text1"/>
          <w:sz w:val="28"/>
          <w:szCs w:val="28"/>
          <w:highlight w:val="none"/>
          <w14:textFill>
            <w14:solidFill>
              <w14:schemeClr w14:val="tx1"/>
            </w14:solidFill>
          </w14:textFill>
        </w:rPr>
      </w:pPr>
    </w:p>
    <w:p>
      <w:pPr>
        <w:spacing w:line="360" w:lineRule="auto"/>
        <w:rPr>
          <w:rFonts w:hint="default" w:ascii="Times New Roman" w:hAnsi="Times New Roman"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color w:val="000000" w:themeColor="text1"/>
          <w:sz w:val="28"/>
          <w:szCs w:val="28"/>
          <w:highlight w:val="none"/>
          <w14:textFill>
            <w14:solidFill>
              <w14:schemeClr w14:val="tx1"/>
            </w14:solidFill>
          </w14:textFill>
        </w:rPr>
        <w:t>乙 方：</w:t>
      </w:r>
      <w:r>
        <w:rPr>
          <w:rFonts w:hint="default" w:ascii="Times New Roman" w:hAnsi="Times New Roman" w:eastAsia="方正仿宋_GBK" w:cs="Times New Roman"/>
          <w:color w:val="000000" w:themeColor="text1"/>
          <w:kern w:val="0"/>
          <w:sz w:val="28"/>
          <w:szCs w:val="28"/>
          <w:highlight w:val="none"/>
          <w:u w:val="single"/>
          <w14:textFill>
            <w14:solidFill>
              <w14:schemeClr w14:val="tx1"/>
            </w14:solidFill>
          </w14:textFill>
        </w:rPr>
        <w:t xml:space="preserve">        </w:t>
      </w:r>
      <w:r>
        <w:rPr>
          <w:rFonts w:hint="eastAsia" w:ascii="Times New Roman" w:hAnsi="Times New Roman" w:eastAsia="方正仿宋_GBK" w:cs="Times New Roman"/>
          <w:color w:val="000000" w:themeColor="text1"/>
          <w:kern w:val="0"/>
          <w:sz w:val="28"/>
          <w:szCs w:val="28"/>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8"/>
          <w:szCs w:val="28"/>
          <w:highlight w:val="none"/>
          <w:u w:val="single"/>
          <w14:textFill>
            <w14:solidFill>
              <w14:schemeClr w14:val="tx1"/>
            </w14:solidFill>
          </w14:textFill>
        </w:rPr>
        <w:t xml:space="preserve">       </w:t>
      </w:r>
      <w:r>
        <w:rPr>
          <w:rFonts w:hint="eastAsia" w:ascii="Times New Roman" w:hAnsi="Times New Roman" w:eastAsia="方正仿宋_GBK" w:cs="Times New Roman"/>
          <w:color w:val="000000" w:themeColor="text1"/>
          <w:kern w:val="0"/>
          <w:sz w:val="28"/>
          <w:szCs w:val="28"/>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8"/>
          <w:szCs w:val="28"/>
          <w:highlight w:val="none"/>
          <w:u w:val="single"/>
          <w14:textFill>
            <w14:solidFill>
              <w14:schemeClr w14:val="tx1"/>
            </w14:solidFill>
          </w14:textFill>
        </w:rPr>
        <w:t xml:space="preserve">         </w:t>
      </w:r>
    </w:p>
    <w:p>
      <w:pPr>
        <w:spacing w:line="360" w:lineRule="auto"/>
        <w:rPr>
          <w:rFonts w:hint="default" w:ascii="Times New Roman" w:hAnsi="Times New Roman" w:eastAsia="方正仿宋_GBK" w:cs="Times New Roman"/>
          <w:b/>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color w:val="000000" w:themeColor="text1"/>
          <w:sz w:val="28"/>
          <w:szCs w:val="28"/>
          <w:highlight w:val="none"/>
          <w14:textFill>
            <w14:solidFill>
              <w14:schemeClr w14:val="tx1"/>
            </w14:solidFill>
          </w14:textFill>
        </w:rPr>
        <w:t>地 址：</w:t>
      </w:r>
      <w:r>
        <w:rPr>
          <w:rFonts w:hint="default" w:ascii="Times New Roman" w:hAnsi="Times New Roman" w:eastAsia="方正仿宋_GBK" w:cs="Times New Roman"/>
          <w:color w:val="000000" w:themeColor="text1"/>
          <w:kern w:val="0"/>
          <w:sz w:val="28"/>
          <w:szCs w:val="28"/>
          <w:highlight w:val="none"/>
          <w:u w:val="single"/>
          <w14:textFill>
            <w14:solidFill>
              <w14:schemeClr w14:val="tx1"/>
            </w14:solidFill>
          </w14:textFill>
        </w:rPr>
        <w:t xml:space="preserve">         </w:t>
      </w:r>
      <w:r>
        <w:rPr>
          <w:rFonts w:hint="eastAsia" w:ascii="Times New Roman" w:hAnsi="Times New Roman" w:eastAsia="方正仿宋_GBK" w:cs="Times New Roman"/>
          <w:color w:val="000000" w:themeColor="text1"/>
          <w:kern w:val="0"/>
          <w:sz w:val="28"/>
          <w:szCs w:val="28"/>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8"/>
          <w:szCs w:val="28"/>
          <w:highlight w:val="none"/>
          <w:u w:val="single"/>
          <w14:textFill>
            <w14:solidFill>
              <w14:schemeClr w14:val="tx1"/>
            </w14:solidFill>
          </w14:textFill>
        </w:rPr>
        <w:t xml:space="preserve">      </w:t>
      </w:r>
      <w:r>
        <w:rPr>
          <w:rFonts w:hint="eastAsia" w:ascii="Times New Roman" w:hAnsi="Times New Roman" w:eastAsia="方正仿宋_GBK" w:cs="Times New Roman"/>
          <w:color w:val="000000" w:themeColor="text1"/>
          <w:kern w:val="0"/>
          <w:sz w:val="28"/>
          <w:szCs w:val="28"/>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8"/>
          <w:szCs w:val="28"/>
          <w:highlight w:val="none"/>
          <w:u w:val="single"/>
          <w14:textFill>
            <w14:solidFill>
              <w14:schemeClr w14:val="tx1"/>
            </w14:solidFill>
          </w14:textFill>
        </w:rPr>
        <w:t xml:space="preserve">         </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根据《中华人民共和国民法典》等有关法律法规的规定，</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甲乙双方</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在公平、自愿、平等的基础上，就</w:t>
      </w:r>
      <w:r>
        <w:rPr>
          <w:rFonts w:hint="default" w:ascii="Times New Roman" w:hAnsi="Times New Roman" w:eastAsia="方正仿宋_GBK" w:cs="Times New Roman"/>
          <w:color w:val="000000" w:themeColor="text1"/>
          <w:sz w:val="28"/>
          <w:szCs w:val="28"/>
          <w:highlight w:val="none"/>
          <w:u w:val="single"/>
          <w:lang w:eastAsia="zh-CN"/>
          <w14:textFill>
            <w14:solidFill>
              <w14:schemeClr w14:val="tx1"/>
            </w14:solidFill>
          </w14:textFill>
        </w:rPr>
        <w:t>2024年度</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轨道</w:t>
      </w:r>
      <w:r>
        <w:rPr>
          <w:rFonts w:hint="default" w:ascii="Times New Roman" w:hAnsi="Times New Roman" w:eastAsia="方正仿宋_GBK" w:cs="Times New Roman"/>
          <w:color w:val="000000" w:themeColor="text1"/>
          <w:sz w:val="28"/>
          <w:szCs w:val="28"/>
          <w:highlight w:val="none"/>
          <w:u w:val="single"/>
          <w:lang w:eastAsia="zh-CN"/>
          <w14:textFill>
            <w14:solidFill>
              <w14:schemeClr w14:val="tx1"/>
            </w14:solidFill>
          </w14:textFill>
        </w:rPr>
        <w:t>2号线</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轨行区清掏冲洗、</w:t>
      </w:r>
      <w:r>
        <w:rPr>
          <w:rFonts w:hint="default" w:ascii="Times New Roman" w:hAnsi="Times New Roman" w:eastAsia="方正仿宋_GBK" w:cs="Times New Roman"/>
          <w:color w:val="000000" w:themeColor="text1"/>
          <w:sz w:val="28"/>
          <w:szCs w:val="28"/>
          <w:highlight w:val="none"/>
          <w:u w:val="single"/>
          <w:lang w:eastAsia="zh-CN"/>
          <w14:textFill>
            <w14:solidFill>
              <w14:schemeClr w14:val="tx1"/>
            </w14:solidFill>
          </w14:textFill>
        </w:rPr>
        <w:t>外墙清洗</w:t>
      </w:r>
      <w:r>
        <w:rPr>
          <w:rFonts w:hint="default" w:ascii="Times New Roman" w:hAnsi="Times New Roman" w:eastAsia="方正仿宋_GBK" w:cs="Times New Roman"/>
          <w:color w:val="000000" w:themeColor="text1"/>
          <w:sz w:val="28"/>
          <w:szCs w:val="28"/>
          <w:highlight w:val="none"/>
          <w:u w:val="single"/>
          <w:lang w:val="en-US" w:eastAsia="zh-CN"/>
          <w14:textFill>
            <w14:solidFill>
              <w14:schemeClr w14:val="tx1"/>
            </w14:solidFill>
          </w14:textFill>
        </w:rPr>
        <w:t>和</w:t>
      </w:r>
      <w:r>
        <w:rPr>
          <w:rFonts w:hint="default" w:ascii="Times New Roman" w:hAnsi="Times New Roman" w:eastAsia="方正仿宋_GBK" w:cs="Times New Roman"/>
          <w:color w:val="000000" w:themeColor="text1"/>
          <w:sz w:val="28"/>
          <w:szCs w:val="28"/>
          <w:highlight w:val="none"/>
          <w:u w:val="single"/>
          <w:lang w:eastAsia="zh-CN"/>
          <w14:textFill>
            <w14:solidFill>
              <w14:schemeClr w14:val="tx1"/>
            </w14:solidFill>
          </w14:textFill>
        </w:rPr>
        <w:t>沟渠池</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清掏服务</w:t>
      </w:r>
      <w:r>
        <w:rPr>
          <w:rFonts w:hint="default" w:ascii="Times New Roman" w:hAnsi="Times New Roman" w:eastAsia="方正仿宋_GBK" w:cs="Times New Roman"/>
          <w:color w:val="000000" w:themeColor="text1"/>
          <w:sz w:val="28"/>
          <w:szCs w:val="28"/>
          <w:highlight w:val="none"/>
          <w:u w:val="none"/>
          <w14:textFill>
            <w14:solidFill>
              <w14:schemeClr w14:val="tx1"/>
            </w14:solidFill>
          </w14:textFill>
        </w:rPr>
        <w:t>友</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好协商，</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达成如下共识，以资信守。</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第一条 服务范围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轨道</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2号线</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车站沿线轨行区清掏冲洗、</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外墙清洗</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和</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沟渠池</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清掏服务。</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第二条 服务内容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1、轨行区清掏冲洗：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负责轨道2号线沿线区间隧道（上下行，含辅助线、出入段线）内水沟、隧道底面及底面以上1米范围隧道壁、高架区段（道岔桥）的冲洗；沿线隧道及高架道岔桥排水沟、排水暗沟、排水管、落水管等排水设施的清掏、疏通、清掏物的清扫、人工转运（转运距离平均约1公里）；区间隧道排水设施清掏物通过装袋后，需10t的渣车二次转运至符合规定的渣场处理；排水暗沟及暗管疏通；区间轨行区路基段清洁卫生及杂草清除；区间雨棚及防抛网清洁卫生；区间边坡挡墙清洁卫生及杂草清除；区间垃圾二次转运及处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2、外墙清洗：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负责轨道2号线21个站点（黄花园、大溪沟、曾家岩、牛角沱、李子坝、佛图关（含手印墙、钟楼）、袁家岗、谢家湾、杨家坪、动物园、大堰村、马王场、平安、大渡口、新山村、天堂堡、建桥、金家湾、刘家坝、白居寺、大江）和3栋变电所（龙家湾主变电所、动物园主变电所、袁家岗外挂所）进出口的雨棚（内外侧及钢架结构）、外墙（包含玻璃幕墙、漆面墙体、顶墙等）、室外直升电梯外侧表面、车站站名牌和</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屋顶排水沟清掏</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3、沟渠池清掏：</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负责轨道2 号线 24 个站点（较场口至大江）沿线车站、变电所生化池、污水（井）处理池、废水池、排水沟、隔油池、集水坑、车站泵房</w:t>
      </w:r>
      <w:r>
        <w:rPr>
          <w:rFonts w:hint="eastAsia"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等清</w:t>
      </w: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掏抽排</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（含垃圾转运处置）</w:t>
      </w: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和增加的</w:t>
      </w:r>
      <w:r>
        <w:rPr>
          <w:rFonts w:hint="eastAsia"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其他</w:t>
      </w: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临时清掏抽排工作，如下：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（1）承担清掏工作涉及的揭板、清掏、管道进出口疏通及清</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掏物的外运弃倒和盖板复原等，所有的人员、机具、车辆运输、二次转运、污水处理等均应按照相关规定自行组织予以实施，作业中必须做好防毒安全措施，人员下池必须检测沼气浓度。在作业中应加强通风、防毒，防止人员中毒，按时、按量、按要求完成清掏、疏通、检查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（2）临时性清掏包含：①沉积物超过进粪口；②有毒有害气体检测超标（气体检测仪报警）；③过粪孔堵塞；④化粪池泄漏；⑤隔油池堵塞或满溢；⑥其他需要安排临时清掏的情况。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4、作业量和作业频次</w:t>
      </w:r>
    </w:p>
    <w:tbl>
      <w:tblPr>
        <w:tblStyle w:val="10"/>
        <w:tblW w:w="9016" w:type="dxa"/>
        <w:tblInd w:w="52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16"/>
        <w:gridCol w:w="2217"/>
        <w:gridCol w:w="2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7"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服务内容</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作业量</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作业频次</w:t>
            </w: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次/年</w:t>
            </w:r>
            <w:r>
              <w:rPr>
                <w:rFonts w:hint="eastAsia"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90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1.轨行区清掏冲洗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隧道冲洗</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40800.00</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隧道排水沟清掏</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9920.00m</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垃圾清运</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25.00</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车</w:t>
            </w:r>
            <w:r>
              <w:rPr>
                <w:rFonts w:hint="default" w:ascii="Times New Roman" w:hAnsi="Times New Roman" w:eastAsia="宋体" w:cs="Times New Roman"/>
                <w:i w:val="0"/>
                <w:iCs w:val="0"/>
                <w:color w:val="000000" w:themeColor="text1"/>
                <w:kern w:val="0"/>
                <w:sz w:val="18"/>
                <w:szCs w:val="18"/>
                <w:highlight w:val="none"/>
                <w:u w:val="none"/>
                <w:lang w:val="en-US" w:eastAsia="zh-CN" w:bidi="ar"/>
                <w14:textFill>
                  <w14:solidFill>
                    <w14:schemeClr w14:val="tx1"/>
                  </w14:solidFill>
                </w14:textFill>
              </w:rPr>
              <w:t>（</w:t>
            </w:r>
            <w:r>
              <w:rPr>
                <w:rFonts w:hint="default" w:ascii="Times New Roman" w:hAnsi="Times New Roman" w:eastAsia="方正仿宋_GBK" w:cs="Times New Roman"/>
                <w:i w:val="0"/>
                <w:iCs w:val="0"/>
                <w:color w:val="000000" w:themeColor="text1"/>
                <w:kern w:val="0"/>
                <w:sz w:val="18"/>
                <w:szCs w:val="18"/>
                <w:highlight w:val="none"/>
                <w:u w:val="none"/>
                <w:lang w:val="en-US" w:eastAsia="zh-CN" w:bidi="ar"/>
                <w14:textFill>
                  <w14:solidFill>
                    <w14:schemeClr w14:val="tx1"/>
                  </w14:solidFill>
                </w14:textFill>
              </w:rPr>
              <w:t>t</w:t>
            </w:r>
            <w:r>
              <w:rPr>
                <w:rFonts w:hint="default" w:ascii="Times New Roman" w:hAnsi="Times New Roman" w:eastAsia="宋体" w:cs="Times New Roman"/>
                <w:i w:val="0"/>
                <w:iCs w:val="0"/>
                <w:color w:val="000000" w:themeColor="text1"/>
                <w:kern w:val="0"/>
                <w:sz w:val="18"/>
                <w:szCs w:val="18"/>
                <w:highlight w:val="none"/>
                <w:u w:val="none"/>
                <w:lang w:val="en-US" w:eastAsia="zh-CN" w:bidi="ar"/>
                <w14:textFill>
                  <w14:solidFill>
                    <w14:schemeClr w14:val="tx1"/>
                  </w14:solidFill>
                </w14:textFill>
              </w:rPr>
              <w:t>）</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道岔桥清洁</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5535.00</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区间轨行区路基段清洁卫生及杂草清除</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20000.00</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雨棚及区间防抛网</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3000.00</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边坡、挡墙清洁卫生及杂草清除</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1000.00</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90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2.外墙清洗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变电所外墙</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（含屋顶排水沟清掏）</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4063.80</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车站外墙保洁</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（含屋顶排水沟清掏）</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91616.60</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90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3.沟渠池清掏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3"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车站生化池清掏（除平安、大渡口、新山村站）</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1139.40</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m³</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车站生化池清掏（平安、大渡口、新山村站）</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609.76</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m³</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污水井清掏</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21.66</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m³</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隔油池清掏</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18.00</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m³</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 </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2312" w:cs="Times New Roman"/>
                <w:i w:val="0"/>
                <w:iCs w:val="0"/>
                <w:color w:val="000000" w:themeColor="text1"/>
                <w:kern w:val="0"/>
                <w:sz w:val="22"/>
                <w:szCs w:val="22"/>
                <w:highlight w:val="none"/>
                <w:u w:val="none"/>
                <w:lang w:val="en-US" w:eastAsia="zh-CN" w:bidi="ar"/>
                <w14:textFill>
                  <w14:solidFill>
                    <w14:schemeClr w14:val="tx1"/>
                  </w14:solidFill>
                </w14:textFill>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车站、区间废水池</w:t>
            </w: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清</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掏</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55.32</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m³</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2312" w:cs="Times New Roman"/>
                <w:i w:val="0"/>
                <w:iCs w:val="0"/>
                <w:color w:val="000000" w:themeColor="text1"/>
                <w:kern w:val="0"/>
                <w:sz w:val="22"/>
                <w:szCs w:val="22"/>
                <w:highlight w:val="none"/>
                <w:u w:val="none"/>
                <w:lang w:val="en-US" w:eastAsia="zh-CN" w:bidi="ar"/>
                <w14:textFill>
                  <w14:solidFill>
                    <w14:schemeClr w14:val="tx1"/>
                  </w14:solidFill>
                </w14:textFill>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车站集水井（池）</w:t>
            </w: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清</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掏</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253.20</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m³</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2312" w:cs="Times New Roman"/>
                <w:i w:val="0"/>
                <w:iCs w:val="0"/>
                <w:color w:val="000000" w:themeColor="text1"/>
                <w:kern w:val="0"/>
                <w:sz w:val="22"/>
                <w:szCs w:val="22"/>
                <w:highlight w:val="none"/>
                <w:u w:val="none"/>
                <w:lang w:val="en-US" w:eastAsia="zh-CN" w:bidi="ar"/>
                <w14:textFill>
                  <w14:solidFill>
                    <w14:schemeClr w14:val="tx1"/>
                  </w14:solidFill>
                </w14:textFill>
              </w:rPr>
              <w:t xml:space="preserve">1 </w:t>
            </w:r>
          </w:p>
        </w:tc>
      </w:tr>
    </w:tbl>
    <w:p>
      <w:pPr>
        <w:pStyle w:val="2"/>
        <w:spacing w:before="0" w:after="0" w:line="440" w:lineRule="exact"/>
        <w:ind w:firstLine="560" w:firstLineChars="200"/>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备注：</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表格中作业量和作业频次均为预估，实际作业量和作业频次以现场实际需求为准。）</w:t>
      </w:r>
    </w:p>
    <w:p>
      <w:pPr>
        <w:spacing w:line="560" w:lineRule="exact"/>
        <w:ind w:firstLine="562" w:firstLineChars="200"/>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第三条 服务要求</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1、乙方作业后质量应满足</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以下</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要求</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轨行区清掏冲洗要求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①车站、隧道</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排水沟</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和隧道洞口截水沟</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清掏</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要求</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：确保线路设施设备处于完好技术状态；排水沟横截沟不应有大块硬物、塑料制品，泥沙或钙化物淤积厚度不高于</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厘米，排水正常无堵塞现象。</w:t>
      </w:r>
    </w:p>
    <w:p>
      <w:pPr>
        <w:pStyle w:val="4"/>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t>②区间隧道泵房清掏要求</w:t>
      </w:r>
      <w:r>
        <w:rPr>
          <w:rFonts w:hint="eastAsia" w:eastAsia="方正仿宋_GBK" w:cs="Times New Roman"/>
          <w:color w:val="000000" w:themeColor="text1"/>
          <w:kern w:val="2"/>
          <w:sz w:val="28"/>
          <w:szCs w:val="28"/>
          <w:highlight w:val="none"/>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t>泵房内无淤泥、泥沙和大块硬物，排水正常无堵塞。</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t>③轨行区垃圾清扫及清运要求：</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清扫后的区域无明显垃圾</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和</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易燃物</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不得因垃圾堆积出现火情、异味等情况，影响车站的正常运营及甲方的对外形象</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清掏出的垃圾用编织袋装好封口，及时将编织袋转移至</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甲方指定的</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安全区域堆放，采取措施对编织袋进行固定，确保堆放后的编织袋不影响列车的正常运行</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t>④</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隧道冲洗</w:t>
      </w:r>
      <w:r>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t>要求</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：将道床内灰尘、淤泥、石子冲洗干净，不得残留任何杂物；冲洗完成后保证隧道壁无明显污渍，列车通行时无明显扬尘。</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⑤</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清掏</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物（垃圾）</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二次转运</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及处置要求：</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隧道内堆放的清掏垃圾不得超过1个月，清掏</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的</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垃圾</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采用10吨级大型渣车（由乙方自行提供）转运至专门的垃圾处置场地（由乙方自行确定），转运处置费用为包干费用。</w:t>
      </w:r>
    </w:p>
    <w:p>
      <w:pPr>
        <w:pStyle w:val="4"/>
        <w:keepNext w:val="0"/>
        <w:keepLines w:val="0"/>
        <w:pageBreakBefore w:val="0"/>
        <w:numPr>
          <w:ilvl w:val="0"/>
          <w:numId w:val="10"/>
        </w:numPr>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t>外墙清洗要求</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表面清洁明亮、无污垢、无浮尘、无水渍和无印迹。</w:t>
      </w:r>
    </w:p>
    <w:p>
      <w:pPr>
        <w:keepNext w:val="0"/>
        <w:keepLines w:val="0"/>
        <w:pageBreakBefore w:val="0"/>
        <w:widowControl/>
        <w:numPr>
          <w:ilvl w:val="0"/>
          <w:numId w:val="10"/>
        </w:numPr>
        <w:suppressLineNumbers w:val="0"/>
        <w:kinsoku/>
        <w:overflowPunct/>
        <w:topLinePunct w:val="0"/>
        <w:autoSpaceDE/>
        <w:autoSpaceDN/>
        <w:bidi w:val="0"/>
        <w:adjustRightInd/>
        <w:snapToGrid/>
        <w:spacing w:line="560" w:lineRule="exact"/>
        <w:ind w:left="0" w:leftChars="0" w:firstLine="560" w:firstLineChars="200"/>
        <w:jc w:val="left"/>
        <w:textAlignment w:val="auto"/>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t>沟渠池清掏要求</w:t>
      </w:r>
    </w:p>
    <w:p>
      <w:pPr>
        <w:keepNext w:val="0"/>
        <w:keepLines w:val="0"/>
        <w:pageBreakBefore w:val="0"/>
        <w:widowControl/>
        <w:numPr>
          <w:ilvl w:val="0"/>
          <w:numId w:val="0"/>
        </w:numPr>
        <w:suppressLineNumbers w:val="0"/>
        <w:kinsoku/>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t>作业中必须做好防毒安全措施，人员下池必须检测沼气浓度。在作业中应加强 通风、防毒，防止人员中毒，按要求完成清掏、疏通、检查等工作。</w:t>
      </w:r>
    </w:p>
    <w:p>
      <w:pPr>
        <w:pageBreakBefore w:val="0"/>
        <w:widowControl w:val="0"/>
        <w:numPr>
          <w:ilvl w:val="0"/>
          <w:numId w:val="11"/>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乙方</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按要求完成轨行区清掏冲洗、</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外墙清洗</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和</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沟渠池</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清掏</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和参与</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排水设施相关的应急抢险</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的</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工作</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工作期间所有的作业</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人员、</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作业</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机具、车辆运输、二次转运</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污水处理</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事项均由乙方组织，作业中必须做好安全防护措施。</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3、乙方作业时应遵守甲方的相关规定，不得影响轨道交通的正常运营，工作完成后及时清理现场，确保作业现场的清洁卫生。</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4、乙方应于作业完成后提供完善的验收报告，甲方在验收单据上签字确认；作业中必须做好安全防护措施，应按要求完成合同约定工作，作业过程中应严格按照甲方的相关规定执行，不得影响甲方的正常运营及生产秩序。</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5、乙方现场高空作业人员年龄不超50岁且持相应上岗证件。如现场工作需要验电接地，乙方工作人员需采取安全防护措施（包括绝缘鞋、绝缘手套、验电设备）且持有电工证。</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第四条 服务期限</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从2024年</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月1日起至2024年12月31日止</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开始时间</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以</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实际</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通知为准</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本项目采取1+1模式，2024年12月31日合同到期后，经评估合格可另行签订补充协议，合同延续一年至2025年12月31日。</w:t>
      </w:r>
    </w:p>
    <w:p>
      <w:pPr>
        <w:pageBreakBefore w:val="0"/>
        <w:widowControl w:val="0"/>
        <w:numPr>
          <w:ilvl w:val="0"/>
          <w:numId w:val="12"/>
        </w:numPr>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服务费用及支付方式</w:t>
      </w:r>
    </w:p>
    <w:p>
      <w:pPr>
        <w:pStyle w:val="4"/>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1、服务费用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（1）单价：</w:t>
      </w:r>
    </w:p>
    <w:tbl>
      <w:tblPr>
        <w:tblStyle w:val="10"/>
        <w:tblW w:w="980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51"/>
        <w:gridCol w:w="1650"/>
        <w:gridCol w:w="1833"/>
        <w:gridCol w:w="1250"/>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7" w:hRule="atLeas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服务内容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作业量</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不含税单价</w:t>
            </w: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（元）</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作业频次</w:t>
            </w: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次/年</w:t>
            </w:r>
            <w:r>
              <w:rPr>
                <w:rFonts w:hint="eastAsia"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不含税总价</w:t>
            </w: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98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1.轨行区清掏冲洗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隧道冲洗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40800.00</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隧道排水沟清掏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9920.00m</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垃圾清运</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25.00</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车</w:t>
            </w:r>
            <w:r>
              <w:rPr>
                <w:rFonts w:hint="default" w:ascii="Times New Roman" w:hAnsi="Times New Roman" w:eastAsia="宋体" w:cs="Times New Roman"/>
                <w:i w:val="0"/>
                <w:iCs w:val="0"/>
                <w:color w:val="000000" w:themeColor="text1"/>
                <w:kern w:val="0"/>
                <w:sz w:val="18"/>
                <w:szCs w:val="18"/>
                <w:highlight w:val="none"/>
                <w:u w:val="none"/>
                <w:lang w:val="en-US" w:eastAsia="zh-CN" w:bidi="ar"/>
                <w14:textFill>
                  <w14:solidFill>
                    <w14:schemeClr w14:val="tx1"/>
                  </w14:solidFill>
                </w14:textFill>
              </w:rPr>
              <w:t>（</w:t>
            </w:r>
            <w:r>
              <w:rPr>
                <w:rFonts w:hint="default" w:ascii="Times New Roman" w:hAnsi="Times New Roman" w:eastAsia="方正仿宋_GBK" w:cs="Times New Roman"/>
                <w:i w:val="0"/>
                <w:iCs w:val="0"/>
                <w:color w:val="000000" w:themeColor="text1"/>
                <w:kern w:val="0"/>
                <w:sz w:val="18"/>
                <w:szCs w:val="18"/>
                <w:highlight w:val="none"/>
                <w:u w:val="none"/>
                <w:lang w:val="en-US" w:eastAsia="zh-CN" w:bidi="ar"/>
                <w14:textFill>
                  <w14:solidFill>
                    <w14:schemeClr w14:val="tx1"/>
                  </w14:solidFill>
                </w14:textFill>
              </w:rPr>
              <w:t>t</w:t>
            </w:r>
            <w:r>
              <w:rPr>
                <w:rFonts w:hint="default" w:ascii="Times New Roman" w:hAnsi="Times New Roman" w:eastAsia="宋体" w:cs="Times New Roman"/>
                <w:i w:val="0"/>
                <w:iCs w:val="0"/>
                <w:color w:val="000000" w:themeColor="text1"/>
                <w:kern w:val="0"/>
                <w:sz w:val="18"/>
                <w:szCs w:val="18"/>
                <w:highlight w:val="none"/>
                <w:u w:val="none"/>
                <w:lang w:val="en-US" w:eastAsia="zh-CN" w:bidi="ar"/>
                <w14:textFill>
                  <w14:solidFill>
                    <w14:schemeClr w14:val="tx1"/>
                  </w14:solidFill>
                </w14:textFill>
              </w:rPr>
              <w:t>）</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道岔桥清洁</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5535.00</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1"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区间轨行区路基段清洁卫生及杂草清除</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20000.00</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雨棚及区间防抛网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3000.00</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边坡、挡墙清洁卫生及杂草清除</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1000.00</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exact"/>
        </w:trPr>
        <w:tc>
          <w:tcPr>
            <w:tcW w:w="98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2.外墙清洗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变电所外墙</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（含屋顶排水沟清掏）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4063.80</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车站外墙保洁</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（含屋顶排水沟清掏）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91616.60</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98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3.沟渠池清掏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车站生化池清掏（除平安、大渡口、新山村站）</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1139.40</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m³</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车站生化池清掏（平安、大渡口、新山村站）</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609.76</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m³</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污水井清掏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21.66</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m³</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隔油池清掏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18.00</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m³</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 </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车站、区间废水池</w:t>
            </w: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清</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55.32</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m³</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车站集水井（池）</w:t>
            </w: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清</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253.20</w:t>
            </w:r>
            <w:r>
              <w:rPr>
                <w:rStyle w:val="15"/>
                <w:rFonts w:hint="default" w:ascii="Times New Roman" w:hAnsi="Times New Roman" w:cs="Times New Roman"/>
                <w:color w:val="000000" w:themeColor="text1"/>
                <w:highlight w:val="none"/>
                <w:lang w:val="en-US" w:eastAsia="zh-CN" w:bidi="ar"/>
                <w14:textFill>
                  <w14:solidFill>
                    <w14:schemeClr w14:val="tx1"/>
                  </w14:solidFill>
                </w14:textFill>
              </w:rPr>
              <w:t>m³</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bl>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（2）暂定合同</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不含税总价</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元</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，（大写：人民币</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元</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（3）暂定合同含</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税总价：</w:t>
      </w:r>
      <w:r>
        <w:rPr>
          <w:rFonts w:hint="default" w:ascii="Times New Roman" w:hAnsi="Times New Roman" w:eastAsia="方正仿宋_GBK" w:cs="Times New Roman"/>
          <w:b w:val="0"/>
          <w:bCs w:val="0"/>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元</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，（大写：人民币</w:t>
      </w:r>
      <w:r>
        <w:rPr>
          <w:rFonts w:hint="default" w:ascii="Times New Roman" w:hAnsi="Times New Roman" w:eastAsia="方正仿宋_GBK" w:cs="Times New Roman"/>
          <w:b w:val="0"/>
          <w:bCs w:val="0"/>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元</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需开具</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增值税专用发票，</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税率为</w:t>
      </w:r>
      <w:r>
        <w:rPr>
          <w:rFonts w:hint="default" w:ascii="Times New Roman" w:hAnsi="Times New Roman" w:eastAsia="方正仿宋_GBK"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备注：①表格中作业量和作业频次均为预估，实际作业量和作业频次以现场实际需求为准。②表格中不含税单价须保留至小数点后4位；表格中单项不含税总价=作业量*单项不含税单价*作业频次，且须保留至小数点后2位；表格下方的暂定不含税总价为表格中单项不含税总价的累计数值，且须保留至小数点后2位；表格下方的暂定含税总价=暂定不含税总价*（1+税率），且须保留至小数点后2位；小数点后无数字时填写0。】</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 2、</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付款方式：</w:t>
      </w: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按季考核，按季支付。</w:t>
      </w:r>
      <w:r>
        <w:rPr>
          <w:rFonts w:hint="default" w:ascii="Times New Roman" w:hAnsi="Times New Roman" w:eastAsia="方正仿宋_GBK" w:cs="Times New Roman"/>
          <w:b/>
          <w:bCs/>
          <w:color w:val="000000" w:themeColor="text1"/>
          <w:kern w:val="2"/>
          <w:sz w:val="28"/>
          <w:szCs w:val="28"/>
          <w:highlight w:val="none"/>
          <w:lang w:val="en-US" w:eastAsia="zh-CN" w:bidi="ar-SA"/>
          <w14:textFill>
            <w14:solidFill>
              <w14:schemeClr w14:val="tx1"/>
            </w14:solidFill>
          </w14:textFill>
        </w:rPr>
        <w:t>季度付款金额=（各项服务不含税单价×季度实际作业量×季度实际作业频次）*（1+税率）-季度考核费用</w:t>
      </w: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本</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项目</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采用</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综合包干价</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包含但不限于人工费、</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社会保险及商业保险费、</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材料费、</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设备</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费、企业管理费、利润、风险费用、检测费、措施费、安全文明作业费、应急作业补偿费、水电费、材料涨价、垃圾清运费</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弃渣费、税</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费</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、不可预计未列出的风险等所有费用</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除此费用外，</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甲方</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无须再向</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乙方</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或任何第三方支付其他任何款项或费用。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5、甲方在每月5日前完成上月服务质量考核，并与乙方及时核对《供方服务月度评估报告》《实际作业量》《服务质量考核表》等相关结算资料并签字确认。乙方向甲方开具等额增值税专用发票，在收到发票之后20个工作日内，甲方向乙方支付费用。若乙方未提供增值税专用发票，甲方有权拒绝支付相应款项，且不承担违约责任。</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第六条 账户信息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、甲方开票信息及账户：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公司名称：</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重庆通邑智慧城市运营管理有限公司</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社会信用代码：</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915000003460632872</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银行账号：</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695138171</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开户银行：</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民生银行南坪支行</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公司地址及电话：</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重庆市南岸区腾龙大道58号，023-61751776</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、甲方可将本合同项下款项支付至乙方以下银行账户，乙方应对该收款账户的真实性、准确性及合法性负责：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公司名称：</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社会信用代码：</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银行账号：</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开户银行：</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公司地址及电话：</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p>
    <w:p>
      <w:pPr>
        <w:numPr>
          <w:ilvl w:val="0"/>
          <w:numId w:val="0"/>
        </w:numPr>
        <w:spacing w:line="560" w:lineRule="exact"/>
        <w:ind w:left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乙方如需变更该收款账户的，必须提前七个工作日书面通知甲方，否则产生的一切责任由乙方自行承担。</w:t>
      </w:r>
    </w:p>
    <w:p>
      <w:pPr>
        <w:numPr>
          <w:ilvl w:val="0"/>
          <w:numId w:val="0"/>
        </w:numPr>
        <w:spacing w:line="560" w:lineRule="exact"/>
        <w:ind w:leftChars="200"/>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lang w:val="en-US" w:eastAsia="zh-CN"/>
          <w14:textFill>
            <w14:solidFill>
              <w14:schemeClr w14:val="tx1"/>
            </w14:solidFill>
          </w14:textFill>
        </w:rPr>
        <w:t xml:space="preserve">第七条  </w:t>
      </w: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履约担保</w:t>
      </w:r>
    </w:p>
    <w:p>
      <w:pPr>
        <w:keepNext w:val="0"/>
        <w:keepLines w:val="0"/>
        <w:pageBreakBefore w:val="0"/>
        <w:widowControl w:val="0"/>
        <w:tabs>
          <w:tab w:val="left" w:pos="851"/>
        </w:tabs>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1、</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履约保证金</w:t>
      </w:r>
      <w:r>
        <w:rPr>
          <w:rFonts w:hint="default" w:ascii="Times New Roman" w:hAnsi="Times New Roman" w:eastAsia="方正仿宋_GBK" w:cs="Times New Roman"/>
          <w:b w:val="0"/>
          <w:bCs w:val="0"/>
          <w:color w:val="000000" w:themeColor="text1"/>
          <w:kern w:val="2"/>
          <w:sz w:val="28"/>
          <w:szCs w:val="28"/>
          <w:highlight w:val="none"/>
          <w:u w:val="single"/>
          <w:lang w:val="en-US" w:eastAsia="zh-CN" w:bidi="ar-SA"/>
          <w14:textFill>
            <w14:solidFill>
              <w14:schemeClr w14:val="tx1"/>
            </w14:solidFill>
          </w14:textFill>
        </w:rPr>
        <w:t>￥50000</w:t>
      </w: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元（大写：人民币伍万元整）。</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乙方的比选保证金直接转为履约保证金。甲方收到款项后开具等额的收款收据给乙方，该履约保证金由甲方无息保管。</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乙方逾期未支付的，视为乙方已以实际行为表明不再向甲方提供本合同项下的全部服务，甲方有权解除合同并将本合同项下全部服务发包给任何第三方，并且乙方应赔偿因此而给甲方造成的一切损失。</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2、</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乙方在服务过程中因违约产生违约金或给甲方造成损失的，甲方有权从履约保证金中扣除违约金及损失赔偿金，履约保证金不足以扣除的，</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乙方应按照甲方书面通知规定的时间及金额即时给付甲方。同时，乙方须于甲方发出通知之日起7天内一次性补足履约保证金，乙方逾期补足的，每逾期一日，乙方以逾期未补足金额0.5‰的标准向甲方支付滞纳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3、</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履约保证金在合同期满，</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且经甲方确认乙方无违约欠款或其他应付未付款项，甲方收到乙方的履约保证金缴纳收据原件后15个工作日内无息退还。</w:t>
      </w:r>
    </w:p>
    <w:p>
      <w:pPr>
        <w:spacing w:line="560" w:lineRule="exact"/>
        <w:ind w:firstLine="562" w:firstLineChars="200"/>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第八条 甲方权利义务</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1、如因轨道方原因</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导致</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无法开展现场作业，甲方不承担任何责任，由乙方自行承担前期准备工作的一切费用</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2、甲方有权要求乙方按</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现场作业计划时间段</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进行作业</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甲方有权督促乙方</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保质保量</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完成轨行区清掏冲洗、外墙清洗、</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沟渠池</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清掏等工作。</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3、甲方</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根据《</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服务质量检查评分表</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服务质量检查</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考核</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表</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》对乙方提供的服务质量进行检查评分和</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双重考核</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由双方确认人签字确认。</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、乙方未满足甲方规定的作业要求，经甲方提出整改，乙方拒绝整改或整改后乙方仍未达到作业要求时甲方有权终止协议不予支付相关费用。</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、甲方应当按合同要求支付约定的费用。</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6</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、甲方应将本方的相关规章制度告知乙方，有权要求乙方严格遵守，并不定时对乙方外墙清洗施工的工作人员进行安全、质量监督。</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7</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、每个项目甲方应选派一名主管环境的工作人员协助乙方开展工作，特别是做好甲方内部各部门之间的协调配合，监督乙方安全区域围挡工作；特殊材质遮挡、保护工作，草坪、绿化植物遮挡、保护工作。</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8</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、如果甲方因故欲更改、取消已商定的服务时间，甲方应提前24小时通知，并另行商定服务时间。</w:t>
      </w:r>
    </w:p>
    <w:p>
      <w:pPr>
        <w:spacing w:line="560" w:lineRule="exact"/>
        <w:ind w:firstLine="560" w:firstLineChars="200"/>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9、</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法律法规规定的其他权利与义务。</w:t>
      </w:r>
    </w:p>
    <w:p>
      <w:pPr>
        <w:spacing w:line="560" w:lineRule="exact"/>
        <w:ind w:firstLine="562" w:firstLineChars="200"/>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第九条 乙方权利义务</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1、乙方有权按合同要求收取本协议约定的费用。</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2、乙方应严格遵守甲方的规章制度安全作业（乙方相关安全制度、操作流程应提交甲方备案），确保乙方工作人员的安全，在作业过程中发生任何安全事故（包括但不限于乙方工作人员自身遭受损害，对第三方合法权益造成损害等）由乙方负责处理并自行承担相应责任，甲方不承担任何责任。</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3、乙方的清洗程序：根据现场情况，选择清洗器械、清洁剂种类、浓度、清洁方法；保护人员、设备</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和其他物品</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的安全。</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乙方应使用国家有关部门批准的化学清洁药剂，不得使用假冒或“三无”产品，并随时接受甲方的监督。</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、乙方在工作中，负责承担合同规定的作业内容，所有工作人员、机具、材料、车辆运输、二次转运等均由乙方自行组织予以实施。</w:t>
      </w:r>
    </w:p>
    <w:p>
      <w:pPr>
        <w:spacing w:line="560" w:lineRule="exact"/>
        <w:ind w:firstLine="560" w:firstLineChars="20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6</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根据轨道方作业计划，</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提前做好作业准备，</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按时达到现场开展作业且保质保量完成。乙方不得迟到、早退，且现场作业人员连续作业时长不超过8个小时。</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7</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、乙方在作业中必须接受甲方的检查</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乙方不得与轨道站方工作人员发生争吵、打架斗殴等恶意事件</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8</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、乙方在作业中必须做好周边环境的清洁工作，确保无污物遗留，作业完成后及时清理现场，确保作业现场的清洁卫生。</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9</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为甲方进行外墙清洗服务之前应将工作人员的身份证、高空作业证件、参保信息等资料交付给甲方核对。乙方隐瞒、伪造相关资料信息，一经发现，甲方有权解除合同，乙方因隐瞒、伪造相关资料信息导致乙方作业人员、第三方人身损害、财产损失的，由乙方承担全部赔偿责任，给甲方造成损失的，乙方应赔偿甲方损失。</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10</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、乙方在本合同服务期限内，应当免费为甲方相关人员组织高空作业培训，甲方应遵照培训内容予以必要的配合，使服务顺利实施。</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11</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将对其在本协议项下提供的现场操作（包括清洁剂和设施、设备、工具使用）、可能造成的人身伤亡或财产的损失，投保责任保险。保险不足赔偿部分或乙方未投保的，由乙方对相关损失进行赔偿，甲方无需承担任何责任。</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12</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、法律法规规定的其他权利与义务。</w:t>
      </w:r>
    </w:p>
    <w:p>
      <w:pPr>
        <w:spacing w:line="560" w:lineRule="exact"/>
        <w:ind w:firstLine="562" w:firstLineChars="200"/>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w:t>
      </w:r>
      <w:r>
        <w:rPr>
          <w:rFonts w:hint="default" w:ascii="Times New Roman" w:hAnsi="Times New Roman" w:eastAsia="方正仿宋_GBK" w:cs="Times New Roman"/>
          <w:b/>
          <w:bCs/>
          <w:color w:val="000000" w:themeColor="text1"/>
          <w:sz w:val="28"/>
          <w:szCs w:val="28"/>
          <w:highlight w:val="none"/>
          <w:lang w:val="en-US" w:eastAsia="zh-CN"/>
          <w14:textFill>
            <w14:solidFill>
              <w14:schemeClr w14:val="tx1"/>
            </w14:solidFill>
          </w14:textFill>
        </w:rPr>
        <w:t>十</w:t>
      </w: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条 违约责任</w:t>
      </w:r>
    </w:p>
    <w:p>
      <w:pPr>
        <w:spacing w:line="560" w:lineRule="exact"/>
        <w:ind w:firstLine="560" w:firstLineChars="200"/>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1、如发生因乙方本身及其所属员工失职、乙方劳务用工纠纷、乙方劳动争议、群体罢工等相关问题而造成重大事件或被新闻媒体曝光而造成较大社会负面影响事件的以及给甲方引起纠纷的，经甲方查证为乙方责任的</w:t>
      </w:r>
      <w:r>
        <w:rPr>
          <w:rFonts w:hint="eastAsia"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w:t>
      </w: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乙方应向甲方支付违约金1000—5000元/件，特别严重情形，甲方有权解除合同并向乙方要求支付违约金为</w:t>
      </w:r>
      <w:r>
        <w:rPr>
          <w:rFonts w:hint="default" w:ascii="Times New Roman" w:hAnsi="Times New Roman" w:eastAsia="方正仿宋_GBK" w:cs="Times New Roman"/>
          <w:b/>
          <w:bCs w:val="0"/>
          <w:color w:val="000000" w:themeColor="text1"/>
          <w:sz w:val="28"/>
          <w:szCs w:val="28"/>
          <w:highlight w:val="none"/>
          <w:lang w:val="en-US" w:eastAsia="zh-CN"/>
          <w14:textFill>
            <w14:solidFill>
              <w14:schemeClr w14:val="tx1"/>
            </w14:solidFill>
          </w14:textFill>
        </w:rPr>
        <w:t xml:space="preserve">合同总价的20%。 </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 xml:space="preserve">2、乙方发生重大安全责任事故，造成重大人员伤亡或重大财产损失的，乙方应负责处理并赔偿，并向甲方支付违约金5000元/件，特别严重情形，甲方有权解除合同。 </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 xml:space="preserve">3、乙方违反劳动法等国家法律法规，引起员工（个人或群体）上访事件的，乙方应向甲方支付违约金1000—5000元/件；拒不整改或整改不到位的，甲方有权解除合同。 </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4、乙方对有关涉及安全操作的工作，须提交工作计划明确安全保障措施，甲方检查发现乙方未按计划做好安全保障措施的，或者乙方因安全措施不到位发生安全事故的，乙方无条件接受甲方按1000—5000元/件处罚，乙方损失自负并赔偿甲方损失。</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5、若乙方未按本合同约定全面履行义务或履行义务不符合本合同约定或甲方要求，乙方向甲方支付1000-5000元违约金，同时，甲方有权要求乙方限期进行整改或解除本合同，对甲方造成的损失，乙方应承担赔偿责任。但本合同另有约定除外。</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6、乙方不得擅自将本合同涉及全部或部分服务委托、转包、分包或发包给第三方，一经发现，甲方有权解除本合同，没收履约保证金，并要求乙方支付20000元违约金，给甲方造成损失的，还应承担赔偿责任。</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7、乙方因违反合同规定造成投诉且导致甲方遭受经济损失的，甲方有权向乙方当月服务费中扣除相应经济损失的双倍金额，不足部分乙方须在收到甲方补交通知后3个工作日内补足。</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8、因乙方违约产生的违约金、赔偿金等，甲方有权从应付款项及履约保证金中予以扣除，不足以抵扣的，甲方有权就不足部分向乙方追偿。</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第十</w:t>
      </w:r>
      <w:r>
        <w:rPr>
          <w:rFonts w:hint="default" w:ascii="Times New Roman" w:hAnsi="Times New Roman" w:eastAsia="方正仿宋_GBK" w:cs="Times New Roman"/>
          <w:b/>
          <w:bCs w:val="0"/>
          <w:color w:val="000000" w:themeColor="text1"/>
          <w:sz w:val="28"/>
          <w:szCs w:val="28"/>
          <w:highlight w:val="none"/>
          <w:lang w:val="en-US" w:eastAsia="zh-CN"/>
          <w14:textFill>
            <w14:solidFill>
              <w14:schemeClr w14:val="tx1"/>
            </w14:solidFill>
          </w14:textFill>
        </w:rPr>
        <w:t>一</w:t>
      </w: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 xml:space="preserve">条 </w:t>
      </w:r>
      <w:r>
        <w:rPr>
          <w:rFonts w:hint="default" w:ascii="Times New Roman" w:hAnsi="Times New Roman" w:eastAsia="方正仿宋_GBK" w:cs="Times New Roman"/>
          <w:b/>
          <w:color w:val="000000" w:themeColor="text1"/>
          <w:sz w:val="28"/>
          <w:szCs w:val="28"/>
          <w:highlight w:val="none"/>
          <w14:textFill>
            <w14:solidFill>
              <w14:schemeClr w14:val="tx1"/>
            </w14:solidFill>
          </w14:textFill>
        </w:rPr>
        <w:t>合同解除与终止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1、因不可抗力致使不能实现合同目的，一方可在书面通知对方后，在合理期限内且不损害另一方利益下解除本合同。</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2、乙方提供的服务不能满足甲方正常需求的，甲方可解除本合同且不视为违约。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3、乙方违反本合同约定给甲方造成损失，或虽暂未造成损失，经甲方催告拒不改正的，甲方可解除本合同且不视为违约。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4、甲乙双方任何一方不得提前终止本合同，如提前终止本合同，违约方应按照本合同含税总价的</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20%</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向守约方支付违约金。</w:t>
      </w:r>
    </w:p>
    <w:p>
      <w:pPr>
        <w:spacing w:line="560" w:lineRule="exact"/>
        <w:ind w:firstLine="562" w:firstLineChars="200"/>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第十</w:t>
      </w:r>
      <w:r>
        <w:rPr>
          <w:rFonts w:hint="default" w:ascii="Times New Roman" w:hAnsi="Times New Roman" w:eastAsia="方正仿宋_GBK" w:cs="Times New Roman"/>
          <w:b/>
          <w:bCs w:val="0"/>
          <w:color w:val="000000" w:themeColor="text1"/>
          <w:sz w:val="28"/>
          <w:szCs w:val="28"/>
          <w:highlight w:val="none"/>
          <w:lang w:val="en-US" w:eastAsia="zh-CN"/>
          <w14:textFill>
            <w14:solidFill>
              <w14:schemeClr w14:val="tx1"/>
            </w14:solidFill>
          </w14:textFill>
        </w:rPr>
        <w:t>二</w:t>
      </w: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条 不可抗力</w:t>
      </w:r>
    </w:p>
    <w:p>
      <w:pPr>
        <w:pageBreakBefore w:val="0"/>
        <w:widowControl w:val="0"/>
        <w:kinsoku/>
        <w:wordWrap/>
        <w:overflowPunct/>
        <w:topLinePunct w:val="0"/>
        <w:autoSpaceDE/>
        <w:autoSpaceDN/>
        <w:bidi w:val="0"/>
        <w:adjustRightInd/>
        <w:snapToGrid/>
        <w:spacing w:line="560" w:lineRule="exact"/>
        <w:ind w:left="1"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 在本合同履行过程中，如出现不可抗力致使本合同无法继续履行时，甲、乙双方根据具体情况各自承担相应责任，</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其他事宜</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双方另行协商解决。如果不可抗力事件不影响合同继续履行的，双方应继续履行本合同。</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2、不可抗力事件，指双方不能预见、不能防范及不能避免的自然灾害（包括但不限于地震、地陷、海啸、台风、暴雨、水灾、疫情等）及非双方原因造成的意外事件（包括但不限于火灾、辐射、战争、动乱、骚乱、</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群体性事件</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、恐怖袭击、政府禁令、公共卫生事件等）。</w:t>
      </w:r>
    </w:p>
    <w:p>
      <w:pPr>
        <w:spacing w:line="560" w:lineRule="exact"/>
        <w:ind w:firstLine="562" w:firstLineChars="200"/>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第十</w:t>
      </w:r>
      <w:r>
        <w:rPr>
          <w:rFonts w:hint="default" w:ascii="Times New Roman" w:hAnsi="Times New Roman" w:eastAsia="方正仿宋_GBK" w:cs="Times New Roman"/>
          <w:b/>
          <w:bCs w:val="0"/>
          <w:color w:val="000000" w:themeColor="text1"/>
          <w:sz w:val="28"/>
          <w:szCs w:val="28"/>
          <w:highlight w:val="none"/>
          <w:lang w:val="en-US" w:eastAsia="zh-CN"/>
          <w14:textFill>
            <w14:solidFill>
              <w14:schemeClr w14:val="tx1"/>
            </w14:solidFill>
          </w14:textFill>
        </w:rPr>
        <w:t>三</w:t>
      </w: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条  反商业贿赂</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（一）基本定义</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1、本条所指的商业贿赂是指：乙方为获取与甲方（含甲方关联公司及机构，下文中“甲方”均指此范围）的合作及合作的利益，乙方或乙方工作人员给予甲方工作人员或其指定关系人的一切直接或间接的不正当利益。</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2、其中不正当利益是指：乙方或乙方工作人员以乙方或个人名义向甲方工作人员或其指定关系人直接或间接赠送礼金、物品、有价证券或采取其他变相手段提供不正当利益，包括但不限于：</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1）</w:t>
      </w:r>
      <w:r>
        <w:rPr>
          <w:rFonts w:hint="eastAsia" w:ascii="Times New Roman" w:hAnsi="Times New Roman" w:eastAsia="方正仿宋_GBK" w:cs="Times New Roman"/>
          <w:bCs/>
          <w:color w:val="000000" w:themeColor="text1"/>
          <w:sz w:val="28"/>
          <w:szCs w:val="28"/>
          <w:highlight w:val="none"/>
          <w:lang w:eastAsia="zh-CN"/>
          <w14:textFill>
            <w14:solidFill>
              <w14:schemeClr w14:val="tx1"/>
            </w14:solidFill>
          </w14:textFill>
        </w:rPr>
        <w:t>促消费</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、宣传费、赞助费、科研费、劳务费、咨询费、佣金或报销各种费用、含有金额的会员卡、代币卡（</w:t>
      </w:r>
      <w:r>
        <w:rPr>
          <w:rFonts w:hint="eastAsia" w:ascii="Times New Roman" w:hAnsi="Times New Roman" w:eastAsia="方正仿宋_GBK" w:cs="Times New Roman"/>
          <w:bCs/>
          <w:color w:val="000000" w:themeColor="text1"/>
          <w:sz w:val="28"/>
          <w:szCs w:val="28"/>
          <w:highlight w:val="none"/>
          <w:lang w:eastAsia="zh-CN"/>
          <w14:textFill>
            <w14:solidFill>
              <w14:schemeClr w14:val="tx1"/>
            </w14:solidFill>
          </w14:textFill>
        </w:rPr>
        <w:t>券</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）、旅游、考察、房屋装修等；</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2）借款、融资担保、商品赊销、回扣、购物折扣、置业、礼品（如纪念品、节日礼品等）、馈赠、娱乐、招待等；</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3）提供或介绍就业、就学、参股或参与经营机会等；</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4）通过分包、转包等形式对甲方工作人员或其指定关系人进行利益输送。</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（二）协助义务与违约责任</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1、乙方理解并同意，甲方任何工作人员、部门不得以任何名义向乙方或乙方工作人员索取或收受商业贿赂；乙方或乙方工作人员不得以任何名义向甲方工作人员或其指定关系人进行商业贿赂。</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2、乙方理解并同意，如违反约定向甲方工作人员或其指定关系人提供商业贿赂的，将构成乙方根本违约，无论是否造成损害结果，甲方有权采取下列一项或多项措施：1）立即解除双方签订的合作协议，终止合作；2）冻结应付款项、履约保证金等直至甲方相关案件调查结束，且无需承担任何违约责任；3）要求乙方向甲方支付5万元违约金或者支付所涉合同金额的20%作为违约金，以两者中较高者为准。同时，乙方应于甲方发现违约行为之日起5个工作日内支付违约金，如未及时支付，甲方有权从合同款项或履约保证金中直接扣除。</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3、对于乙方，无论是主动还是被动向甲方工作人员或其指定关系人提供商业贿赂的，如果主动向甲方进行投诉举报、提供有效证据或信息、协助甲方追究相关人员责任并挽回经济损失的，甲方将根据实际情形进行考量给予乙方继续合作的机会和/或减免上述违约责任，对于上述情形的处理甲方有完全的判断权和自主权。</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第十</w:t>
      </w:r>
      <w:r>
        <w:rPr>
          <w:rFonts w:hint="default" w:ascii="Times New Roman" w:hAnsi="Times New Roman" w:eastAsia="方正仿宋_GBK" w:cs="Times New Roman"/>
          <w:b/>
          <w:bCs w:val="0"/>
          <w:color w:val="000000" w:themeColor="text1"/>
          <w:sz w:val="28"/>
          <w:szCs w:val="28"/>
          <w:highlight w:val="none"/>
          <w:lang w:val="en-US" w:eastAsia="zh-CN"/>
          <w14:textFill>
            <w14:solidFill>
              <w14:schemeClr w14:val="tx1"/>
            </w14:solidFill>
          </w14:textFill>
        </w:rPr>
        <w:t>四</w:t>
      </w: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条 其他事项</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（一）甲乙双方可对本合同的条款进行补充，以书面形式签订补充协议。补充协议与本合同具有同等法律效力。</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（二）本合同之附件均为合同有效组成部分，具有同等效力。</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（三）甲乙</w: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双方在履行合同中产生争议，应协商解决，协</w: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drawing>
          <wp:anchor distT="0" distB="0" distL="114300" distR="114300" simplePos="0" relativeHeight="251668480" behindDoc="0" locked="0" layoutInCell="1" allowOverlap="0">
            <wp:simplePos x="0" y="0"/>
            <wp:positionH relativeFrom="page">
              <wp:posOffset>347345</wp:posOffset>
            </wp:positionH>
            <wp:positionV relativeFrom="page">
              <wp:posOffset>3279140</wp:posOffset>
            </wp:positionV>
            <wp:extent cx="8890" cy="4445"/>
            <wp:effectExtent l="0" t="0" r="0" b="0"/>
            <wp:wrapSquare wrapText="bothSides"/>
            <wp:docPr id="13" name="Picture 15577"/>
            <wp:cNvGraphicFramePr/>
            <a:graphic xmlns:a="http://schemas.openxmlformats.org/drawingml/2006/main">
              <a:graphicData uri="http://schemas.openxmlformats.org/drawingml/2006/picture">
                <pic:pic xmlns:pic="http://schemas.openxmlformats.org/drawingml/2006/picture">
                  <pic:nvPicPr>
                    <pic:cNvPr id="13" name="Picture 15577"/>
                    <pic:cNvPicPr/>
                  </pic:nvPicPr>
                  <pic:blipFill>
                    <a:blip r:embed="rId11"/>
                    <a:stretch>
                      <a:fillRect/>
                    </a:stretch>
                  </pic:blipFill>
                  <pic:spPr>
                    <a:xfrm>
                      <a:off x="0" y="0"/>
                      <a:ext cx="8890" cy="4445"/>
                    </a:xfrm>
                    <a:prstGeom prst="rect">
                      <a:avLst/>
                    </a:prstGeom>
                    <a:noFill/>
                    <a:ln>
                      <a:noFill/>
                    </a:ln>
                  </pic:spPr>
                </pic:pic>
              </a:graphicData>
            </a:graphic>
          </wp:anchor>
        </w:drawing>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商不能达成一致时，应向甲方所在地人民法院提起诉讼。因维权产生的律师费、调查费、公告催告费、诉讼费、保全费、执行费、差旅费、保全担保费等维权费用均由违约方承担。甲乙双方确认双方的工作联系往来文件、发生争议时人民法院送达法律文书除直接送达外，均可按照如下地址及方式送</w:t>
      </w:r>
      <w:r>
        <w:rPr>
          <w:rFonts w:hint="eastAsia" w:ascii="Times New Roman" w:hAnsi="Times New Roman" w:eastAsia="方正仿宋_GBK" w:cs="Times New Roman"/>
          <w:color w:val="000000" w:themeColor="text1"/>
          <w:kern w:val="0"/>
          <w:sz w:val="28"/>
          <w:szCs w:val="28"/>
          <w:highlight w:val="none"/>
          <w:lang w:eastAsia="zh-CN"/>
          <w14:textFill>
            <w14:solidFill>
              <w14:schemeClr w14:val="tx1"/>
            </w14:solidFill>
          </w14:textFill>
        </w:rPr>
        <w:t>达</w: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default" w:ascii="Times New Roman" w:hAnsi="Times New Roman" w:eastAsia="方正仿宋_GBK" w:cs="Times New Roman"/>
          <w:b/>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8"/>
          <w:szCs w:val="28"/>
          <w:highlight w:val="none"/>
          <w14:textFill>
            <w14:solidFill>
              <w14:schemeClr w14:val="tx1"/>
            </w14:solidFill>
          </w14:textFill>
        </w:rPr>
        <w:t>甲方</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联系人</w:t>
      </w:r>
      <w:r>
        <w:rPr>
          <w:rFonts w:hint="eastAsia" w:ascii="Times New Roman" w:hAnsi="Times New Roman" w:eastAsia="方正仿宋_GBK" w:cs="Times New Roman"/>
          <w:color w:val="000000" w:themeColor="text1"/>
          <w:kern w:val="0"/>
          <w:sz w:val="28"/>
          <w:szCs w:val="28"/>
          <w:highlight w:val="none"/>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联系电话：</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联系地址：</w:t>
      </w:r>
    </w:p>
    <w:p>
      <w:pPr>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default" w:ascii="Times New Roman" w:hAnsi="Times New Roman" w:eastAsia="方正仿宋_GBK" w:cs="Times New Roman"/>
          <w:b/>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8"/>
          <w:szCs w:val="28"/>
          <w:highlight w:val="none"/>
          <w14:textFill>
            <w14:solidFill>
              <w14:schemeClr w14:val="tx1"/>
            </w14:solidFill>
          </w14:textFill>
        </w:rPr>
        <w:t>乙方</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联系人：</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联系电话：</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联系地址：</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按照该地址送达的，视为当事人签收；受送达人拒收的，不影响送达效力。一方变更地址的应当提前三日书面通知对方，否则按照前述地址送达的视为有效送达。</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（四）本合同</w: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一式</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陆</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份，甲方执</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伍</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份，乙方执</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壹</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份，均具同等法律效力。</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（五）本合同经甲乙双方签字并加盖合同专用章生效。</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（六）</w:t>
      </w: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附件</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1</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：外委单位安全管理协议</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2</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w:t>
      </w: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实际作业量明细</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：服务质量检查评分表</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附件4：服务质量检查考核表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站点</w:t>
      </w: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作业清单</w:t>
      </w:r>
    </w:p>
    <w:p>
      <w:pPr>
        <w:pStyle w:val="4"/>
        <w:ind w:firstLine="630" w:firstLineChars="300"/>
        <w:rPr>
          <w:rFonts w:hint="default" w:ascii="Times New Roman" w:hAnsi="Times New Roman" w:cs="Times New Roman"/>
          <w:color w:val="000000" w:themeColor="text1"/>
          <w:highlight w:val="none"/>
          <w14:textFill>
            <w14:solidFill>
              <w14:schemeClr w14:val="tx1"/>
            </w14:solidFill>
          </w14:textFill>
        </w:rPr>
      </w:pPr>
    </w:p>
    <w:p>
      <w:pP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 xml:space="preserve"> </w:t>
      </w:r>
    </w:p>
    <w:p>
      <w:pPr>
        <w:rPr>
          <w:rFonts w:hint="default" w:ascii="Times New Roman" w:hAnsi="Times New Roman" w:eastAsia="方正仿宋_GBK" w:cs="Times New Roman"/>
          <w:b w:val="0"/>
          <w:bCs/>
          <w:color w:val="000000" w:themeColor="text1"/>
          <w:kern w:val="2"/>
          <w:sz w:val="28"/>
          <w:szCs w:val="28"/>
          <w:highlight w:val="none"/>
          <w:lang w:val="en-US" w:eastAsia="zh-CN" w:bidi="ar-SA"/>
          <w14:textFill>
            <w14:solidFill>
              <w14:schemeClr w14:val="tx1"/>
            </w14:solidFill>
          </w14:textFill>
        </w:rPr>
      </w:pPr>
    </w:p>
    <w:p>
      <w:pPr>
        <w:rPr>
          <w:rFonts w:hint="default" w:ascii="Times New Roman" w:hAnsi="Times New Roman" w:cs="Times New Roman"/>
          <w:color w:val="000000" w:themeColor="text1"/>
          <w:highlight w:val="none"/>
          <w:lang w:val="en-US" w:eastAsia="zh-CN"/>
          <w14:textFill>
            <w14:solidFill>
              <w14:schemeClr w14:val="tx1"/>
            </w14:solidFill>
          </w14:textFill>
        </w:rPr>
      </w:pPr>
    </w:p>
    <w:p>
      <w:pPr>
        <w:pStyle w:val="2"/>
        <w:rPr>
          <w:rFonts w:hint="default" w:ascii="Times New Roman" w:hAnsi="Times New Roman" w:cs="Times New Roman"/>
          <w:color w:val="000000" w:themeColor="text1"/>
          <w:highlight w:val="none"/>
          <w:lang w:val="en-US" w:eastAsia="zh-CN"/>
          <w14:textFill>
            <w14:solidFill>
              <w14:schemeClr w14:val="tx1"/>
            </w14:solidFill>
          </w14:textFill>
        </w:rPr>
      </w:pPr>
    </w:p>
    <w:p>
      <w:pPr>
        <w:rPr>
          <w:rFonts w:hint="default" w:ascii="Times New Roman" w:hAnsi="Times New Roman" w:cs="Times New Roman"/>
          <w:color w:val="000000" w:themeColor="text1"/>
          <w:highlight w:val="none"/>
          <w:lang w:val="en-US" w:eastAsia="zh-CN"/>
          <w14:textFill>
            <w14:solidFill>
              <w14:schemeClr w14:val="tx1"/>
            </w14:solidFill>
          </w14:textFill>
        </w:rPr>
      </w:pPr>
    </w:p>
    <w:p>
      <w:pPr>
        <w:pStyle w:val="2"/>
        <w:rPr>
          <w:rFonts w:hint="default" w:ascii="Times New Roman" w:hAnsi="Times New Roman" w:cs="Times New Roman"/>
          <w:color w:val="000000" w:themeColor="text1"/>
          <w:highlight w:val="none"/>
          <w:lang w:val="en-US" w:eastAsia="zh-CN"/>
          <w14:textFill>
            <w14:solidFill>
              <w14:schemeClr w14:val="tx1"/>
            </w14:solidFill>
          </w14:textFill>
        </w:rPr>
      </w:pPr>
    </w:p>
    <w:p>
      <w:pPr>
        <w:rPr>
          <w:rFonts w:hint="default" w:ascii="Times New Roman" w:hAnsi="Times New Roman" w:cs="Times New Roman"/>
          <w:color w:val="000000" w:themeColor="text1"/>
          <w:highlight w:val="none"/>
          <w:lang w:val="en-US" w:eastAsia="zh-CN"/>
          <w14:textFill>
            <w14:solidFill>
              <w14:schemeClr w14:val="tx1"/>
            </w14:solidFill>
          </w14:textFill>
        </w:rPr>
      </w:pPr>
    </w:p>
    <w:p>
      <w:pPr>
        <w:pStyle w:val="2"/>
        <w:rPr>
          <w:rFonts w:hint="default" w:ascii="Times New Roman" w:hAnsi="Times New Roman" w:eastAsia="方正仿宋_GBK" w:cs="Times New Roman"/>
          <w:b w:val="0"/>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val="0"/>
          <w:color w:val="000000" w:themeColor="text1"/>
          <w:sz w:val="28"/>
          <w:szCs w:val="28"/>
          <w:highlight w:val="none"/>
          <w14:textFill>
            <w14:solidFill>
              <w14:schemeClr w14:val="tx1"/>
            </w14:solidFill>
          </w14:textFill>
        </w:rPr>
        <w:t>（合同签署页）</w:t>
      </w:r>
    </w:p>
    <w:p>
      <w:pPr>
        <w:pStyle w:val="2"/>
        <w:rPr>
          <w:rFonts w:hint="default" w:ascii="Times New Roman" w:hAnsi="Times New Roman" w:cs="Times New Roman"/>
          <w:color w:val="000000" w:themeColor="text1"/>
          <w:highlight w:val="none"/>
          <w:lang w:val="en-US" w:eastAsia="zh-CN"/>
          <w14:textFill>
            <w14:solidFill>
              <w14:schemeClr w14:val="tx1"/>
            </w14:solidFill>
          </w14:textFill>
        </w:rPr>
      </w:pP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甲 方（盖章）：                   </w:t>
      </w:r>
    </w:p>
    <w:p>
      <w:pPr>
        <w:spacing w:line="360" w:lineRule="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法定代表人或代理人：</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经办人：                         </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联系电话：                       </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签署时间：     年    月    日           </w:t>
      </w:r>
    </w:p>
    <w:p>
      <w:pPr>
        <w:pStyle w:val="7"/>
        <w:rPr>
          <w:rFonts w:hint="default" w:ascii="Times New Roman" w:hAnsi="Times New Roman" w:cs="Times New Roman"/>
          <w:color w:val="000000" w:themeColor="text1"/>
          <w:highlight w:val="none"/>
          <w14:textFill>
            <w14:solidFill>
              <w14:schemeClr w14:val="tx1"/>
            </w14:solidFill>
          </w14:textFill>
        </w:rPr>
      </w:pP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 方（盖章）：</w:t>
      </w:r>
    </w:p>
    <w:p>
      <w:pPr>
        <w:spacing w:line="360" w:lineRule="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法定代表人或代理人：</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经办人：</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联系电话：</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签署时间：    年    月    日</w:t>
      </w:r>
    </w:p>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sectPr>
          <w:pgSz w:w="11900" w:h="16840"/>
          <w:pgMar w:top="1440" w:right="1134" w:bottom="1440" w:left="1134" w:header="920" w:footer="0" w:gutter="0"/>
          <w:pgNumType w:fmt="decimal"/>
          <w:cols w:space="720" w:num="1"/>
          <w:docGrid w:type="lines" w:linePitch="0" w:charSpace="0"/>
        </w:sectPr>
      </w:pPr>
    </w:p>
    <w:p>
      <w:pPr>
        <w:spacing w:line="397" w:lineRule="exac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附件 </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w:t>
      </w:r>
    </w:p>
    <w:p>
      <w:pPr>
        <w:spacing w:line="560" w:lineRule="exact"/>
        <w:jc w:val="center"/>
        <w:rPr>
          <w:rFonts w:hint="default" w:ascii="Times New Roman" w:hAnsi="Times New Roman" w:eastAsia="方正仿宋_GBK" w:cs="Times New Roman"/>
          <w:b/>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color w:val="000000" w:themeColor="text1"/>
          <w:sz w:val="28"/>
          <w:szCs w:val="28"/>
          <w:highlight w:val="none"/>
          <w14:textFill>
            <w14:solidFill>
              <w14:schemeClr w14:val="tx1"/>
            </w14:solidFill>
          </w14:textFill>
        </w:rPr>
        <w:t>外委单位安全管理协议</w:t>
      </w:r>
    </w:p>
    <w:p>
      <w:pPr>
        <w:pStyle w:val="4"/>
        <w:widowControl/>
        <w:kinsoku w:val="0"/>
        <w:autoSpaceDE w:val="0"/>
        <w:autoSpaceDN w:val="0"/>
        <w:adjustRightInd w:val="0"/>
        <w:snapToGrid w:val="0"/>
        <w:spacing w:line="560" w:lineRule="exact"/>
        <w:ind w:right="777"/>
        <w:textAlignment w:val="baseline"/>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p>
    <w:p>
      <w:pPr>
        <w:pStyle w:val="22"/>
        <w:spacing w:before="156" w:beforeLines="50" w:line="560" w:lineRule="exact"/>
        <w:ind w:firstLine="0" w:firstLineChars="0"/>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甲方</w:t>
      </w:r>
      <w:r>
        <w:rPr>
          <w:rFonts w:hint="eastAsia" w:ascii="Times New Roman" w:hAnsi="Times New Roman" w:eastAsia="方正仿宋_GBK" w:cs="Times New Roman"/>
          <w:color w:val="000000" w:themeColor="text1"/>
          <w:kern w:val="2"/>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重庆通邑智慧城市运营管理有限公司</w:t>
      </w:r>
    </w:p>
    <w:p>
      <w:pPr>
        <w:pStyle w:val="4"/>
        <w:widowControl/>
        <w:kinsoku w:val="0"/>
        <w:autoSpaceDE w:val="0"/>
        <w:autoSpaceDN w:val="0"/>
        <w:adjustRightInd w:val="0"/>
        <w:snapToGrid w:val="0"/>
        <w:spacing w:line="560" w:lineRule="exact"/>
        <w:ind w:right="777"/>
        <w:textAlignment w:val="baseline"/>
        <w:rPr>
          <w:rFonts w:hint="default" w:ascii="Times New Roman" w:hAnsi="Times New Roman" w:eastAsia="方正仿宋_GBK" w:cs="Times New Roman"/>
          <w:color w:val="000000" w:themeColor="text1"/>
          <w:kern w:val="2"/>
          <w:sz w:val="28"/>
          <w:szCs w:val="28"/>
          <w:highlight w:val="none"/>
          <w:u w:val="single"/>
          <w:lang w:val="en-US" w:eastAsia="zh-CN"/>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乙方</w:t>
      </w:r>
      <w:r>
        <w:rPr>
          <w:rFonts w:hint="eastAsia" w:eastAsia="方正仿宋_GBK" w:cs="Times New Roman"/>
          <w:color w:val="000000" w:themeColor="text1"/>
          <w:kern w:val="2"/>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2"/>
          <w:sz w:val="28"/>
          <w:szCs w:val="28"/>
          <w:highlight w:val="none"/>
          <w:u w:val="single"/>
          <w:lang w:val="en-US" w:eastAsia="zh-CN"/>
          <w14:textFill>
            <w14:solidFill>
              <w14:schemeClr w14:val="tx1"/>
            </w14:solidFill>
          </w14:textFill>
        </w:rPr>
        <w:t xml:space="preserve">                               </w:t>
      </w:r>
    </w:p>
    <w:p>
      <w:pPr>
        <w:pStyle w:val="4"/>
        <w:widowControl/>
        <w:kinsoku w:val="0"/>
        <w:autoSpaceDE w:val="0"/>
        <w:autoSpaceDN w:val="0"/>
        <w:adjustRightInd w:val="0"/>
        <w:snapToGrid w:val="0"/>
        <w:spacing w:line="560" w:lineRule="exact"/>
        <w:ind w:right="777"/>
        <w:textAlignment w:val="baseline"/>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为预防和减少各类安全风险及隐患，搞好项目的安全管理工作，根据《中华人民共和国民法典</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中华人民共和国安全生产法》，甲乙双方经过协商达成以下协议。</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一、甲方权利与义务</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（一）发现违章违纪行为和安全隐患的，甲方有权责令乙方停工并要求限时整改，所造成的一切损失由乙方承担。               </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（二）对在现场安全工作中不称职的承包人项目经理、安全管理负责人，有权要求更换。</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（三）协助乙方办理进入甲方管理区域的相关手续，并对乙方进行安全交底。</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（四）协助乙方对其作业区域的安全、环境、防火管控措施进行监督检查。</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二、乙方权利与义务</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（一）乙方对作业人员的资质进行审查 ，确保作业人员具备相关资质。根据甲方的要求编制作业方案，完善作业手续。</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（二）乙方对其作业区域的安全、环境 、防火、治安等工作负全部责任并指派专人在现场负责其作业区域的安全监督管理工作，同时向甲方提供经乙方盖章的现场安全监督管理人员名单。乙方变更现场安全监督管理人员的，需提前向甲方告知并征得甲方同意。</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（三）根据作业特点制定安全管理措施，自备合格的安全设备、设施和劳保用品，做好作业人员安全教育和安全技术交底工作，并对作业范围内的乙方作业人员、甲方人员、第三人的人身安全和财产安全等负责。</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mc:AlternateContent>
          <mc:Choice Requires="wps">
            <w:drawing>
              <wp:anchor distT="0" distB="0" distL="114300" distR="114300" simplePos="0" relativeHeight="251662336" behindDoc="1" locked="0" layoutInCell="1" allowOverlap="1">
                <wp:simplePos x="0" y="0"/>
                <wp:positionH relativeFrom="page">
                  <wp:posOffset>7520940</wp:posOffset>
                </wp:positionH>
                <wp:positionV relativeFrom="paragraph">
                  <wp:posOffset>2296795</wp:posOffset>
                </wp:positionV>
                <wp:extent cx="50800" cy="723900"/>
                <wp:effectExtent l="0" t="0" r="0" b="0"/>
                <wp:wrapNone/>
                <wp:docPr id="8" name="矩形 8"/>
                <wp:cNvGraphicFramePr/>
                <a:graphic xmlns:a="http://schemas.openxmlformats.org/drawingml/2006/main">
                  <a:graphicData uri="http://schemas.microsoft.com/office/word/2010/wordprocessingShape">
                    <wps:wsp>
                      <wps:cNvSpPr/>
                      <wps:spPr>
                        <a:xfrm>
                          <a:off x="0" y="0"/>
                          <a:ext cx="50800" cy="723900"/>
                        </a:xfrm>
                        <a:prstGeom prst="rect">
                          <a:avLst/>
                        </a:prstGeom>
                        <a:noFill/>
                        <a:ln>
                          <a:noFill/>
                        </a:ln>
                        <a:effectLst/>
                      </wps:spPr>
                      <wps:txbx>
                        <w:txbxContent>
                          <w:p>
                            <w:pPr>
                              <w:widowControl/>
                              <w:spacing w:line="1140" w:lineRule="atLeast"/>
                            </w:pPr>
                            <w:r>
                              <w:drawing>
                                <wp:inline distT="0" distB="0" distL="114300" distR="114300">
                                  <wp:extent cx="48260" cy="722630"/>
                                  <wp:effectExtent l="0" t="0" r="889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8260" cy="722630"/>
                                          </a:xfrm>
                                          <a:prstGeom prst="rect">
                                            <a:avLst/>
                                          </a:prstGeom>
                                          <a:noFill/>
                                          <a:ln>
                                            <a:noFill/>
                                          </a:ln>
                                        </pic:spPr>
                                      </pic:pic>
                                    </a:graphicData>
                                  </a:graphic>
                                </wp:inline>
                              </w:drawing>
                            </w:r>
                          </w:p>
                          <w:p/>
                        </w:txbxContent>
                      </wps:txbx>
                      <wps:bodyPr lIns="0" tIns="0" rIns="0" bIns="0" upright="1"/>
                    </wps:wsp>
                  </a:graphicData>
                </a:graphic>
              </wp:anchor>
            </w:drawing>
          </mc:Choice>
          <mc:Fallback>
            <w:pict>
              <v:rect id="_x0000_s1026" o:spid="_x0000_s1026" o:spt="1" style="position:absolute;left:0pt;margin-left:592.2pt;margin-top:180.85pt;height:57pt;width:4pt;mso-position-horizontal-relative:page;z-index:-251654144;mso-width-relative:page;mso-height-relative:page;" filled="f" stroked="f" coordsize="21600,21600" o:gfxdata="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SvIQvcAAAADQEAAA8AAAAAAAAAAQAgAAAAIgAAAGRycy9kb3ducmV2LnhtbFBLAQIUABQAAAAI&#10;AIdO4kBmgJ1ssAEAAHEDAAAOAAAAAAAAAAEAIAAAACsBAABkcnMvZTJvRG9jLnhtbFBLBQYAAAAA&#10;BgAGAFkBAABNBQAAAAA=&#10;">
                <v:fill on="f" focussize="0,0"/>
                <v:stroke on="f"/>
                <v:imagedata o:title=""/>
                <o:lock v:ext="edit" aspectratio="f"/>
                <v:textbox inset="0mm,0mm,0mm,0mm">
                  <w:txbxContent>
                    <w:p>
                      <w:pPr>
                        <w:widowControl/>
                        <w:spacing w:line="1140" w:lineRule="atLeast"/>
                      </w:pPr>
                      <w:r>
                        <w:drawing>
                          <wp:inline distT="0" distB="0" distL="114300" distR="114300">
                            <wp:extent cx="48260" cy="722630"/>
                            <wp:effectExtent l="0" t="0" r="889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8260" cy="722630"/>
                                    </a:xfrm>
                                    <a:prstGeom prst="rect">
                                      <a:avLst/>
                                    </a:prstGeom>
                                    <a:noFill/>
                                    <a:ln>
                                      <a:noFill/>
                                    </a:ln>
                                  </pic:spPr>
                                </pic:pic>
                              </a:graphicData>
                            </a:graphic>
                          </wp:inline>
                        </w:drawing>
                      </w:r>
                    </w:p>
                    <w:p/>
                  </w:txbxContent>
                </v:textbox>
              </v:rect>
            </w:pict>
          </mc:Fallback>
        </mc:AlternateConten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（四）乙方进入作业区域前 ，应主动履行登记核验手续，因未履行登记手续带来的一切后果和责任由乙方全部承担。同时，乙方作业人员进入围挡（</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或其他</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隔离设施）后，应保持围挡（</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或其他</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隔离设施）处于锁闭良好状态。作业结束后，乙方作业人员须确认围挡（</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或其他</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隔离设施）处于锁闭良好状态，并主动履行销记手续，因未履行销记手续带来的一切后果和责任由乙方全部承担。</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（五）严格遵守甲方的相关的安全管理规定，承担因违反相关规定造成的损失和罚款。</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（六）按照甲方运营特点及要求，乙方合理安排具体实施方案并需经过甲方同意，不得影响甲方正常运营，承担影响甲方正常运行造成的损失和罚款。</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（七）严格按照甲方核准的作业区域和时间段实施作业，不得擅自扩大作业区域或延长作业时间、不得擅自进入未经甲方批准的管理区域，服从甲方的管理。</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（八）在作业过程中做好对甲方既有设施、设备的安全保护措施，不擅自动用或损坏甲方设施、设备，若有损坏照价赔偿，并按原设计功能要求如实恢复。</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（九）自觉接受甲方人员的安全监督，作业期间如发生影响甲方运营和生产安全的情况，需立即报告甲方，并积极采取应急救援措施。</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制定并落实乙方作业范围内安全管理制度，落实安全生产责任制，并承担实施过程中的全部安全、质量责任。实施过程中发生任何安全事故或质量事件，由乙方承担全部责任，给甲方造成经济损失的由乙方负全部赔偿责任。</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（十一）负责乙方作业区域内的消防安全管理工作，并按照相关法律法规配备消防安全器材。</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（十二）因乙方作业引起的客伤、投诉、舆情和信访等问题，由乙方及时有效进行处理，并承担全部责任。</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（十三）由甲方供电的乙方所属设备，供电设备、线路以及用电安全等，由乙方自行负责，并保证安全用电。</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（十四）作业现场必须具有相关的安全标志牌，如因乙方对围挡设置不当或无警示标识引起客伤、投诉、舆情、信访和事故等问题，由乙方及时有效进行处理，并承担全部责任。</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（十五）乙方在任何时候都应采取各种合理的预防措施，防止其员工发生任何违法、违禁、暴力或妨碍治安的行为。</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（十六）作业人员上岗，必须按规定穿戴防护用品。负责人和安全检查员应随时检查劳动防护用品的穿戴情况，不按规定穿戴防护用品的人员不得上岗。</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（十七）所有作业机具及安全设备设施均应定期检查，并有安全员的签字记录，保证其处于完好状态；不合格的机具、设备和劳动保护用品严禁使用。</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（十八）乙方必须按照本项目特点，组织制定安全事故应急救援预案；如果发生安全事故，应按照《国务院关于特大安全事故行政责任追究的规定》</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以及其他</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有关规定，及时上报有关部门，并坚持“三不放过”的原则，严肃处理相关责任人。</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（十九）乙方必须积极主动配合甲方的各项防疫规定，严格遵守甲方《防疫防控手册》的各项要求。</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三、违约责任</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（一）如作业过程甲方发现存在安全问题或隐患并向乙方提出整改，乙方未及时整改的，根据情况甲方有权处罚乙方合同金额1%至10%的违约金，并由乙方赔偿由此造成的一切损失；</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（二）如作业过程中因乙方原因发生安全事故，由乙方承担相关法律责任并赔偿由此产生的一切损失。根据事故损失及后果严重程度，甲方有权处罚乙方实际损失金额30%以上的违约金；</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（三）乙方违反本协议约定义务，每发生一次，应向甲方支付合同金额3%的违约金，累计发生3次及以上的，甲方有权解除相关服务合同，并要求乙方支付合同金额 20%的违约金。因乙方违约导致事故发生或给甲方造成损失的，乙方除需支付前述违约金外，还应赔偿由此造成的一切损失。</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（四）因乙方违约产生的违约金、赔偿金等，将直接从合同应付金额中扣除。如以上两种方式的金额不足以承担违约金、赔偿金时，甲方有权向乙方追偿。</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四、附则</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（一）本合同份数与主合同份数一致。</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（二）本协议自甲乙双方签字盖章之日起生效。</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（三）安全管理交底书作为该协议附件具有同等法律效力。</w:t>
      </w:r>
    </w:p>
    <w:p>
      <w:pPr>
        <w:snapToGrid w:val="0"/>
        <w:spacing w:line="560" w:lineRule="exact"/>
        <w:ind w:firstLine="210" w:firstLineChars="75"/>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napToGrid w:val="0"/>
        <w:spacing w:line="560" w:lineRule="exact"/>
        <w:ind w:firstLine="210" w:firstLineChars="75"/>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napToGrid w:val="0"/>
        <w:spacing w:line="560" w:lineRule="exact"/>
        <w:ind w:firstLine="210" w:firstLineChars="75"/>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napToGrid w:val="0"/>
        <w:spacing w:line="560" w:lineRule="exact"/>
        <w:ind w:firstLine="210" w:firstLineChars="75"/>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此页无正文</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p>
    <w:p>
      <w:pPr>
        <w:pStyle w:val="2"/>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pPr>
    </w:p>
    <w:p>
      <w:pPr>
        <w:rPr>
          <w:rFonts w:hint="default" w:ascii="Times New Roman" w:hAnsi="Times New Roman" w:cs="Times New Roman"/>
          <w:color w:val="000000" w:themeColor="text1"/>
          <w:highlight w:val="none"/>
          <w:lang w:eastAsia="zh-CN"/>
          <w14:textFill>
            <w14:solidFill>
              <w14:schemeClr w14:val="tx1"/>
            </w14:solidFill>
          </w14:textFill>
        </w:rPr>
      </w:pP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甲方：</w:t>
      </w:r>
      <w:r>
        <w:rPr>
          <w:rFonts w:hint="default" w:ascii="Times New Roman" w:hAnsi="Times New Roman" w:eastAsia="方正仿宋_GBK" w:cs="Times New Roman"/>
          <w:color w:val="000000" w:themeColor="text1"/>
          <w:sz w:val="28"/>
          <w:szCs w:val="28"/>
          <w:highlight w:val="none"/>
          <w:u w:val="none"/>
          <w14:textFill>
            <w14:solidFill>
              <w14:schemeClr w14:val="tx1"/>
            </w14:solidFill>
          </w14:textFill>
        </w:rPr>
        <w:t>重庆通邑智慧城市运营管理有限公司</w:t>
      </w:r>
      <w:r>
        <w:rPr>
          <w:rFonts w:hint="default" w:ascii="Times New Roman" w:hAnsi="Times New Roman" w:eastAsia="方正仿宋_GBK" w:cs="Times New Roman"/>
          <w:color w:val="000000" w:themeColor="text1"/>
          <w:sz w:val="28"/>
          <w:szCs w:val="28"/>
          <w:highlight w:val="none"/>
          <w:u w:val="non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    </w:t>
      </w: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经办人：            　　　    　</w:t>
      </w: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电话：                        </w:t>
      </w: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年　　月　　日                  </w:t>
      </w:r>
    </w:p>
    <w:p>
      <w:pPr>
        <w:snapToGrid w:val="0"/>
        <w:spacing w:line="560" w:lineRule="exact"/>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乙方：</w:t>
      </w: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经办人：</w:t>
      </w: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电话：</w:t>
      </w: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年　　月　　日                  </w:t>
      </w:r>
    </w:p>
    <w:p>
      <w:pPr>
        <w:snapToGrid w:val="0"/>
        <w:spacing w:line="560" w:lineRule="exact"/>
        <w:ind w:firstLine="240" w:firstLineChars="75"/>
        <w:jc w:val="both"/>
        <w:rPr>
          <w:rFonts w:hint="default" w:ascii="Times New Roman" w:hAnsi="Times New Roman" w:eastAsia="方正仿宋_GBK" w:cs="Times New Roman"/>
          <w:color w:val="000000" w:themeColor="text1"/>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br w:type="page"/>
      </w:r>
    </w:p>
    <w:p>
      <w:pPr>
        <w:pStyle w:val="22"/>
        <w:spacing w:line="560" w:lineRule="exact"/>
        <w:ind w:firstLine="0" w:firstLineChars="0"/>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t>附件</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p>
    <w:p>
      <w:pPr>
        <w:pStyle w:val="22"/>
        <w:spacing w:line="560" w:lineRule="exact"/>
        <w:ind w:firstLine="0" w:firstLineChars="0"/>
        <w:jc w:val="cente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color w:val="000000" w:themeColor="text1"/>
          <w:sz w:val="32"/>
          <w:szCs w:val="32"/>
          <w:highlight w:val="none"/>
          <w14:textFill>
            <w14:solidFill>
              <w14:schemeClr w14:val="tx1"/>
            </w14:solidFill>
          </w14:textFill>
        </w:rPr>
        <w:t>外委单位安全交底书</w:t>
      </w:r>
    </w:p>
    <w:tbl>
      <w:tblPr>
        <w:tblStyle w:val="10"/>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6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Align w:val="top"/>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项目名称</w:t>
            </w:r>
          </w:p>
        </w:tc>
        <w:tc>
          <w:tcPr>
            <w:tcW w:w="6206" w:type="dxa"/>
            <w:vAlign w:val="top"/>
          </w:tcPr>
          <w:p>
            <w:pPr>
              <w:widowControl/>
              <w:spacing w:line="560" w:lineRule="exact"/>
              <w:jc w:val="cente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Align w:val="top"/>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乙方单位名称</w:t>
            </w:r>
          </w:p>
        </w:tc>
        <w:tc>
          <w:tcPr>
            <w:tcW w:w="6206" w:type="dxa"/>
            <w:vAlign w:val="top"/>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Align w:val="top"/>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甲方责任业务部门</w:t>
            </w:r>
          </w:p>
        </w:tc>
        <w:tc>
          <w:tcPr>
            <w:tcW w:w="6206" w:type="dxa"/>
            <w:vAlign w:val="top"/>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91" w:type="dxa"/>
            <w:gridSpan w:val="2"/>
            <w:vAlign w:val="top"/>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安全交底内容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3" w:hRule="atLeast"/>
          <w:jc w:val="center"/>
        </w:trPr>
        <w:tc>
          <w:tcPr>
            <w:tcW w:w="9291" w:type="dxa"/>
            <w:gridSpan w:val="2"/>
          </w:tcPr>
          <w:p>
            <w:pPr>
              <w:pStyle w:val="22"/>
              <w:spacing w:line="560" w:lineRule="exact"/>
              <w:ind w:hanging="18" w:firstLineChars="0"/>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vAlign w:val="center"/>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重庆通邑智慧城市运营管理</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（甲方）</w:t>
            </w:r>
          </w:p>
        </w:tc>
        <w:tc>
          <w:tcPr>
            <w:tcW w:w="6206" w:type="dxa"/>
            <w:vAlign w:val="center"/>
          </w:tcPr>
          <w:p>
            <w:pPr>
              <w:pStyle w:val="22"/>
              <w:spacing w:line="560" w:lineRule="exact"/>
              <w:ind w:hanging="18" w:firstLineChars="0"/>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6206" w:type="dxa"/>
            <w:vAlign w:val="center"/>
          </w:tcPr>
          <w:p>
            <w:pPr>
              <w:pStyle w:val="22"/>
              <w:spacing w:line="560" w:lineRule="exact"/>
              <w:ind w:hanging="18" w:firstLineChars="0"/>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项目负责人签字：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6206" w:type="dxa"/>
            <w:vAlign w:val="center"/>
          </w:tcPr>
          <w:p>
            <w:pPr>
              <w:pStyle w:val="22"/>
              <w:spacing w:line="560" w:lineRule="exact"/>
              <w:ind w:hanging="18" w:firstLineChars="0"/>
              <w:jc w:val="righ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vAlign w:val="center"/>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乙方（盖章）</w:t>
            </w:r>
          </w:p>
        </w:tc>
        <w:tc>
          <w:tcPr>
            <w:tcW w:w="6206" w:type="dxa"/>
            <w:vAlign w:val="center"/>
          </w:tcPr>
          <w:p>
            <w:pPr>
              <w:pStyle w:val="22"/>
              <w:spacing w:line="560" w:lineRule="exact"/>
              <w:ind w:hanging="18" w:firstLineChars="0"/>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项目负责人签字：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6206" w:type="dxa"/>
            <w:vAlign w:val="center"/>
          </w:tcPr>
          <w:p>
            <w:pPr>
              <w:pStyle w:val="22"/>
              <w:spacing w:line="560" w:lineRule="exact"/>
              <w:ind w:hanging="18" w:firstLineChars="0"/>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作业负责人签字：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6206" w:type="dxa"/>
            <w:vAlign w:val="center"/>
          </w:tcPr>
          <w:p>
            <w:pPr>
              <w:pStyle w:val="22"/>
              <w:spacing w:line="560" w:lineRule="exact"/>
              <w:ind w:hanging="18" w:firstLineChars="0"/>
              <w:jc w:val="righ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年    月   日</w:t>
            </w:r>
          </w:p>
        </w:tc>
      </w:tr>
    </w:tbl>
    <w:p>
      <w:pPr>
        <w:pStyle w:val="9"/>
        <w:spacing w:beforeAutospacing="0" w:afterAutospacing="0"/>
        <w:jc w:val="center"/>
        <w:rPr>
          <w:rFonts w:hint="default" w:ascii="Times New Roman" w:hAnsi="Times New Roman" w:eastAsia="方正仿宋_GBK" w:cs="Times New Roman"/>
          <w:color w:val="000000" w:themeColor="text1"/>
          <w:sz w:val="28"/>
          <w:szCs w:val="28"/>
          <w:highlight w:val="none"/>
          <w14:textFill>
            <w14:solidFill>
              <w14:schemeClr w14:val="tx1"/>
            </w14:solidFill>
          </w14:textFill>
        </w:rPr>
        <w:sectPr>
          <w:footerReference r:id="rId7" w:type="default"/>
          <w:pgSz w:w="11906" w:h="16838"/>
          <w:pgMar w:top="1440" w:right="1800" w:bottom="1440" w:left="1800" w:header="851" w:footer="992" w:gutter="0"/>
          <w:pgNumType w:fmt="decimal"/>
          <w:cols w:space="425" w:num="1"/>
          <w:docGrid w:type="lines" w:linePitch="312" w:charSpace="0"/>
        </w:sectPr>
      </w:pPr>
    </w:p>
    <w:p>
      <w:pPr>
        <w:spacing w:line="397" w:lineRule="exac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2</w:t>
      </w:r>
    </w:p>
    <w:p>
      <w:pPr>
        <w:spacing w:line="397" w:lineRule="exact"/>
        <w:ind w:firstLine="620"/>
        <w:jc w:val="cente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lang w:val="en-US" w:eastAsia="zh-CN"/>
          <w14:textFill>
            <w14:solidFill>
              <w14:schemeClr w14:val="tx1"/>
            </w14:solidFill>
          </w14:textFill>
        </w:rPr>
        <w:t>实际作业量明细</w:t>
      </w: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表</w:t>
      </w:r>
    </w:p>
    <w:tbl>
      <w:tblPr>
        <w:tblStyle w:val="10"/>
        <w:tblW w:w="990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868"/>
        <w:gridCol w:w="1133"/>
        <w:gridCol w:w="1833"/>
        <w:gridCol w:w="1250"/>
        <w:gridCol w:w="1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7" w:hRule="atLeas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服务内容</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作业量</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不含税单价</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（元）</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作业频次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次/年</w:t>
            </w:r>
            <w:r>
              <w:rPr>
                <w:rFonts w:hint="eastAsia"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不含税总价</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1.轨行区清掏冲洗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隧道冲洗</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隧道排水沟清掏</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垃圾清运</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道岔桥清洁</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1"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区间轨行区路基段清洁卫生及杂草清除</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雨棚及区间防抛网</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边坡、挡墙清洁卫生及杂草清除</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2.外墙清洗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变电所外墙</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（含屋顶排水沟清掏）</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车站外墙保洁</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（含屋顶排水沟清掏）</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3.沟渠池清掏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车站生化池清掏（除平安、大渡口、新山村站）</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车站生化池清掏（平安、大渡口、新山村站）</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污水井清掏</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隔油池清掏</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车站、区间废水池</w:t>
            </w: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清</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掏</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车站集水井（池）</w:t>
            </w: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清</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掏</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3" w:hRule="exact"/>
        </w:trPr>
        <w:tc>
          <w:tcPr>
            <w:tcW w:w="9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lang w:bidi="ar"/>
                <w14:textFill>
                  <w14:solidFill>
                    <w14:schemeClr w14:val="tx1"/>
                  </w14:solidFill>
                </w14:textFill>
              </w:rPr>
              <w:t>合计：</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不含税总价：</w:t>
            </w:r>
            <w:r>
              <w:rPr>
                <w:rFonts w:hint="default" w:ascii="Times New Roman" w:hAnsi="Times New Roman" w:eastAsia="方正仿宋_GBK" w:cs="Times New Roman"/>
                <w:b w:val="0"/>
                <w:bCs w:val="0"/>
                <w:color w:val="000000" w:themeColor="text1"/>
                <w:sz w:val="24"/>
                <w:szCs w:val="24"/>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 xml:space="preserve"> 元，（大写：人民币</w:t>
            </w:r>
            <w:r>
              <w:rPr>
                <w:rFonts w:hint="default" w:ascii="Times New Roman" w:hAnsi="Times New Roman" w:eastAsia="方正仿宋_GBK" w:cs="Times New Roman"/>
                <w:b w:val="0"/>
                <w:bCs w:val="0"/>
                <w:color w:val="000000" w:themeColor="text1"/>
                <w:sz w:val="24"/>
                <w:szCs w:val="24"/>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元）；含税总价：</w:t>
            </w:r>
            <w:r>
              <w:rPr>
                <w:rFonts w:hint="default" w:ascii="Times New Roman" w:hAnsi="Times New Roman" w:eastAsia="方正仿宋_GBK" w:cs="Times New Roman"/>
                <w:b w:val="0"/>
                <w:bCs w:val="0"/>
                <w:color w:val="000000" w:themeColor="text1"/>
                <w:sz w:val="24"/>
                <w:szCs w:val="24"/>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 xml:space="preserve"> 元，（大写：人民币</w:t>
            </w:r>
            <w:r>
              <w:rPr>
                <w:rFonts w:hint="default" w:ascii="Times New Roman" w:hAnsi="Times New Roman" w:eastAsia="方正仿宋_GBK" w:cs="Times New Roman"/>
                <w:b w:val="0"/>
                <w:bCs w:val="0"/>
                <w:color w:val="000000" w:themeColor="text1"/>
                <w:sz w:val="24"/>
                <w:szCs w:val="24"/>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元），</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增值税专用发票</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税率</w:t>
            </w:r>
            <w:r>
              <w:rPr>
                <w:rFonts w:hint="default" w:ascii="Times New Roman" w:hAnsi="Times New Roman" w:eastAsia="方正仿宋_GBK" w:cs="Times New Roman"/>
                <w:b w:val="0"/>
                <w:bCs w:val="0"/>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szCs w:val="24"/>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w:t>
            </w:r>
            <w:r>
              <w:rPr>
                <w:rFonts w:hint="default" w:ascii="Times New Roman" w:hAnsi="Times New Roman" w:eastAsia="方正仿宋_GBK" w:cs="Times New Roman"/>
                <w:b w:val="0"/>
                <w:bCs w:val="0"/>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备注：不含税单价须保留至小数点后4位，不含税总价和含税总价须保留至小数点后2位，小数点后无数字时填写0。）</w:t>
            </w:r>
          </w:p>
        </w:tc>
      </w:tr>
    </w:tbl>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甲方</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确认：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乙方确认</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签字并</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盖章）</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w:t>
      </w: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年  月  日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年  月  日  </w:t>
      </w:r>
    </w:p>
    <w:p>
      <w:pPr>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jc w:val="left"/>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服务质量检查评分表</w:t>
      </w:r>
    </w:p>
    <w:tbl>
      <w:tblPr>
        <w:tblStyle w:val="10"/>
        <w:tblpPr w:leftFromText="180" w:rightFromText="180" w:vertAnchor="text" w:horzAnchor="page" w:tblpX="878" w:tblpY="889"/>
        <w:tblOverlap w:val="never"/>
        <w:tblW w:w="105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6"/>
        <w:gridCol w:w="1181"/>
        <w:gridCol w:w="4163"/>
        <w:gridCol w:w="750"/>
        <w:gridCol w:w="1950"/>
        <w:gridCol w:w="806"/>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6150"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Cs/>
                <w:color w:val="000000" w:themeColor="text1"/>
                <w:sz w:val="24"/>
                <w:szCs w:val="24"/>
                <w:highlight w:val="none"/>
                <w14:textFill>
                  <w14:solidFill>
                    <w14:schemeClr w14:val="tx1"/>
                  </w14:solidFill>
                </w14:textFill>
              </w:rPr>
              <w:t>项目名称：</w:t>
            </w:r>
          </w:p>
        </w:tc>
        <w:tc>
          <w:tcPr>
            <w:tcW w:w="44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检查时间：  年 月 日-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806"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序号</w:t>
            </w:r>
          </w:p>
        </w:tc>
        <w:tc>
          <w:tcPr>
            <w:tcW w:w="1181"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检查类别</w:t>
            </w:r>
          </w:p>
        </w:tc>
        <w:tc>
          <w:tcPr>
            <w:tcW w:w="416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检查标准</w:t>
            </w:r>
          </w:p>
        </w:tc>
        <w:tc>
          <w:tcPr>
            <w:tcW w:w="75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分值</w:t>
            </w:r>
          </w:p>
        </w:tc>
        <w:tc>
          <w:tcPr>
            <w:tcW w:w="195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扣分标准</w:t>
            </w:r>
          </w:p>
        </w:tc>
        <w:tc>
          <w:tcPr>
            <w:tcW w:w="806"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扣分</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1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通用类</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一线高空作业人员年龄不</w:t>
            </w:r>
            <w:r>
              <w:rPr>
                <w:rFonts w:hint="eastAsia"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超过</w:t>
            </w: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50岁且持相应上岗证件，</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身体健康、工作服穿戴整齐、穿戴安全帽和安全绳等安全防护工具和具备专项职业能力证书，严禁酒后作业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一处不合格扣1分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8"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作业前，按照甲方要求办理相关作业手续，准备作业材料和作业机具并放置指定位置。</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作业时，现场必须设置现场负责人，对全作业过程指挥并负责。现场负责人对作业人员进行安全技术交底，并严格执行交底书内容；作业现场设置有效安全防护和警示标识。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9"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作业后，及时恢复设备和清理现场，人员和机具的撤离符合甲方规定；确保现场无污水、杂物、垃圾等，不得影响甲方和轨道站方正常运营。</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63"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宋体" w:cs="Times New Roman"/>
                <w:i w:val="0"/>
                <w:iCs w:val="0"/>
                <w:color w:val="000000" w:themeColor="text1"/>
                <w:sz w:val="22"/>
                <w:szCs w:val="22"/>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有完整的作业方案和应急处置措施，不得出现工伤事故、不得出现对甲方和轨道站方造成负面影响的事件，不得出现违章指挥、违章作业、违反劳动纪律的“三违”现象；</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不得与轨道站方工作人员发生争吵、打架斗殴等恶意事件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6</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6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各项作业记录完整，内容清晰，每次作业须甲方人员签字确认。</w:t>
            </w:r>
          </w:p>
        </w:tc>
        <w:tc>
          <w:tcPr>
            <w:tcW w:w="7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w:t>
            </w:r>
          </w:p>
        </w:tc>
        <w:tc>
          <w:tcPr>
            <w:tcW w:w="19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一处不合格扣1分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8"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7</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41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作业期间不得对甲方和站点轨行区任何设施设备造成损坏。</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3"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41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及时完成甲方和轨道站方交办的工作任务</w:t>
            </w: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和其他</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临时性工作，作业完成后的现场质量和效果符合甲方和轨道站方要求</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9</w:t>
            </w:r>
          </w:p>
        </w:tc>
        <w:tc>
          <w:tcPr>
            <w:tcW w:w="11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41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按时到场且保质保量开展现场作业，不得迟到和早退</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一处不合格扣2分，无法到场等情节严重扣5分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181"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专业类</w:t>
            </w:r>
          </w:p>
        </w:tc>
        <w:tc>
          <w:tcPr>
            <w:tcW w:w="41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宋体" w:cs="Times New Roman"/>
                <w:i w:val="0"/>
                <w:iCs w:val="0"/>
                <w:color w:val="000000" w:themeColor="text1"/>
                <w:sz w:val="22"/>
                <w:szCs w:val="22"/>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轨行区清掏冲洗：工作完成后仍存在杂物、垃圾以及1厘米厚的淤泥或钙化物，车装袋垃圾按要求及时清运出轨行区</w:t>
            </w:r>
          </w:p>
        </w:tc>
        <w:tc>
          <w:tcPr>
            <w:tcW w:w="750"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20</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1"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w:t>
            </w:r>
          </w:p>
        </w:tc>
        <w:tc>
          <w:tcPr>
            <w:tcW w:w="1181"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宋体" w:cs="Times New Roman"/>
                <w:i w:val="0"/>
                <w:iCs w:val="0"/>
                <w:color w:val="000000" w:themeColor="text1"/>
                <w:sz w:val="22"/>
                <w:szCs w:val="22"/>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外墙清洗：避免造成地面交通拥堵，并提前与交通管理部门进行协调，不得合同约定范围外区域二次污染。</w:t>
            </w:r>
          </w:p>
        </w:tc>
        <w:tc>
          <w:tcPr>
            <w:tcW w:w="750"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1"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181"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沟渠池清掏：采用气体检测仪现场检测有毒气体、可燃气体浓度；严禁在池子周围吸烟和出现明火，在池内只能用手电照明，避免发生甲烷爆炸等事故。</w:t>
            </w:r>
          </w:p>
        </w:tc>
        <w:tc>
          <w:tcPr>
            <w:tcW w:w="75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一处不合格扣10分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6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合计</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100</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7" w:hRule="atLeast"/>
        </w:trPr>
        <w:tc>
          <w:tcPr>
            <w:tcW w:w="1055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备注</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此表由甲方对乙方服务质量进行考核，由双方确认人签字确认。</w:t>
            </w:r>
          </w:p>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2、检查评定得分在95分及以上，不扣除服务费；90-94分，每低1分扣除200元；89分及以下，每低1分扣除当次服务费用的1%，以此类推。</w:t>
            </w:r>
          </w:p>
        </w:tc>
      </w:tr>
    </w:tbl>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甲方</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确认：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乙方确认</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签字并</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盖章）</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w:t>
      </w: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年  月  日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年  月  日  </w:t>
      </w:r>
    </w:p>
    <w:p>
      <w:pPr>
        <w:pStyle w:val="2"/>
        <w:rPr>
          <w:rFonts w:hint="default" w:ascii="Times New Roman" w:hAnsi="Times New Roman" w:cs="Times New Roman"/>
          <w:color w:val="000000" w:themeColor="text1"/>
          <w:highlight w:val="none"/>
          <w14:textFill>
            <w14:solidFill>
              <w14:schemeClr w14:val="tx1"/>
            </w14:solidFill>
          </w14:textFill>
        </w:rPr>
        <w:sectPr>
          <w:headerReference r:id="rId8" w:type="default"/>
          <w:footerReference r:id="rId9" w:type="default"/>
          <w:pgSz w:w="11906" w:h="16838"/>
          <w:pgMar w:top="1440" w:right="1134" w:bottom="1440" w:left="1134" w:header="851" w:footer="992" w:gutter="0"/>
          <w:pgNumType w:fmt="decimal"/>
          <w:cols w:space="720" w:num="1"/>
          <w:docGrid w:type="lines" w:linePitch="312" w:charSpace="0"/>
        </w:sectPr>
      </w:pPr>
    </w:p>
    <w:p>
      <w:pPr>
        <w:jc w:val="left"/>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 xml:space="preserve">4 </w:t>
      </w:r>
    </w:p>
    <w:p>
      <w:pPr>
        <w:jc w:val="center"/>
        <w:rPr>
          <w:rFonts w:hint="default" w:ascii="Times New Roman" w:hAnsi="Times New Roman" w:eastAsia="方正仿宋_GBK" w:cs="Times New Roman"/>
          <w:b/>
          <w:bCs/>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服务质量检查</w:t>
      </w:r>
      <w:r>
        <w:rPr>
          <w:rFonts w:hint="default" w:ascii="Times New Roman" w:hAnsi="Times New Roman" w:eastAsia="方正仿宋_GBK" w:cs="Times New Roman"/>
          <w:b/>
          <w:bCs/>
          <w:color w:val="000000" w:themeColor="text1"/>
          <w:sz w:val="28"/>
          <w:szCs w:val="28"/>
          <w:highlight w:val="none"/>
          <w:lang w:val="en-US" w:eastAsia="zh-CN"/>
          <w14:textFill>
            <w14:solidFill>
              <w14:schemeClr w14:val="tx1"/>
            </w14:solidFill>
          </w14:textFill>
        </w:rPr>
        <w:t>考核</w:t>
      </w: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表</w:t>
      </w:r>
    </w:p>
    <w:p>
      <w:pPr>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tbl>
      <w:tblPr>
        <w:tblStyle w:val="10"/>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4571"/>
        <w:gridCol w:w="3144"/>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789" w:type="dxa"/>
            <w:gridSpan w:val="2"/>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4"/>
                <w:szCs w:val="24"/>
                <w:highlight w:val="none"/>
                <w14:textFill>
                  <w14:solidFill>
                    <w14:schemeClr w14:val="tx1"/>
                  </w14:solidFill>
                </w14:textFill>
              </w:rPr>
              <w:t>项目名称：</w:t>
            </w:r>
          </w:p>
        </w:tc>
        <w:tc>
          <w:tcPr>
            <w:tcW w:w="4406"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检查时间：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检查</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类别</w:t>
            </w:r>
          </w:p>
        </w:tc>
        <w:tc>
          <w:tcPr>
            <w:tcW w:w="4571"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方正仿宋_GBK" w:cs="Times New Roman"/>
                <w:color w:val="000000" w:themeColor="text1"/>
                <w:sz w:val="24"/>
                <w:szCs w:val="24"/>
                <w:highlight w:val="none"/>
                <w:lang w:val="en-US"/>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考核内容</w:t>
            </w:r>
          </w:p>
        </w:tc>
        <w:tc>
          <w:tcPr>
            <w:tcW w:w="3144"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考核</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标准</w:t>
            </w:r>
          </w:p>
        </w:tc>
        <w:tc>
          <w:tcPr>
            <w:tcW w:w="1262"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考核金额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218"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通用类</w:t>
            </w: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lang w:val="en-US"/>
                <w14:textFill>
                  <w14:solidFill>
                    <w14:schemeClr w14:val="tx1"/>
                  </w14:solidFill>
                </w14:textFill>
              </w:rPr>
            </w:pP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一线高空作业人员年龄不超50岁且持相应上岗证件、</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精</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神饱满、着装整齐，穿戴安全绳、安全帽等安全防护措施</w:t>
            </w:r>
          </w:p>
        </w:tc>
        <w:tc>
          <w:tcPr>
            <w:tcW w:w="3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一处不合格扣100元</w:t>
            </w:r>
          </w:p>
        </w:tc>
        <w:tc>
          <w:tcPr>
            <w:tcW w:w="126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作业人员需持证上岗，不得饮酒上岗</w:t>
            </w:r>
          </w:p>
        </w:tc>
        <w:tc>
          <w:tcPr>
            <w:tcW w:w="3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26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作业人员不得以任何理由和他人发生侮辱、谩骂、诽谤、造谣中伤、恐吓、威胁、吵架、打架等事件；不得在工作区域内拍照、摄像及在网络媒体上发布与甲方和轨道站方相关的帖子</w:t>
            </w:r>
          </w:p>
        </w:tc>
        <w:tc>
          <w:tcPr>
            <w:tcW w:w="3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一处不合格扣200-500元；情节严重，甲方有权终止服务合同，并保留追究法律责任的权利</w:t>
            </w:r>
          </w:p>
        </w:tc>
        <w:tc>
          <w:tcPr>
            <w:tcW w:w="126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作业前，按照甲方要求办理相关作业手续，准备作业材料和作业机具并放置指定位置，不得随意摆放</w:t>
            </w:r>
          </w:p>
        </w:tc>
        <w:tc>
          <w:tcPr>
            <w:tcW w:w="3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26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作业时，现场必须设置现场负责人，对全作业过程指挥并负责，不得对甲方和站点轨行区任何设施设备造成损坏</w:t>
            </w:r>
          </w:p>
        </w:tc>
        <w:tc>
          <w:tcPr>
            <w:tcW w:w="3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一处不合格扣200元，造成设备损坏的原价赔偿</w:t>
            </w:r>
          </w:p>
        </w:tc>
        <w:tc>
          <w:tcPr>
            <w:tcW w:w="126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作业完成后，及</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时恢复设备和清理现场，人员和机具的撤离符合甲方规定；确保现场无污水、杂物、垃圾等，不得对现场造成二次污染</w:t>
            </w:r>
          </w:p>
        </w:tc>
        <w:tc>
          <w:tcPr>
            <w:tcW w:w="3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26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及时响应并完成甲方和轨道方交办的工作任务</w:t>
            </w:r>
            <w:r>
              <w:rPr>
                <w:rFonts w:hint="eastAsia" w:ascii="Times New Roman" w:hAnsi="Times New Roman" w:eastAsia="方正仿宋_GBK" w:cs="Times New Roman"/>
                <w:color w:val="000000" w:themeColor="text1"/>
                <w:sz w:val="24"/>
                <w:szCs w:val="24"/>
                <w:highlight w:val="none"/>
                <w:lang w:val="en-US" w:eastAsia="zh-CN"/>
                <w14:textFill>
                  <w14:solidFill>
                    <w14:schemeClr w14:val="tx1"/>
                  </w14:solidFill>
                </w14:textFill>
              </w:rPr>
              <w:t>和其他</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临时性工作</w:t>
            </w:r>
          </w:p>
        </w:tc>
        <w:tc>
          <w:tcPr>
            <w:tcW w:w="3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26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按时到场且保质保量开展现场作业，不得迟到和早退。</w:t>
            </w:r>
          </w:p>
        </w:tc>
        <w:tc>
          <w:tcPr>
            <w:tcW w:w="3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迟到、早退30分钟及以内，一次扣50-100元；迟到、早退30分钟以上，一次扣100-500元；无法到场的，一次扣200-1000元</w:t>
            </w:r>
          </w:p>
        </w:tc>
        <w:tc>
          <w:tcPr>
            <w:tcW w:w="126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现场作业人员连续作业时长不超过8个小时</w:t>
            </w:r>
          </w:p>
        </w:tc>
        <w:tc>
          <w:tcPr>
            <w:tcW w:w="3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一处不合格扣500元</w:t>
            </w:r>
          </w:p>
        </w:tc>
        <w:tc>
          <w:tcPr>
            <w:tcW w:w="126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18" w:type="dxa"/>
            <w:vMerge w:val="continue"/>
            <w:tcBorders>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不得与轨道站方工作人员发生争吵、打架斗殴等恶意事件</w:t>
            </w:r>
          </w:p>
        </w:tc>
        <w:tc>
          <w:tcPr>
            <w:tcW w:w="3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一处不合格扣200-1000元</w:t>
            </w:r>
          </w:p>
        </w:tc>
        <w:tc>
          <w:tcPr>
            <w:tcW w:w="126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121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专业类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轨行区清掏冲洗：根据清掏、清洗作业现场实际情况配置人员、工具、设备、物资</w:t>
            </w:r>
          </w:p>
        </w:tc>
        <w:tc>
          <w:tcPr>
            <w:tcW w:w="3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26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轨行区清掏冲洗：未经现场工作人员同意，不得擅自操作使用轨行区设施、设备</w:t>
            </w:r>
          </w:p>
        </w:tc>
        <w:tc>
          <w:tcPr>
            <w:tcW w:w="3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一处不合格扣500元</w:t>
            </w:r>
          </w:p>
        </w:tc>
        <w:tc>
          <w:tcPr>
            <w:tcW w:w="126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轨行区清掏冲洗：排水设施清掏工作完成后仍不存在杂物、垃圾以及2cm厚的淤泥或钙化物；轨行区可见垃圾、装袋垃圾未按要求及时清运出轨行区</w:t>
            </w:r>
          </w:p>
        </w:tc>
        <w:tc>
          <w:tcPr>
            <w:tcW w:w="3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26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right w:val="single" w:color="auto" w:sz="4" w:space="0"/>
            </w:tcBorders>
            <w:noWrap w:val="0"/>
            <w:vAlign w:val="top"/>
          </w:tcPr>
          <w:p>
            <w:pPr>
              <w:jc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外墙清洗</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：避免造成地面交通拥堵，并提前进行协调</w:t>
            </w:r>
          </w:p>
        </w:tc>
        <w:tc>
          <w:tcPr>
            <w:tcW w:w="3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一处不合格扣500元</w:t>
            </w:r>
          </w:p>
        </w:tc>
        <w:tc>
          <w:tcPr>
            <w:tcW w:w="126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外墙清洗：更换外墙清洗负责人应征得甲方同意，以确保清洗负责人的工作水平维持在同一标准</w:t>
            </w:r>
          </w:p>
        </w:tc>
        <w:tc>
          <w:tcPr>
            <w:tcW w:w="3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26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外墙清洗：不得对造成的合同约定范围外区域二次污染</w:t>
            </w:r>
          </w:p>
        </w:tc>
        <w:tc>
          <w:tcPr>
            <w:tcW w:w="3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一处不合格扣200元，并自行清理</w:t>
            </w:r>
          </w:p>
        </w:tc>
        <w:tc>
          <w:tcPr>
            <w:tcW w:w="126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沟渠池清掏：清掏前必须采用气体检测仪现场检测有毒气体、可燃气体浓度，合格后开展清掏工作</w:t>
            </w:r>
          </w:p>
        </w:tc>
        <w:tc>
          <w:tcPr>
            <w:tcW w:w="3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一处不合格扣500元</w:t>
            </w:r>
          </w:p>
        </w:tc>
        <w:tc>
          <w:tcPr>
            <w:tcW w:w="126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沟渠池清掏：作业人员不得在清掏过程前中后抽烟不得出现明火，进入沟渠池清掏采用手电筒照明并做好防毒安全措施</w:t>
            </w:r>
          </w:p>
        </w:tc>
        <w:tc>
          <w:tcPr>
            <w:tcW w:w="3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一处不合格扣500元</w:t>
            </w:r>
          </w:p>
        </w:tc>
        <w:tc>
          <w:tcPr>
            <w:tcW w:w="126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沟渠池清掏：清掏结束后，不得出现污水溢出的情况，抽排后生化池内应无污水、杂物、粪渣存在，不得影响正常运营，及时将抽取物的外运弃倒和盖板复原</w:t>
            </w:r>
          </w:p>
        </w:tc>
        <w:tc>
          <w:tcPr>
            <w:tcW w:w="3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26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bl>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甲方</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确认：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乙方确认</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签字并</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盖章）</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w:t>
      </w: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年  月  日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年  月  日  </w:t>
      </w:r>
    </w:p>
    <w:p>
      <w:pPr>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pacing w:line="600" w:lineRule="exact"/>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5</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仿宋_GBK" w:cs="Times New Roman"/>
          <w:b/>
          <w:bCs/>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28"/>
          <w:szCs w:val="28"/>
          <w:highlight w:val="none"/>
          <w:lang w:val="en-US" w:eastAsia="zh-CN" w:bidi="ar-SA"/>
          <w14:textFill>
            <w14:solidFill>
              <w14:schemeClr w14:val="tx1"/>
            </w14:solidFill>
          </w14:textFill>
        </w:rPr>
        <w:t>站点作业清单</w:t>
      </w:r>
    </w:p>
    <w:p>
      <w:pPr>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t>1、轨行区清掏冲洗</w:t>
      </w:r>
    </w:p>
    <w:p>
      <w:pPr>
        <w:pStyle w:val="2"/>
        <w:pageBreakBefore w:val="0"/>
        <w:widowControl w:val="0"/>
        <w:kinsoku/>
        <w:wordWrap/>
        <w:overflowPunct/>
        <w:topLinePunct w:val="0"/>
        <w:autoSpaceDE/>
        <w:autoSpaceDN/>
        <w:bidi w:val="0"/>
        <w:adjustRightInd/>
        <w:snapToGrid/>
        <w:spacing w:before="0" w:after="0" w:line="440" w:lineRule="exact"/>
        <w:textAlignment w:val="auto"/>
        <w:rPr>
          <w:rFonts w:hint="default" w:ascii="Times New Roman" w:hAnsi="Times New Roman" w:eastAsia="方正仿宋_GBK" w:cs="Times New Roman"/>
          <w:b/>
          <w:bCs/>
          <w:color w:val="000000" w:themeColor="text1"/>
          <w:sz w:val="24"/>
          <w:szCs w:val="24"/>
          <w:highlight w:val="none"/>
          <w:lang w:val="en-US" w:eastAsia="zh-CN"/>
          <w14:textFill>
            <w14:solidFill>
              <w14:schemeClr w14:val="tx1"/>
            </w14:solidFill>
          </w14:textFill>
        </w:rPr>
      </w:pPr>
    </w:p>
    <w:tbl>
      <w:tblPr>
        <w:tblStyle w:val="10"/>
        <w:tblW w:w="8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4099"/>
        <w:gridCol w:w="1225"/>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340" w:type="dxa"/>
            <w:vAlign w:val="center"/>
          </w:tcPr>
          <w:p>
            <w:pPr>
              <w:jc w:val="cente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t>序号</w:t>
            </w:r>
          </w:p>
        </w:tc>
        <w:tc>
          <w:tcPr>
            <w:tcW w:w="4099" w:type="dxa"/>
            <w:vAlign w:val="center"/>
          </w:tcPr>
          <w:p>
            <w:pPr>
              <w:jc w:val="cente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t>服务内容</w:t>
            </w:r>
          </w:p>
        </w:tc>
        <w:tc>
          <w:tcPr>
            <w:tcW w:w="1225" w:type="dxa"/>
            <w:vAlign w:val="center"/>
          </w:tcPr>
          <w:p>
            <w:pPr>
              <w:jc w:val="cente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t>数量</w:t>
            </w:r>
          </w:p>
        </w:tc>
        <w:tc>
          <w:tcPr>
            <w:tcW w:w="1531" w:type="dxa"/>
            <w:vAlign w:val="center"/>
          </w:tcPr>
          <w:p>
            <w:pPr>
              <w:jc w:val="cente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40"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c>
          <w:tcPr>
            <w:tcW w:w="4099"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隧道排水沟清掏</w:t>
            </w:r>
          </w:p>
        </w:tc>
        <w:tc>
          <w:tcPr>
            <w:tcW w:w="1225"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9920.00</w:t>
            </w:r>
          </w:p>
        </w:tc>
        <w:tc>
          <w:tcPr>
            <w:tcW w:w="1531"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40"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w:t>
            </w:r>
          </w:p>
        </w:tc>
        <w:tc>
          <w:tcPr>
            <w:tcW w:w="4099"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隧道冲洗</w:t>
            </w:r>
          </w:p>
        </w:tc>
        <w:tc>
          <w:tcPr>
            <w:tcW w:w="1225"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40800.00</w:t>
            </w:r>
          </w:p>
        </w:tc>
        <w:tc>
          <w:tcPr>
            <w:tcW w:w="1531"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40"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3</w:t>
            </w:r>
          </w:p>
        </w:tc>
        <w:tc>
          <w:tcPr>
            <w:tcW w:w="4099"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道岔桥清洁</w:t>
            </w:r>
          </w:p>
        </w:tc>
        <w:tc>
          <w:tcPr>
            <w:tcW w:w="1225"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5535.00</w:t>
            </w:r>
          </w:p>
        </w:tc>
        <w:tc>
          <w:tcPr>
            <w:tcW w:w="1531"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40"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4</w:t>
            </w:r>
          </w:p>
        </w:tc>
        <w:tc>
          <w:tcPr>
            <w:tcW w:w="4099"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区间轨行区路基段清洁卫生及杂草清除</w:t>
            </w:r>
          </w:p>
        </w:tc>
        <w:tc>
          <w:tcPr>
            <w:tcW w:w="1225"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20000.00</w:t>
            </w:r>
          </w:p>
        </w:tc>
        <w:tc>
          <w:tcPr>
            <w:tcW w:w="1531"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40"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5</w:t>
            </w:r>
          </w:p>
        </w:tc>
        <w:tc>
          <w:tcPr>
            <w:tcW w:w="4099"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区间雨棚及防抛网清洁</w:t>
            </w:r>
          </w:p>
        </w:tc>
        <w:tc>
          <w:tcPr>
            <w:tcW w:w="1225"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3000.00</w:t>
            </w:r>
          </w:p>
        </w:tc>
        <w:tc>
          <w:tcPr>
            <w:tcW w:w="1531"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40"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6</w:t>
            </w:r>
          </w:p>
        </w:tc>
        <w:tc>
          <w:tcPr>
            <w:tcW w:w="4099"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边坡、挡墙清洁卫生及杂草清除</w:t>
            </w:r>
          </w:p>
        </w:tc>
        <w:tc>
          <w:tcPr>
            <w:tcW w:w="1225"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1000.00</w:t>
            </w:r>
          </w:p>
        </w:tc>
        <w:tc>
          <w:tcPr>
            <w:tcW w:w="1531"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40"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7</w:t>
            </w:r>
          </w:p>
        </w:tc>
        <w:tc>
          <w:tcPr>
            <w:tcW w:w="4099"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垃圾二次转运及处置</w:t>
            </w:r>
          </w:p>
        </w:tc>
        <w:tc>
          <w:tcPr>
            <w:tcW w:w="1225"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25.00</w:t>
            </w:r>
          </w:p>
        </w:tc>
        <w:tc>
          <w:tcPr>
            <w:tcW w:w="1531"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车（10t）</w:t>
            </w:r>
          </w:p>
        </w:tc>
      </w:tr>
    </w:tbl>
    <w:p>
      <w:pPr>
        <w:pStyle w:val="2"/>
        <w:pageBreakBefore w:val="0"/>
        <w:widowControl w:val="0"/>
        <w:kinsoku/>
        <w:wordWrap/>
        <w:overflowPunct/>
        <w:topLinePunct w:val="0"/>
        <w:autoSpaceDE/>
        <w:autoSpaceDN/>
        <w:bidi w:val="0"/>
        <w:adjustRightInd/>
        <w:snapToGrid/>
        <w:spacing w:before="0" w:after="0" w:line="440" w:lineRule="exact"/>
        <w:textAlignment w:val="auto"/>
        <w:rPr>
          <w:rFonts w:hint="default" w:ascii="Times New Roman" w:hAnsi="Times New Roman" w:eastAsia="方正仿宋_GBK" w:cs="Times New Roman"/>
          <w:b/>
          <w:bCs/>
          <w:color w:val="000000" w:themeColor="text1"/>
          <w:sz w:val="24"/>
          <w:szCs w:val="24"/>
          <w:highlight w:val="none"/>
          <w:lang w:val="en-US" w:eastAsia="zh-CN"/>
          <w14:textFill>
            <w14:solidFill>
              <w14:schemeClr w14:val="tx1"/>
            </w14:solidFill>
          </w14:textFill>
        </w:rPr>
      </w:pPr>
    </w:p>
    <w:p>
      <w:pPr>
        <w:pStyle w:val="2"/>
        <w:pageBreakBefore w:val="0"/>
        <w:widowControl w:val="0"/>
        <w:kinsoku/>
        <w:wordWrap/>
        <w:overflowPunct/>
        <w:topLinePunct w:val="0"/>
        <w:autoSpaceDE/>
        <w:autoSpaceDN/>
        <w:bidi w:val="0"/>
        <w:adjustRightInd/>
        <w:snapToGrid/>
        <w:spacing w:before="0" w:after="0" w:line="440" w:lineRule="exact"/>
        <w:textAlignment w:val="auto"/>
        <w:rPr>
          <w:rFonts w:hint="default" w:ascii="Times New Roman" w:hAnsi="Times New Roman" w:eastAsia="方正仿宋_GBK"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24"/>
          <w:szCs w:val="24"/>
          <w:highlight w:val="none"/>
          <w:lang w:val="en-US" w:eastAsia="zh-CN"/>
          <w14:textFill>
            <w14:solidFill>
              <w14:schemeClr w14:val="tx1"/>
            </w14:solidFill>
          </w14:textFill>
        </w:rPr>
        <w:t>2、外墙清洗</w:t>
      </w:r>
    </w:p>
    <w:tbl>
      <w:tblPr>
        <w:tblStyle w:val="11"/>
        <w:tblpPr w:leftFromText="180" w:rightFromText="180" w:vertAnchor="text" w:tblpY="1"/>
        <w:tblOverlap w:val="never"/>
        <w:tblW w:w="84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617"/>
        <w:gridCol w:w="3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074" w:type="dxa"/>
            <w:vAlign w:val="center"/>
          </w:tcPr>
          <w:p>
            <w:pPr>
              <w:jc w:val="cente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t>序号</w:t>
            </w:r>
          </w:p>
        </w:tc>
        <w:tc>
          <w:tcPr>
            <w:tcW w:w="2617" w:type="dxa"/>
            <w:vAlign w:val="center"/>
          </w:tcPr>
          <w:p>
            <w:pPr>
              <w:jc w:val="cente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t>站点/变电所</w:t>
            </w:r>
          </w:p>
        </w:tc>
        <w:tc>
          <w:tcPr>
            <w:tcW w:w="3743" w:type="dxa"/>
            <w:vAlign w:val="center"/>
          </w:tcPr>
          <w:p>
            <w:pPr>
              <w:jc w:val="cente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c>
          <w:tcPr>
            <w:tcW w:w="2617"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黄花园站点</w:t>
            </w:r>
          </w:p>
        </w:tc>
        <w:tc>
          <w:tcPr>
            <w:tcW w:w="3743"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4730.00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w:t>
            </w:r>
          </w:p>
        </w:tc>
        <w:tc>
          <w:tcPr>
            <w:tcW w:w="2617"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大溪沟站点</w:t>
            </w:r>
          </w:p>
        </w:tc>
        <w:tc>
          <w:tcPr>
            <w:tcW w:w="3743"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3901.00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3</w:t>
            </w:r>
          </w:p>
        </w:tc>
        <w:tc>
          <w:tcPr>
            <w:tcW w:w="2617"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曾家岩站点</w:t>
            </w:r>
          </w:p>
        </w:tc>
        <w:tc>
          <w:tcPr>
            <w:tcW w:w="3743"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4926.00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4</w:t>
            </w:r>
          </w:p>
        </w:tc>
        <w:tc>
          <w:tcPr>
            <w:tcW w:w="2617"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牛角沱站点</w:t>
            </w:r>
          </w:p>
        </w:tc>
        <w:tc>
          <w:tcPr>
            <w:tcW w:w="3743"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4353.00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5</w:t>
            </w:r>
          </w:p>
        </w:tc>
        <w:tc>
          <w:tcPr>
            <w:tcW w:w="2617"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李子坝站点</w:t>
            </w:r>
          </w:p>
        </w:tc>
        <w:tc>
          <w:tcPr>
            <w:tcW w:w="3743"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2468.00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6</w:t>
            </w:r>
          </w:p>
        </w:tc>
        <w:tc>
          <w:tcPr>
            <w:tcW w:w="2617"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佛图关站点</w:t>
            </w:r>
          </w:p>
        </w:tc>
        <w:tc>
          <w:tcPr>
            <w:tcW w:w="3743"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4613.00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7</w:t>
            </w:r>
          </w:p>
        </w:tc>
        <w:tc>
          <w:tcPr>
            <w:tcW w:w="2617"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袁家岗站点</w:t>
            </w:r>
          </w:p>
        </w:tc>
        <w:tc>
          <w:tcPr>
            <w:tcW w:w="3743"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4849.00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8</w:t>
            </w:r>
          </w:p>
        </w:tc>
        <w:tc>
          <w:tcPr>
            <w:tcW w:w="2617"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谢家湾站点</w:t>
            </w:r>
          </w:p>
        </w:tc>
        <w:tc>
          <w:tcPr>
            <w:tcW w:w="3743"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6050.00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9</w:t>
            </w:r>
          </w:p>
        </w:tc>
        <w:tc>
          <w:tcPr>
            <w:tcW w:w="2617"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杨家坪站点</w:t>
            </w:r>
          </w:p>
        </w:tc>
        <w:tc>
          <w:tcPr>
            <w:tcW w:w="3743"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5327.00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10</w:t>
            </w:r>
          </w:p>
        </w:tc>
        <w:tc>
          <w:tcPr>
            <w:tcW w:w="2617"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动物园站点</w:t>
            </w:r>
          </w:p>
        </w:tc>
        <w:tc>
          <w:tcPr>
            <w:tcW w:w="3743"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4296.00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11</w:t>
            </w:r>
          </w:p>
        </w:tc>
        <w:tc>
          <w:tcPr>
            <w:tcW w:w="2617"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大堰站点</w:t>
            </w:r>
          </w:p>
        </w:tc>
        <w:tc>
          <w:tcPr>
            <w:tcW w:w="3743"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4359.00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12</w:t>
            </w:r>
          </w:p>
        </w:tc>
        <w:tc>
          <w:tcPr>
            <w:tcW w:w="2617"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马王场站点</w:t>
            </w:r>
          </w:p>
        </w:tc>
        <w:tc>
          <w:tcPr>
            <w:tcW w:w="3743"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7529.00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13</w:t>
            </w:r>
          </w:p>
        </w:tc>
        <w:tc>
          <w:tcPr>
            <w:tcW w:w="2617"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平安站点</w:t>
            </w:r>
          </w:p>
        </w:tc>
        <w:tc>
          <w:tcPr>
            <w:tcW w:w="3743"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6807.00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14</w:t>
            </w:r>
          </w:p>
        </w:tc>
        <w:tc>
          <w:tcPr>
            <w:tcW w:w="2617"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大渡口站点</w:t>
            </w:r>
          </w:p>
        </w:tc>
        <w:tc>
          <w:tcPr>
            <w:tcW w:w="3743"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3703.00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15</w:t>
            </w:r>
          </w:p>
        </w:tc>
        <w:tc>
          <w:tcPr>
            <w:tcW w:w="2617"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新山村站点</w:t>
            </w:r>
          </w:p>
        </w:tc>
        <w:tc>
          <w:tcPr>
            <w:tcW w:w="3743"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4918.00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16</w:t>
            </w:r>
          </w:p>
        </w:tc>
        <w:tc>
          <w:tcPr>
            <w:tcW w:w="2617"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天堂堡站点</w:t>
            </w:r>
          </w:p>
        </w:tc>
        <w:tc>
          <w:tcPr>
            <w:tcW w:w="3743"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5808.00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17</w:t>
            </w:r>
          </w:p>
        </w:tc>
        <w:tc>
          <w:tcPr>
            <w:tcW w:w="2617"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建桥站点</w:t>
            </w:r>
          </w:p>
        </w:tc>
        <w:tc>
          <w:tcPr>
            <w:tcW w:w="3743"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1888.00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18</w:t>
            </w:r>
          </w:p>
        </w:tc>
        <w:tc>
          <w:tcPr>
            <w:tcW w:w="2617"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金家湾站点</w:t>
            </w:r>
          </w:p>
        </w:tc>
        <w:tc>
          <w:tcPr>
            <w:tcW w:w="3743"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3322.80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19</w:t>
            </w:r>
          </w:p>
        </w:tc>
        <w:tc>
          <w:tcPr>
            <w:tcW w:w="2617"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刘家坝站点</w:t>
            </w:r>
          </w:p>
        </w:tc>
        <w:tc>
          <w:tcPr>
            <w:tcW w:w="3743"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3368.80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20</w:t>
            </w:r>
          </w:p>
        </w:tc>
        <w:tc>
          <w:tcPr>
            <w:tcW w:w="2617"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白居寺站点</w:t>
            </w:r>
          </w:p>
        </w:tc>
        <w:tc>
          <w:tcPr>
            <w:tcW w:w="3743"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21</w:t>
            </w:r>
          </w:p>
        </w:tc>
        <w:tc>
          <w:tcPr>
            <w:tcW w:w="2617"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大江站点</w:t>
            </w:r>
          </w:p>
        </w:tc>
        <w:tc>
          <w:tcPr>
            <w:tcW w:w="3743"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22</w:t>
            </w:r>
          </w:p>
        </w:tc>
        <w:tc>
          <w:tcPr>
            <w:tcW w:w="2617"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龙家湾变电所</w:t>
            </w:r>
          </w:p>
        </w:tc>
        <w:tc>
          <w:tcPr>
            <w:tcW w:w="3743"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23</w:t>
            </w:r>
          </w:p>
        </w:tc>
        <w:tc>
          <w:tcPr>
            <w:tcW w:w="2617"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袁家岗变电所</w:t>
            </w:r>
          </w:p>
        </w:tc>
        <w:tc>
          <w:tcPr>
            <w:tcW w:w="3743"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645.00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24</w:t>
            </w:r>
          </w:p>
        </w:tc>
        <w:tc>
          <w:tcPr>
            <w:tcW w:w="2617"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动物园变电所</w:t>
            </w:r>
          </w:p>
        </w:tc>
        <w:tc>
          <w:tcPr>
            <w:tcW w:w="3743" w:type="dxa"/>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1818.80</w:t>
            </w:r>
          </w:p>
        </w:tc>
      </w:tr>
    </w:tbl>
    <w:p>
      <w:pPr>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b/>
          <w:bCs/>
          <w:color w:val="000000" w:themeColor="text1"/>
          <w:sz w:val="24"/>
          <w:szCs w:val="24"/>
          <w:highlight w:val="none"/>
          <w:lang w:val="en-US" w:eastAsia="zh-CN"/>
          <w14:textFill>
            <w14:solidFill>
              <w14:schemeClr w14:val="tx1"/>
            </w14:solidFill>
          </w14:textFill>
        </w:rPr>
      </w:pPr>
    </w:p>
    <w:p>
      <w:pPr>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24"/>
          <w:szCs w:val="24"/>
          <w:highlight w:val="none"/>
          <w:lang w:val="en-US" w:eastAsia="zh-CN"/>
          <w14:textFill>
            <w14:solidFill>
              <w14:schemeClr w14:val="tx1"/>
            </w14:solidFill>
          </w14:textFill>
        </w:rPr>
        <w:t>3、沟渠池清掏</w:t>
      </w:r>
    </w:p>
    <w:p>
      <w:pPr>
        <w:pStyle w:val="2"/>
        <w:keepNext/>
        <w:keepLines/>
        <w:pageBreakBefore w:val="0"/>
        <w:widowControl w:val="0"/>
        <w:kinsoku/>
        <w:wordWrap/>
        <w:overflowPunct/>
        <w:topLinePunct w:val="0"/>
        <w:autoSpaceDE/>
        <w:autoSpaceDN/>
        <w:bidi w:val="0"/>
        <w:adjustRightInd/>
        <w:snapToGrid/>
        <w:spacing w:before="0" w:after="0" w:line="440" w:lineRule="exact"/>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24"/>
          <w:szCs w:val="24"/>
          <w:highlight w:val="none"/>
          <w:lang w:val="en-US" w:eastAsia="zh-CN"/>
          <w14:textFill>
            <w14:solidFill>
              <w14:schemeClr w14:val="tx1"/>
            </w14:solidFill>
          </w14:textFill>
        </w:rPr>
        <w:t>（1）生化池和污水（井）处理池</w:t>
      </w:r>
    </w:p>
    <w:tbl>
      <w:tblPr>
        <w:tblStyle w:val="10"/>
        <w:tblpPr w:leftFromText="180" w:rightFromText="180" w:vertAnchor="text" w:horzAnchor="page" w:tblpX="1789" w:tblpY="646"/>
        <w:tblOverlap w:val="never"/>
        <w:tblW w:w="86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5"/>
        <w:gridCol w:w="1095"/>
        <w:gridCol w:w="1815"/>
        <w:gridCol w:w="2070"/>
        <w:gridCol w:w="138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exact"/>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firstLineChars="0"/>
              <w:jc w:val="center"/>
              <w:rPr>
                <w:rFonts w:hint="default" w:ascii="Times New Roman" w:hAnsi="Times New Roman" w:cs="Times New Roman"/>
                <w:b/>
                <w:bCs w:val="0"/>
                <w:snapToGrid w:val="0"/>
                <w:color w:val="000000" w:themeColor="text1"/>
                <w:kern w:val="0"/>
                <w:szCs w:val="21"/>
                <w:highlight w:val="none"/>
                <w:lang w:val="en-US" w:eastAsia="zh-CN"/>
                <w14:textFill>
                  <w14:solidFill>
                    <w14:schemeClr w14:val="tx1"/>
                  </w14:solidFill>
                </w14:textFill>
              </w:rPr>
            </w:pPr>
            <w:r>
              <w:rPr>
                <w:rFonts w:hint="default" w:ascii="Times New Roman" w:hAnsi="Times New Roman" w:cs="Times New Roman"/>
                <w:b/>
                <w:bCs w:val="0"/>
                <w:snapToGrid w:val="0"/>
                <w:color w:val="000000" w:themeColor="text1"/>
                <w:kern w:val="0"/>
                <w:szCs w:val="21"/>
                <w:highlight w:val="none"/>
                <w:lang w:val="en-US" w:eastAsia="zh-CN"/>
                <w14:textFill>
                  <w14:solidFill>
                    <w14:schemeClr w14:val="tx1"/>
                  </w14:solidFill>
                </w14:textFill>
              </w:rPr>
              <w:t>序号</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firstLineChars="0"/>
              <w:jc w:val="center"/>
              <w:rPr>
                <w:rFonts w:hint="default" w:ascii="Times New Roman" w:hAnsi="Times New Roman" w:cs="Times New Roman" w:eastAsiaTheme="minorEastAsia"/>
                <w:b/>
                <w:bCs w:val="0"/>
                <w:snapToGrid w:val="0"/>
                <w:color w:val="000000" w:themeColor="text1"/>
                <w:kern w:val="0"/>
                <w:szCs w:val="21"/>
                <w:highlight w:val="none"/>
                <w:lang w:val="en-US" w:eastAsia="zh-CN"/>
                <w14:textFill>
                  <w14:solidFill>
                    <w14:schemeClr w14:val="tx1"/>
                  </w14:solidFill>
                </w14:textFill>
              </w:rPr>
            </w:pPr>
            <w:r>
              <w:rPr>
                <w:rFonts w:hint="default" w:ascii="Times New Roman" w:hAnsi="Times New Roman" w:cs="Times New Roman"/>
                <w:b/>
                <w:bCs w:val="0"/>
                <w:snapToGrid w:val="0"/>
                <w:color w:val="000000" w:themeColor="text1"/>
                <w:kern w:val="0"/>
                <w:szCs w:val="21"/>
                <w:highlight w:val="none"/>
                <w:lang w:val="en-US" w:eastAsia="zh-CN"/>
                <w14:textFill>
                  <w14:solidFill>
                    <w14:schemeClr w14:val="tx1"/>
                  </w14:solidFill>
                </w14:textFill>
              </w:rPr>
              <w:t>站点</w:t>
            </w:r>
          </w:p>
        </w:tc>
        <w:tc>
          <w:tcPr>
            <w:tcW w:w="18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firstLineChars="0"/>
              <w:jc w:val="center"/>
              <w:rPr>
                <w:rFonts w:hint="default" w:ascii="Times New Roman" w:hAnsi="Times New Roman" w:cs="Times New Roman"/>
                <w:b/>
                <w:bCs w:val="0"/>
                <w:snapToGrid w:val="0"/>
                <w:color w:val="000000" w:themeColor="text1"/>
                <w:kern w:val="0"/>
                <w:szCs w:val="21"/>
                <w:highlight w:val="none"/>
                <w14:textFill>
                  <w14:solidFill>
                    <w14:schemeClr w14:val="tx1"/>
                  </w14:solidFill>
                </w14:textFill>
              </w:rPr>
            </w:pPr>
            <w:r>
              <w:rPr>
                <w:rFonts w:hint="default" w:ascii="Times New Roman" w:hAnsi="Times New Roman" w:cs="Times New Roman"/>
                <w:b/>
                <w:bCs w:val="0"/>
                <w:snapToGrid w:val="0"/>
                <w:color w:val="000000" w:themeColor="text1"/>
                <w:kern w:val="0"/>
                <w:szCs w:val="21"/>
                <w:highlight w:val="none"/>
                <w14:textFill>
                  <w14:solidFill>
                    <w14:schemeClr w14:val="tx1"/>
                  </w14:solidFill>
                </w14:textFill>
              </w:rPr>
              <w:t>污水池体积</w:t>
            </w:r>
          </w:p>
          <w:p>
            <w:pPr>
              <w:keepNext w:val="0"/>
              <w:keepLines w:val="0"/>
              <w:widowControl/>
              <w:suppressLineNumbers w:val="0"/>
              <w:spacing w:before="0" w:beforeAutospacing="0" w:after="0" w:afterAutospacing="0"/>
              <w:ind w:left="0" w:right="0" w:firstLine="0" w:firstLineChars="0"/>
              <w:jc w:val="center"/>
              <w:rPr>
                <w:rFonts w:hint="default" w:ascii="Times New Roman" w:hAnsi="Times New Roman" w:cs="Times New Roman"/>
                <w:b/>
                <w:bCs w:val="0"/>
                <w:snapToGrid w:val="0"/>
                <w:color w:val="000000" w:themeColor="text1"/>
                <w:kern w:val="0"/>
                <w:szCs w:val="21"/>
                <w:highlight w:val="none"/>
                <w14:textFill>
                  <w14:solidFill>
                    <w14:schemeClr w14:val="tx1"/>
                  </w14:solidFill>
                </w14:textFill>
              </w:rPr>
            </w:pPr>
            <w:r>
              <w:rPr>
                <w:rFonts w:hint="default" w:ascii="Times New Roman" w:hAnsi="Times New Roman" w:cs="Times New Roman"/>
                <w:b/>
                <w:bCs w:val="0"/>
                <w:snapToGrid w:val="0"/>
                <w:color w:val="000000" w:themeColor="text1"/>
                <w:kern w:val="0"/>
                <w:szCs w:val="21"/>
                <w:highlight w:val="none"/>
                <w:lang w:eastAsia="zh-CN"/>
                <w14:textFill>
                  <w14:solidFill>
                    <w14:schemeClr w14:val="tx1"/>
                  </w14:solidFill>
                </w14:textFill>
              </w:rPr>
              <w:t>（</w:t>
            </w:r>
            <w:r>
              <w:rPr>
                <w:rFonts w:hint="default" w:ascii="Times New Roman" w:hAnsi="Times New Roman" w:cs="Times New Roman"/>
                <w:b/>
                <w:bCs w:val="0"/>
                <w:snapToGrid w:val="0"/>
                <w:color w:val="000000" w:themeColor="text1"/>
                <w:kern w:val="0"/>
                <w:szCs w:val="21"/>
                <w:highlight w:val="none"/>
                <w14:textFill>
                  <w14:solidFill>
                    <w14:schemeClr w14:val="tx1"/>
                  </w14:solidFill>
                </w14:textFill>
              </w:rPr>
              <w:t>m³</w:t>
            </w:r>
            <w:r>
              <w:rPr>
                <w:rFonts w:hint="default" w:ascii="Times New Roman" w:hAnsi="Times New Roman" w:cs="Times New Roman"/>
                <w:b/>
                <w:bCs w:val="0"/>
                <w:snapToGrid w:val="0"/>
                <w:color w:val="000000" w:themeColor="text1"/>
                <w:kern w:val="0"/>
                <w:szCs w:val="21"/>
                <w:highlight w:val="none"/>
                <w:lang w:eastAsia="zh-CN"/>
                <w14:textFill>
                  <w14:solidFill>
                    <w14:schemeClr w14:val="tx1"/>
                  </w14:solidFill>
                </w14:textFill>
              </w:rPr>
              <w:t>）</w:t>
            </w:r>
          </w:p>
        </w:tc>
        <w:tc>
          <w:tcPr>
            <w:tcW w:w="20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firstLineChars="0"/>
              <w:jc w:val="center"/>
              <w:rPr>
                <w:rFonts w:hint="default" w:ascii="Times New Roman" w:hAnsi="Times New Roman" w:cs="Times New Roman"/>
                <w:b/>
                <w:bCs w:val="0"/>
                <w:snapToGrid w:val="0"/>
                <w:color w:val="000000" w:themeColor="text1"/>
                <w:kern w:val="0"/>
                <w:szCs w:val="21"/>
                <w:highlight w:val="none"/>
                <w14:textFill>
                  <w14:solidFill>
                    <w14:schemeClr w14:val="tx1"/>
                  </w14:solidFill>
                </w14:textFill>
              </w:rPr>
            </w:pPr>
            <w:r>
              <w:rPr>
                <w:rFonts w:hint="default" w:ascii="Times New Roman" w:hAnsi="Times New Roman" w:cs="Times New Roman"/>
                <w:b/>
                <w:bCs w:val="0"/>
                <w:snapToGrid w:val="0"/>
                <w:color w:val="000000" w:themeColor="text1"/>
                <w:kern w:val="0"/>
                <w:szCs w:val="21"/>
                <w:highlight w:val="none"/>
                <w14:textFill>
                  <w14:solidFill>
                    <w14:schemeClr w14:val="tx1"/>
                  </w14:solidFill>
                </w14:textFill>
              </w:rPr>
              <w:t>生化池体积</w:t>
            </w:r>
          </w:p>
          <w:p>
            <w:pPr>
              <w:keepNext w:val="0"/>
              <w:keepLines w:val="0"/>
              <w:widowControl/>
              <w:suppressLineNumbers w:val="0"/>
              <w:spacing w:before="0" w:beforeAutospacing="0" w:after="0" w:afterAutospacing="0"/>
              <w:ind w:left="0" w:right="0" w:firstLine="0" w:firstLineChars="0"/>
              <w:jc w:val="center"/>
              <w:rPr>
                <w:rFonts w:hint="default" w:ascii="Times New Roman" w:hAnsi="Times New Roman" w:cs="Times New Roman"/>
                <w:b/>
                <w:bCs w:val="0"/>
                <w:snapToGrid w:val="0"/>
                <w:color w:val="000000" w:themeColor="text1"/>
                <w:kern w:val="0"/>
                <w:szCs w:val="21"/>
                <w:highlight w:val="none"/>
                <w14:textFill>
                  <w14:solidFill>
                    <w14:schemeClr w14:val="tx1"/>
                  </w14:solidFill>
                </w14:textFill>
              </w:rPr>
            </w:pPr>
            <w:r>
              <w:rPr>
                <w:rFonts w:hint="default" w:ascii="Times New Roman" w:hAnsi="Times New Roman" w:cs="Times New Roman"/>
                <w:b/>
                <w:bCs w:val="0"/>
                <w:snapToGrid w:val="0"/>
                <w:color w:val="000000" w:themeColor="text1"/>
                <w:kern w:val="0"/>
                <w:szCs w:val="21"/>
                <w:highlight w:val="none"/>
                <w:lang w:eastAsia="zh-CN"/>
                <w14:textFill>
                  <w14:solidFill>
                    <w14:schemeClr w14:val="tx1"/>
                  </w14:solidFill>
                </w14:textFill>
              </w:rPr>
              <w:t>（</w:t>
            </w:r>
            <w:r>
              <w:rPr>
                <w:rFonts w:hint="default" w:ascii="Times New Roman" w:hAnsi="Times New Roman" w:cs="Times New Roman"/>
                <w:b/>
                <w:bCs w:val="0"/>
                <w:snapToGrid w:val="0"/>
                <w:color w:val="000000" w:themeColor="text1"/>
                <w:kern w:val="0"/>
                <w:szCs w:val="21"/>
                <w:highlight w:val="none"/>
                <w14:textFill>
                  <w14:solidFill>
                    <w14:schemeClr w14:val="tx1"/>
                  </w14:solidFill>
                </w14:textFill>
              </w:rPr>
              <w:t>m³</w:t>
            </w:r>
            <w:r>
              <w:rPr>
                <w:rFonts w:hint="default" w:ascii="Times New Roman" w:hAnsi="Times New Roman" w:cs="Times New Roman"/>
                <w:b/>
                <w:bCs w:val="0"/>
                <w:snapToGrid w:val="0"/>
                <w:color w:val="000000" w:themeColor="text1"/>
                <w:kern w:val="0"/>
                <w:szCs w:val="21"/>
                <w:highlight w:val="none"/>
                <w:lang w:eastAsia="zh-CN"/>
                <w14:textFill>
                  <w14:solidFill>
                    <w14:schemeClr w14:val="tx1"/>
                  </w14:solidFill>
                </w14:textFill>
              </w:rPr>
              <w:t>）</w:t>
            </w:r>
          </w:p>
        </w:tc>
        <w:tc>
          <w:tcPr>
            <w:tcW w:w="13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firstLineChars="0"/>
              <w:jc w:val="center"/>
              <w:rPr>
                <w:rFonts w:hint="default" w:ascii="Times New Roman" w:hAnsi="Times New Roman" w:cs="Times New Roman"/>
                <w:b/>
                <w:bCs w:val="0"/>
                <w:snapToGrid w:val="0"/>
                <w:color w:val="000000" w:themeColor="text1"/>
                <w:kern w:val="0"/>
                <w:szCs w:val="21"/>
                <w:highlight w:val="none"/>
                <w14:textFill>
                  <w14:solidFill>
                    <w14:schemeClr w14:val="tx1"/>
                  </w14:solidFill>
                </w14:textFill>
              </w:rPr>
            </w:pPr>
            <w:r>
              <w:rPr>
                <w:rFonts w:hint="default" w:ascii="Times New Roman" w:hAnsi="Times New Roman" w:cs="Times New Roman"/>
                <w:b/>
                <w:bCs w:val="0"/>
                <w:snapToGrid w:val="0"/>
                <w:color w:val="000000" w:themeColor="text1"/>
                <w:kern w:val="0"/>
                <w:szCs w:val="21"/>
                <w:highlight w:val="none"/>
                <w14:textFill>
                  <w14:solidFill>
                    <w14:schemeClr w14:val="tx1"/>
                  </w14:solidFill>
                </w14:textFill>
              </w:rPr>
              <w:t>污水池量（个）</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firstLineChars="0"/>
              <w:jc w:val="center"/>
              <w:rPr>
                <w:rFonts w:hint="default" w:ascii="Times New Roman" w:hAnsi="Times New Roman" w:cs="Times New Roman"/>
                <w:b/>
                <w:bCs w:val="0"/>
                <w:snapToGrid w:val="0"/>
                <w:color w:val="000000" w:themeColor="text1"/>
                <w:kern w:val="0"/>
                <w:szCs w:val="21"/>
                <w:highlight w:val="none"/>
                <w14:textFill>
                  <w14:solidFill>
                    <w14:schemeClr w14:val="tx1"/>
                  </w14:solidFill>
                </w14:textFill>
              </w:rPr>
            </w:pPr>
            <w:r>
              <w:rPr>
                <w:rFonts w:hint="default" w:ascii="Times New Roman" w:hAnsi="Times New Roman" w:cs="Times New Roman"/>
                <w:b/>
                <w:bCs w:val="0"/>
                <w:snapToGrid w:val="0"/>
                <w:color w:val="000000" w:themeColor="text1"/>
                <w:kern w:val="0"/>
                <w:szCs w:val="21"/>
                <w:highlight w:val="none"/>
                <w14:textFill>
                  <w14:solidFill>
                    <w14:schemeClr w14:val="tx1"/>
                  </w14:solidFill>
                </w14:textFill>
              </w:rPr>
              <w:t>生化池量（个）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较场口站</w:t>
            </w:r>
          </w:p>
        </w:tc>
        <w:tc>
          <w:tcPr>
            <w:tcW w:w="1815"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9.66</w:t>
            </w:r>
          </w:p>
        </w:tc>
        <w:tc>
          <w:tcPr>
            <w:tcW w:w="207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65.28</w:t>
            </w:r>
          </w:p>
        </w:tc>
        <w:tc>
          <w:tcPr>
            <w:tcW w:w="138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c>
          <w:tcPr>
            <w:tcW w:w="120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临江门站</w:t>
            </w:r>
          </w:p>
        </w:tc>
        <w:tc>
          <w:tcPr>
            <w:tcW w:w="1815"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6</w:t>
            </w:r>
          </w:p>
        </w:tc>
        <w:tc>
          <w:tcPr>
            <w:tcW w:w="207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65.28</w:t>
            </w:r>
          </w:p>
        </w:tc>
        <w:tc>
          <w:tcPr>
            <w:tcW w:w="138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c>
          <w:tcPr>
            <w:tcW w:w="120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3</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黄花园站</w:t>
            </w:r>
          </w:p>
        </w:tc>
        <w:tc>
          <w:tcPr>
            <w:tcW w:w="1815"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07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63.74</w:t>
            </w:r>
          </w:p>
        </w:tc>
        <w:tc>
          <w:tcPr>
            <w:tcW w:w="138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0</w:t>
            </w:r>
          </w:p>
        </w:tc>
        <w:tc>
          <w:tcPr>
            <w:tcW w:w="120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4</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大溪沟站</w:t>
            </w:r>
          </w:p>
        </w:tc>
        <w:tc>
          <w:tcPr>
            <w:tcW w:w="1815"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07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46.37</w:t>
            </w:r>
          </w:p>
        </w:tc>
        <w:tc>
          <w:tcPr>
            <w:tcW w:w="138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0</w:t>
            </w:r>
          </w:p>
        </w:tc>
        <w:tc>
          <w:tcPr>
            <w:tcW w:w="120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5</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曾家岩站</w:t>
            </w:r>
          </w:p>
        </w:tc>
        <w:tc>
          <w:tcPr>
            <w:tcW w:w="1815"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07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22.5</w:t>
            </w:r>
          </w:p>
        </w:tc>
        <w:tc>
          <w:tcPr>
            <w:tcW w:w="138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0</w:t>
            </w:r>
          </w:p>
        </w:tc>
        <w:tc>
          <w:tcPr>
            <w:tcW w:w="120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6</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牛角沱站</w:t>
            </w:r>
          </w:p>
        </w:tc>
        <w:tc>
          <w:tcPr>
            <w:tcW w:w="1815"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07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29.16</w:t>
            </w:r>
          </w:p>
        </w:tc>
        <w:tc>
          <w:tcPr>
            <w:tcW w:w="138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0</w:t>
            </w:r>
          </w:p>
        </w:tc>
        <w:tc>
          <w:tcPr>
            <w:tcW w:w="120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7</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李子坝站</w:t>
            </w:r>
          </w:p>
        </w:tc>
        <w:tc>
          <w:tcPr>
            <w:tcW w:w="1815"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07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24</w:t>
            </w:r>
          </w:p>
        </w:tc>
        <w:tc>
          <w:tcPr>
            <w:tcW w:w="138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0</w:t>
            </w:r>
          </w:p>
        </w:tc>
        <w:tc>
          <w:tcPr>
            <w:tcW w:w="120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8</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佛图关站</w:t>
            </w:r>
          </w:p>
        </w:tc>
        <w:tc>
          <w:tcPr>
            <w:tcW w:w="1815"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07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36.75</w:t>
            </w:r>
          </w:p>
        </w:tc>
        <w:tc>
          <w:tcPr>
            <w:tcW w:w="138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0</w:t>
            </w:r>
          </w:p>
        </w:tc>
        <w:tc>
          <w:tcPr>
            <w:tcW w:w="120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9</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大坪站</w:t>
            </w:r>
          </w:p>
        </w:tc>
        <w:tc>
          <w:tcPr>
            <w:tcW w:w="1815"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6</w:t>
            </w:r>
          </w:p>
        </w:tc>
        <w:tc>
          <w:tcPr>
            <w:tcW w:w="207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36.75</w:t>
            </w:r>
          </w:p>
        </w:tc>
        <w:tc>
          <w:tcPr>
            <w:tcW w:w="138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c>
          <w:tcPr>
            <w:tcW w:w="120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10</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袁家岗站</w:t>
            </w:r>
          </w:p>
        </w:tc>
        <w:tc>
          <w:tcPr>
            <w:tcW w:w="1815"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07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29.15</w:t>
            </w:r>
          </w:p>
        </w:tc>
        <w:tc>
          <w:tcPr>
            <w:tcW w:w="138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0</w:t>
            </w:r>
          </w:p>
        </w:tc>
        <w:tc>
          <w:tcPr>
            <w:tcW w:w="120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11</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谢家湾站</w:t>
            </w:r>
          </w:p>
        </w:tc>
        <w:tc>
          <w:tcPr>
            <w:tcW w:w="1815"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07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34.56</w:t>
            </w:r>
          </w:p>
        </w:tc>
        <w:tc>
          <w:tcPr>
            <w:tcW w:w="138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0</w:t>
            </w:r>
          </w:p>
        </w:tc>
        <w:tc>
          <w:tcPr>
            <w:tcW w:w="120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12</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杨家坪站</w:t>
            </w:r>
          </w:p>
        </w:tc>
        <w:tc>
          <w:tcPr>
            <w:tcW w:w="1815"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07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34.56</w:t>
            </w:r>
          </w:p>
        </w:tc>
        <w:tc>
          <w:tcPr>
            <w:tcW w:w="138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0</w:t>
            </w:r>
          </w:p>
        </w:tc>
        <w:tc>
          <w:tcPr>
            <w:tcW w:w="120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13</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动物园站</w:t>
            </w:r>
          </w:p>
        </w:tc>
        <w:tc>
          <w:tcPr>
            <w:tcW w:w="1815"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07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34.56</w:t>
            </w:r>
          </w:p>
        </w:tc>
        <w:tc>
          <w:tcPr>
            <w:tcW w:w="138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0</w:t>
            </w:r>
          </w:p>
        </w:tc>
        <w:tc>
          <w:tcPr>
            <w:tcW w:w="120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14</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大堰村站</w:t>
            </w:r>
          </w:p>
        </w:tc>
        <w:tc>
          <w:tcPr>
            <w:tcW w:w="1815"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07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29.16</w:t>
            </w:r>
          </w:p>
        </w:tc>
        <w:tc>
          <w:tcPr>
            <w:tcW w:w="138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0</w:t>
            </w:r>
          </w:p>
        </w:tc>
        <w:tc>
          <w:tcPr>
            <w:tcW w:w="120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15</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马王场站</w:t>
            </w:r>
          </w:p>
        </w:tc>
        <w:tc>
          <w:tcPr>
            <w:tcW w:w="1815"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07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46.37</w:t>
            </w:r>
          </w:p>
        </w:tc>
        <w:tc>
          <w:tcPr>
            <w:tcW w:w="138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0</w:t>
            </w:r>
          </w:p>
        </w:tc>
        <w:tc>
          <w:tcPr>
            <w:tcW w:w="120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16</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平安站</w:t>
            </w:r>
          </w:p>
        </w:tc>
        <w:tc>
          <w:tcPr>
            <w:tcW w:w="1815"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07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79.97</w:t>
            </w:r>
          </w:p>
        </w:tc>
        <w:tc>
          <w:tcPr>
            <w:tcW w:w="138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0</w:t>
            </w:r>
          </w:p>
        </w:tc>
        <w:tc>
          <w:tcPr>
            <w:tcW w:w="120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17</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大渡口站</w:t>
            </w:r>
          </w:p>
        </w:tc>
        <w:tc>
          <w:tcPr>
            <w:tcW w:w="1815"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07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29.79</w:t>
            </w:r>
          </w:p>
        </w:tc>
        <w:tc>
          <w:tcPr>
            <w:tcW w:w="138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0</w:t>
            </w:r>
          </w:p>
        </w:tc>
        <w:tc>
          <w:tcPr>
            <w:tcW w:w="120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18</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新山村站</w:t>
            </w:r>
          </w:p>
        </w:tc>
        <w:tc>
          <w:tcPr>
            <w:tcW w:w="1815"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07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500</w:t>
            </w:r>
          </w:p>
        </w:tc>
        <w:tc>
          <w:tcPr>
            <w:tcW w:w="138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0</w:t>
            </w:r>
          </w:p>
        </w:tc>
        <w:tc>
          <w:tcPr>
            <w:tcW w:w="120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19</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大坪控制中心</w:t>
            </w:r>
          </w:p>
        </w:tc>
        <w:tc>
          <w:tcPr>
            <w:tcW w:w="1815"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07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205.2</w:t>
            </w:r>
          </w:p>
        </w:tc>
        <w:tc>
          <w:tcPr>
            <w:tcW w:w="138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0</w:t>
            </w:r>
          </w:p>
        </w:tc>
        <w:tc>
          <w:tcPr>
            <w:tcW w:w="120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20</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动物园主变电所</w:t>
            </w:r>
          </w:p>
        </w:tc>
        <w:tc>
          <w:tcPr>
            <w:tcW w:w="1815"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07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110.43</w:t>
            </w:r>
          </w:p>
        </w:tc>
        <w:tc>
          <w:tcPr>
            <w:tcW w:w="138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0</w:t>
            </w:r>
          </w:p>
        </w:tc>
        <w:tc>
          <w:tcPr>
            <w:tcW w:w="120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21</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天堂堡</w:t>
            </w:r>
          </w:p>
        </w:tc>
        <w:tc>
          <w:tcPr>
            <w:tcW w:w="1815"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07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122.88</w:t>
            </w:r>
          </w:p>
        </w:tc>
        <w:tc>
          <w:tcPr>
            <w:tcW w:w="138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0</w:t>
            </w:r>
          </w:p>
        </w:tc>
        <w:tc>
          <w:tcPr>
            <w:tcW w:w="120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22</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建桥</w:t>
            </w:r>
          </w:p>
        </w:tc>
        <w:tc>
          <w:tcPr>
            <w:tcW w:w="1815"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07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20.54</w:t>
            </w:r>
          </w:p>
        </w:tc>
        <w:tc>
          <w:tcPr>
            <w:tcW w:w="138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0</w:t>
            </w:r>
          </w:p>
        </w:tc>
        <w:tc>
          <w:tcPr>
            <w:tcW w:w="120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23</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金家湾</w:t>
            </w:r>
          </w:p>
        </w:tc>
        <w:tc>
          <w:tcPr>
            <w:tcW w:w="1815"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07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20.54</w:t>
            </w:r>
          </w:p>
        </w:tc>
        <w:tc>
          <w:tcPr>
            <w:tcW w:w="138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0</w:t>
            </w:r>
          </w:p>
        </w:tc>
        <w:tc>
          <w:tcPr>
            <w:tcW w:w="120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24</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刘家坝</w:t>
            </w:r>
          </w:p>
        </w:tc>
        <w:tc>
          <w:tcPr>
            <w:tcW w:w="1815"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07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20.54</w:t>
            </w:r>
          </w:p>
        </w:tc>
        <w:tc>
          <w:tcPr>
            <w:tcW w:w="138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0</w:t>
            </w:r>
          </w:p>
        </w:tc>
        <w:tc>
          <w:tcPr>
            <w:tcW w:w="120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25</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白居寺</w:t>
            </w:r>
          </w:p>
        </w:tc>
        <w:tc>
          <w:tcPr>
            <w:tcW w:w="1815"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07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20.54</w:t>
            </w:r>
          </w:p>
        </w:tc>
        <w:tc>
          <w:tcPr>
            <w:tcW w:w="138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0</w:t>
            </w:r>
          </w:p>
        </w:tc>
        <w:tc>
          <w:tcPr>
            <w:tcW w:w="120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26</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大江</w:t>
            </w:r>
          </w:p>
        </w:tc>
        <w:tc>
          <w:tcPr>
            <w:tcW w:w="1815"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07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20.54</w:t>
            </w:r>
          </w:p>
        </w:tc>
        <w:tc>
          <w:tcPr>
            <w:tcW w:w="138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0</w:t>
            </w:r>
          </w:p>
        </w:tc>
        <w:tc>
          <w:tcPr>
            <w:tcW w:w="1200"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r>
    </w:tbl>
    <w:p>
      <w:pPr>
        <w:pStyle w:val="2"/>
        <w:keepNext/>
        <w:keepLines/>
        <w:pageBreakBefore w:val="0"/>
        <w:widowControl w:val="0"/>
        <w:kinsoku/>
        <w:wordWrap/>
        <w:overflowPunct/>
        <w:topLinePunct w:val="0"/>
        <w:autoSpaceDE/>
        <w:autoSpaceDN/>
        <w:bidi w:val="0"/>
        <w:adjustRightInd/>
        <w:snapToGrid/>
        <w:spacing w:before="0" w:after="0" w:line="440" w:lineRule="exact"/>
        <w:textAlignment w:val="auto"/>
        <w:rPr>
          <w:rFonts w:hint="default" w:ascii="Times New Roman" w:hAnsi="Times New Roman" w:eastAsia="方正仿宋_GBK" w:cs="Times New Roman"/>
          <w:b/>
          <w:bCs/>
          <w:color w:val="000000" w:themeColor="text1"/>
          <w:sz w:val="24"/>
          <w:szCs w:val="24"/>
          <w:highlight w:val="none"/>
          <w:lang w:val="en-US" w:eastAsia="zh-CN"/>
          <w14:textFill>
            <w14:solidFill>
              <w14:schemeClr w14:val="tx1"/>
            </w14:solidFill>
          </w14:textFill>
        </w:rPr>
      </w:pPr>
    </w:p>
    <w:p>
      <w:pPr>
        <w:pStyle w:val="2"/>
        <w:keepNext/>
        <w:keepLines/>
        <w:pageBreakBefore w:val="0"/>
        <w:widowControl w:val="0"/>
        <w:numPr>
          <w:ilvl w:val="0"/>
          <w:numId w:val="7"/>
        </w:numPr>
        <w:kinsoku/>
        <w:wordWrap/>
        <w:overflowPunct/>
        <w:topLinePunct w:val="0"/>
        <w:autoSpaceDE/>
        <w:autoSpaceDN/>
        <w:bidi w:val="0"/>
        <w:adjustRightInd/>
        <w:snapToGrid/>
        <w:spacing w:before="0" w:after="0" w:line="440" w:lineRule="exact"/>
        <w:ind w:left="0" w:leftChars="0" w:firstLine="0" w:firstLineChars="0"/>
        <w:textAlignment w:val="auto"/>
        <w:rPr>
          <w:rFonts w:hint="default" w:ascii="Times New Roman" w:hAnsi="Times New Roman" w:eastAsia="方正仿宋_GBK"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24"/>
          <w:szCs w:val="24"/>
          <w:highlight w:val="none"/>
          <w:lang w:val="en-US" w:eastAsia="zh-CN"/>
          <w14:textFill>
            <w14:solidFill>
              <w14:schemeClr w14:val="tx1"/>
            </w14:solidFill>
          </w14:textFill>
        </w:rPr>
        <w:t>废水池、集水井（池）和隔油池</w:t>
      </w:r>
    </w:p>
    <w:p>
      <w:pPr>
        <w:numPr>
          <w:ilvl w:val="0"/>
          <w:numId w:val="0"/>
        </w:numPr>
        <w:ind w:leftChars="0"/>
        <w:rPr>
          <w:rFonts w:hint="default" w:ascii="Times New Roman" w:hAnsi="Times New Roman" w:cs="Times New Roman"/>
          <w:color w:val="000000" w:themeColor="text1"/>
          <w:highlight w:val="none"/>
          <w:lang w:val="en-US" w:eastAsia="zh-CN"/>
          <w14:textFill>
            <w14:solidFill>
              <w14:schemeClr w14:val="tx1"/>
            </w14:solidFill>
          </w14:textFill>
        </w:rPr>
      </w:pPr>
    </w:p>
    <w:tbl>
      <w:tblPr>
        <w:tblStyle w:val="10"/>
        <w:tblW w:w="85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4"/>
        <w:gridCol w:w="3117"/>
        <w:gridCol w:w="1650"/>
        <w:gridCol w:w="1215"/>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firstLineChars="0"/>
              <w:jc w:val="center"/>
              <w:rPr>
                <w:rFonts w:hint="default" w:ascii="Times New Roman" w:hAnsi="Times New Roman" w:cs="Times New Roman"/>
                <w:b/>
                <w:bCs w:val="0"/>
                <w:snapToGrid w:val="0"/>
                <w:color w:val="000000" w:themeColor="text1"/>
                <w:kern w:val="0"/>
                <w:szCs w:val="21"/>
                <w:highlight w:val="none"/>
                <w14:textFill>
                  <w14:solidFill>
                    <w14:schemeClr w14:val="tx1"/>
                  </w14:solidFill>
                </w14:textFill>
              </w:rPr>
            </w:pPr>
            <w:r>
              <w:rPr>
                <w:rFonts w:hint="default" w:ascii="Times New Roman" w:hAnsi="Times New Roman" w:cs="Times New Roman"/>
                <w:b/>
                <w:bCs w:val="0"/>
                <w:snapToGrid w:val="0"/>
                <w:color w:val="000000" w:themeColor="text1"/>
                <w:kern w:val="0"/>
                <w:szCs w:val="21"/>
                <w:highlight w:val="none"/>
                <w14:textFill>
                  <w14:solidFill>
                    <w14:schemeClr w14:val="tx1"/>
                  </w14:solidFill>
                </w14:textFill>
              </w:rPr>
              <w:t>序号</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firstLineChars="0"/>
              <w:jc w:val="center"/>
              <w:rPr>
                <w:rFonts w:hint="default" w:ascii="Times New Roman" w:hAnsi="Times New Roman" w:cs="Times New Roman"/>
                <w:b/>
                <w:bCs w:val="0"/>
                <w:snapToGrid w:val="0"/>
                <w:color w:val="000000" w:themeColor="text1"/>
                <w:kern w:val="0"/>
                <w:szCs w:val="21"/>
                <w:highlight w:val="none"/>
                <w:lang w:val="en-US" w:eastAsia="zh-CN"/>
                <w14:textFill>
                  <w14:solidFill>
                    <w14:schemeClr w14:val="tx1"/>
                  </w14:solidFill>
                </w14:textFill>
              </w:rPr>
            </w:pPr>
            <w:r>
              <w:rPr>
                <w:rFonts w:hint="default" w:ascii="Times New Roman" w:hAnsi="Times New Roman" w:cs="Times New Roman"/>
                <w:b/>
                <w:bCs w:val="0"/>
                <w:snapToGrid w:val="0"/>
                <w:color w:val="000000" w:themeColor="text1"/>
                <w:kern w:val="0"/>
                <w:szCs w:val="21"/>
                <w:highlight w:val="none"/>
                <w:lang w:val="en-US" w:eastAsia="zh-CN"/>
                <w14:textFill>
                  <w14:solidFill>
                    <w14:schemeClr w14:val="tx1"/>
                  </w14:solidFill>
                </w14:textFill>
              </w:rPr>
              <w:t>服务内容</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firstLineChars="0"/>
              <w:jc w:val="center"/>
              <w:rPr>
                <w:rFonts w:hint="default" w:ascii="Times New Roman" w:hAnsi="Times New Roman" w:cs="Times New Roman"/>
                <w:b/>
                <w:bCs w:val="0"/>
                <w:snapToGrid w:val="0"/>
                <w:color w:val="000000" w:themeColor="text1"/>
                <w:kern w:val="0"/>
                <w:szCs w:val="21"/>
                <w:highlight w:val="none"/>
                <w14:textFill>
                  <w14:solidFill>
                    <w14:schemeClr w14:val="tx1"/>
                  </w14:solidFill>
                </w14:textFill>
              </w:rPr>
            </w:pPr>
            <w:r>
              <w:rPr>
                <w:rFonts w:hint="default" w:ascii="Times New Roman" w:hAnsi="Times New Roman" w:cs="Times New Roman"/>
                <w:b/>
                <w:bCs w:val="0"/>
                <w:snapToGrid w:val="0"/>
                <w:color w:val="000000" w:themeColor="text1"/>
                <w:kern w:val="0"/>
                <w:szCs w:val="21"/>
                <w:highlight w:val="none"/>
                <w14:textFill>
                  <w14:solidFill>
                    <w14:schemeClr w14:val="tx1"/>
                  </w14:solidFill>
                </w14:textFill>
              </w:rPr>
              <w:t>单位</w:t>
            </w:r>
          </w:p>
        </w:tc>
        <w:tc>
          <w:tcPr>
            <w:tcW w:w="121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firstLineChars="0"/>
              <w:jc w:val="center"/>
              <w:rPr>
                <w:rFonts w:hint="default" w:ascii="Times New Roman" w:hAnsi="Times New Roman" w:cs="Times New Roman"/>
                <w:b/>
                <w:bCs w:val="0"/>
                <w:snapToGrid w:val="0"/>
                <w:color w:val="000000" w:themeColor="text1"/>
                <w:kern w:val="0"/>
                <w:szCs w:val="21"/>
                <w:highlight w:val="none"/>
                <w14:textFill>
                  <w14:solidFill>
                    <w14:schemeClr w14:val="tx1"/>
                  </w14:solidFill>
                </w14:textFill>
              </w:rPr>
            </w:pPr>
            <w:r>
              <w:rPr>
                <w:rFonts w:hint="default" w:ascii="Times New Roman" w:hAnsi="Times New Roman" w:cs="Times New Roman"/>
                <w:b/>
                <w:bCs w:val="0"/>
                <w:snapToGrid w:val="0"/>
                <w:color w:val="000000" w:themeColor="text1"/>
                <w:kern w:val="0"/>
                <w:szCs w:val="21"/>
                <w:highlight w:val="none"/>
                <w14:textFill>
                  <w14:solidFill>
                    <w14:schemeClr w14:val="tx1"/>
                  </w14:solidFill>
                </w14:textFill>
              </w:rPr>
              <w:t>数量</w:t>
            </w:r>
          </w:p>
        </w:tc>
        <w:tc>
          <w:tcPr>
            <w:tcW w:w="189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firstLineChars="0"/>
              <w:jc w:val="center"/>
              <w:rPr>
                <w:rFonts w:hint="default" w:ascii="Times New Roman" w:hAnsi="Times New Roman" w:cs="Times New Roman"/>
                <w:b/>
                <w:bCs w:val="0"/>
                <w:snapToGrid w:val="0"/>
                <w:color w:val="000000" w:themeColor="text1"/>
                <w:kern w:val="0"/>
                <w:szCs w:val="21"/>
                <w:highlight w:val="none"/>
                <w:lang w:eastAsia="zh-CN"/>
                <w14:textFill>
                  <w14:solidFill>
                    <w14:schemeClr w14:val="tx1"/>
                  </w14:solidFill>
                </w14:textFill>
              </w:rPr>
            </w:pPr>
            <w:r>
              <w:rPr>
                <w:rFonts w:hint="default" w:ascii="Times New Roman" w:hAnsi="Times New Roman" w:cs="Times New Roman"/>
                <w:b/>
                <w:bCs w:val="0"/>
                <w:snapToGrid w:val="0"/>
                <w:color w:val="000000" w:themeColor="text1"/>
                <w:kern w:val="0"/>
                <w:szCs w:val="21"/>
                <w:highlight w:val="none"/>
                <w:lang w:val="en-US" w:eastAsia="zh-CN"/>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7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 xml:space="preserve">车站集水井（池） </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m³</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253.2</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包含人工清掏、清运、二次转运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7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2</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车站、区间废水池</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m³</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55.32</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7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3</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隔油池</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m³</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18</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大坪控制中心隔油池</w:t>
            </w:r>
          </w:p>
        </w:tc>
      </w:tr>
    </w:tbl>
    <w:p>
      <w:pPr>
        <w:jc w:val="cente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t>（备注：以上表格中作业量均为预估，实际作业量以现场实际需求为准。）</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1" w:fontKey="{B37A0D26-F66D-4A54-80CF-47D722E89412}"/>
  </w:font>
  <w:font w:name="仿宋_GB2312">
    <w:panose1 w:val="02010609030101010101"/>
    <w:charset w:val="86"/>
    <w:family w:val="modern"/>
    <w:pitch w:val="default"/>
    <w:sig w:usb0="00000001" w:usb1="080E0000" w:usb2="00000000" w:usb3="00000000" w:csb0="00040000" w:csb1="00000000"/>
    <w:embedRegular r:id="rId2" w:fontKey="{D75F6F22-BBDA-4CFA-BE48-1046316581D2}"/>
  </w:font>
  <w:font w:name="方正小标宋_GBK">
    <w:panose1 w:val="03000509000000000000"/>
    <w:charset w:val="86"/>
    <w:family w:val="auto"/>
    <w:pitch w:val="default"/>
    <w:sig w:usb0="00000001" w:usb1="080E0000" w:usb2="00000000" w:usb3="00000000" w:csb0="00040000" w:csb1="00000000"/>
    <w:embedRegular r:id="rId3" w:fontKey="{52A2F2C6-8978-42B5-BA9F-25B44E34D424}"/>
  </w:font>
  <w:font w:name="仿宋">
    <w:panose1 w:val="02010609060101010101"/>
    <w:charset w:val="86"/>
    <w:family w:val="modern"/>
    <w:pitch w:val="default"/>
    <w:sig w:usb0="800002BF" w:usb1="38CF7CFA" w:usb2="00000016" w:usb3="00000000" w:csb0="00040001" w:csb1="00000000"/>
    <w:embedRegular r:id="rId4" w:fontKey="{554C86C4-4749-4E9E-8248-7BFE0C39606D}"/>
  </w:font>
  <w:font w:name="方正仿宋_GB2312">
    <w:panose1 w:val="02000000000000000000"/>
    <w:charset w:val="86"/>
    <w:family w:val="auto"/>
    <w:pitch w:val="default"/>
    <w:sig w:usb0="A00002BF" w:usb1="184F6CFA" w:usb2="00000012" w:usb3="00000000" w:csb0="00040001" w:csb1="00000000"/>
    <w:embedRegular r:id="rId5" w:fontKey="{440E7F03-FF09-4F18-9A69-4E3C5E8F067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g545v0QEAAKIDAAAOAAAAAAAAAAEAIAAAAB8BAABk&#10;cnMvZTJvRG9jLnhtbFBLBQYAAAAABgAGAFkBAABiBQ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ebOckBAACZAwAADgAAAGRycy9lMm9Eb2MueG1srVPNjtMwEL4j8Q6W&#10;79Rpk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A0ljlsc+OXH98vP35df38jr&#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PF5s5yQEAAJkDAAAOAAAAAAAAAAEAIAAAAB4BAABkcnMvZTJvRG9j&#10;LnhtbFBLBQYAAAAABgAGAFkBAABZBQAAAAA=&#10;">
              <v:fill on="f" focussize="0,0"/>
              <v:stroke on="f"/>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7456" behindDoc="0" locked="0" layoutInCell="1" allowOverlap="1">
              <wp:simplePos x="0" y="0"/>
              <wp:positionH relativeFrom="margin">
                <wp:posOffset>2472690</wp:posOffset>
              </wp:positionH>
              <wp:positionV relativeFrom="paragraph">
                <wp:posOffset>-539750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194.7pt;margin-top:-42.5pt;height:144pt;width:144pt;mso-position-horizontal-relative:margin;mso-wrap-style:none;z-index:251667456;mso-width-relative:page;mso-height-relative:page;" filled="f" stroked="f" coordsize="21600,21600" o:gfxdata="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0boB9tgAAAALAQAADwAAAAAAAAABACAAAAAiAAAAZHJzL2Rv&#10;d25yZXYueG1sUEsBAhQAFAAAAAgAh07iQBcY3ZLIAQAAmwMAAA4AAAAAAAAAAQAgAAAAJwEAAGRy&#10;cy9lMm9Eb2MueG1sUEsFBgAAAAAGAAYAWQEAAGEFAAAAAA==&#10;">
              <v:fill on="f" focussize="0,0"/>
              <v:stroke on="f"/>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v:textbox>
            </v:shape>
          </w:pict>
        </mc:Fallback>
      </mc:AlternateContent>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e/HVckBAACZAwAADgAAAGRycy9lMm9Eb2MueG1srVPNjtMwEL4j8Q6W&#10;79Rph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2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578dVyQEAAJkDAAAOAAAAAAAAAAEAIAAAAB4BAABkcnMvZTJvRG9j&#10;LnhtbFBLBQYAAAAABgAGAFkBAABZBQAAAAA=&#10;">
              <v:fill on="f" focussize="0,0"/>
              <v:stroke on="f"/>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41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45</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a/jHskBAACZAwAADgAAAGRycy9lMm9Eb2MueG1srVPNjtMwEL4j8Q6W&#10;79TZSqA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pr+MeyQEAAJkDAAAOAAAAAAAAAAEAIAAAAB4BAABkcnMvZTJvRG9j&#10;LnhtbFBLBQYAAAAABgAGAFkBAABZBQAAAAA=&#10;">
              <v:fill on="f" focussize="0,0"/>
              <v:stroke on="f"/>
              <v:imagedata o:title=""/>
              <o:lock v:ext="edit" aspectratio="f"/>
              <v:textbox inset="0mm,0mm,0mm,0mm" style="mso-fit-shape-to-text:t;">
                <w:txbxContent>
                  <w:p>
                    <w:pPr>
                      <w:pStyle w:val="7"/>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41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45</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DCAD9"/>
    <w:multiLevelType w:val="singleLevel"/>
    <w:tmpl w:val="84FDCAD9"/>
    <w:lvl w:ilvl="0" w:tentative="0">
      <w:start w:val="2"/>
      <w:numFmt w:val="decimal"/>
      <w:lvlText w:val="(%1)"/>
      <w:lvlJc w:val="left"/>
      <w:pPr>
        <w:tabs>
          <w:tab w:val="left" w:pos="312"/>
        </w:tabs>
      </w:pPr>
    </w:lvl>
  </w:abstractNum>
  <w:abstractNum w:abstractNumId="1">
    <w:nsid w:val="9DEC2140"/>
    <w:multiLevelType w:val="singleLevel"/>
    <w:tmpl w:val="9DEC2140"/>
    <w:lvl w:ilvl="0" w:tentative="0">
      <w:start w:val="1"/>
      <w:numFmt w:val="decimal"/>
      <w:suff w:val="nothing"/>
      <w:lvlText w:val="（%1）"/>
      <w:lvlJc w:val="left"/>
    </w:lvl>
  </w:abstractNum>
  <w:abstractNum w:abstractNumId="2">
    <w:nsid w:val="B89015A6"/>
    <w:multiLevelType w:val="singleLevel"/>
    <w:tmpl w:val="B89015A6"/>
    <w:lvl w:ilvl="0" w:tentative="0">
      <w:start w:val="3"/>
      <w:numFmt w:val="decimal"/>
      <w:suff w:val="nothing"/>
      <w:lvlText w:val="%1）"/>
      <w:lvlJc w:val="left"/>
    </w:lvl>
  </w:abstractNum>
  <w:abstractNum w:abstractNumId="3">
    <w:nsid w:val="F38DCAAC"/>
    <w:multiLevelType w:val="singleLevel"/>
    <w:tmpl w:val="F38DCAAC"/>
    <w:lvl w:ilvl="0" w:tentative="0">
      <w:start w:val="1"/>
      <w:numFmt w:val="decimal"/>
      <w:suff w:val="nothing"/>
      <w:lvlText w:val="%1、"/>
      <w:lvlJc w:val="left"/>
    </w:lvl>
  </w:abstractNum>
  <w:abstractNum w:abstractNumId="4">
    <w:nsid w:val="19D399B2"/>
    <w:multiLevelType w:val="singleLevel"/>
    <w:tmpl w:val="19D399B2"/>
    <w:lvl w:ilvl="0" w:tentative="0">
      <w:start w:val="1"/>
      <w:numFmt w:val="decimal"/>
      <w:lvlText w:val="%1."/>
      <w:lvlJc w:val="left"/>
      <w:pPr>
        <w:tabs>
          <w:tab w:val="left" w:pos="312"/>
        </w:tabs>
      </w:pPr>
    </w:lvl>
  </w:abstractNum>
  <w:abstractNum w:abstractNumId="5">
    <w:nsid w:val="202E57E8"/>
    <w:multiLevelType w:val="singleLevel"/>
    <w:tmpl w:val="202E57E8"/>
    <w:lvl w:ilvl="0" w:tentative="0">
      <w:start w:val="2"/>
      <w:numFmt w:val="decimal"/>
      <w:suff w:val="nothing"/>
      <w:lvlText w:val="%1、"/>
      <w:lvlJc w:val="left"/>
    </w:lvl>
  </w:abstractNum>
  <w:abstractNum w:abstractNumId="6">
    <w:nsid w:val="385FE189"/>
    <w:multiLevelType w:val="singleLevel"/>
    <w:tmpl w:val="385FE189"/>
    <w:lvl w:ilvl="0" w:tentative="0">
      <w:start w:val="1"/>
      <w:numFmt w:val="decimal"/>
      <w:suff w:val="nothing"/>
      <w:lvlText w:val="%1、"/>
      <w:lvlJc w:val="left"/>
    </w:lvl>
  </w:abstractNum>
  <w:abstractNum w:abstractNumId="7">
    <w:nsid w:val="4343D8FF"/>
    <w:multiLevelType w:val="singleLevel"/>
    <w:tmpl w:val="4343D8FF"/>
    <w:lvl w:ilvl="0" w:tentative="0">
      <w:start w:val="1"/>
      <w:numFmt w:val="decimal"/>
      <w:suff w:val="nothing"/>
      <w:lvlText w:val="（%1）"/>
      <w:lvlJc w:val="left"/>
    </w:lvl>
  </w:abstractNum>
  <w:abstractNum w:abstractNumId="8">
    <w:nsid w:val="4CBEEF54"/>
    <w:multiLevelType w:val="singleLevel"/>
    <w:tmpl w:val="4CBEEF54"/>
    <w:lvl w:ilvl="0" w:tentative="0">
      <w:start w:val="2"/>
      <w:numFmt w:val="decimal"/>
      <w:suff w:val="nothing"/>
      <w:lvlText w:val="（%1）"/>
      <w:lvlJc w:val="left"/>
    </w:lvl>
  </w:abstractNum>
  <w:abstractNum w:abstractNumId="9">
    <w:nsid w:val="53B511E8"/>
    <w:multiLevelType w:val="singleLevel"/>
    <w:tmpl w:val="53B511E8"/>
    <w:lvl w:ilvl="0" w:tentative="0">
      <w:start w:val="5"/>
      <w:numFmt w:val="decimal"/>
      <w:suff w:val="nothing"/>
      <w:lvlText w:val="%1、"/>
      <w:lvlJc w:val="left"/>
    </w:lvl>
  </w:abstractNum>
  <w:abstractNum w:abstractNumId="10">
    <w:nsid w:val="7092BF8C"/>
    <w:multiLevelType w:val="singleLevel"/>
    <w:tmpl w:val="7092BF8C"/>
    <w:lvl w:ilvl="0" w:tentative="0">
      <w:start w:val="5"/>
      <w:numFmt w:val="chineseCounting"/>
      <w:suff w:val="space"/>
      <w:lvlText w:val="第%1条"/>
      <w:lvlJc w:val="left"/>
      <w:rPr>
        <w:rFonts w:hint="eastAsia"/>
      </w:rPr>
    </w:lvl>
  </w:abstractNum>
  <w:abstractNum w:abstractNumId="11">
    <w:nsid w:val="75A8BBD5"/>
    <w:multiLevelType w:val="singleLevel"/>
    <w:tmpl w:val="75A8BBD5"/>
    <w:lvl w:ilvl="0" w:tentative="0">
      <w:start w:val="1"/>
      <w:numFmt w:val="decimal"/>
      <w:suff w:val="nothing"/>
      <w:lvlText w:val="（%1）"/>
      <w:lvlJc w:val="left"/>
    </w:lvl>
  </w:abstractNum>
  <w:abstractNum w:abstractNumId="12">
    <w:nsid w:val="786BBCE0"/>
    <w:multiLevelType w:val="singleLevel"/>
    <w:tmpl w:val="786BBCE0"/>
    <w:lvl w:ilvl="0" w:tentative="0">
      <w:start w:val="1"/>
      <w:numFmt w:val="decimal"/>
      <w:suff w:val="nothing"/>
      <w:lvlText w:val="%1、"/>
      <w:lvlJc w:val="left"/>
    </w:lvl>
  </w:abstractNum>
  <w:num w:numId="1">
    <w:abstractNumId w:val="2"/>
  </w:num>
  <w:num w:numId="2">
    <w:abstractNumId w:val="12"/>
  </w:num>
  <w:num w:numId="3">
    <w:abstractNumId w:val="7"/>
  </w:num>
  <w:num w:numId="4">
    <w:abstractNumId w:val="6"/>
  </w:num>
  <w:num w:numId="5">
    <w:abstractNumId w:val="1"/>
  </w:num>
  <w:num w:numId="6">
    <w:abstractNumId w:val="4"/>
  </w:num>
  <w:num w:numId="7">
    <w:abstractNumId w:val="11"/>
  </w:num>
  <w:num w:numId="8">
    <w:abstractNumId w:val="0"/>
  </w:num>
  <w:num w:numId="9">
    <w:abstractNumId w:val="9"/>
  </w:num>
  <w:num w:numId="10">
    <w:abstractNumId w:val="8"/>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jN2YwMzY5MmRhNmU3OGNkMTA0ZmQwODk4NGM1YzkifQ=="/>
  </w:docVars>
  <w:rsids>
    <w:rsidRoot w:val="61771F9D"/>
    <w:rsid w:val="00003797"/>
    <w:rsid w:val="00067E67"/>
    <w:rsid w:val="000B1F28"/>
    <w:rsid w:val="000F30E5"/>
    <w:rsid w:val="001077E4"/>
    <w:rsid w:val="00107BAA"/>
    <w:rsid w:val="0011062C"/>
    <w:rsid w:val="001232D0"/>
    <w:rsid w:val="00132E32"/>
    <w:rsid w:val="001546A4"/>
    <w:rsid w:val="00175DF9"/>
    <w:rsid w:val="001A00DC"/>
    <w:rsid w:val="001A30B2"/>
    <w:rsid w:val="001E23EF"/>
    <w:rsid w:val="00204ECB"/>
    <w:rsid w:val="00205991"/>
    <w:rsid w:val="00207F06"/>
    <w:rsid w:val="00222863"/>
    <w:rsid w:val="0024775E"/>
    <w:rsid w:val="00280E77"/>
    <w:rsid w:val="00283A7D"/>
    <w:rsid w:val="002C0FF6"/>
    <w:rsid w:val="002D5A85"/>
    <w:rsid w:val="0033260D"/>
    <w:rsid w:val="00333992"/>
    <w:rsid w:val="003553C6"/>
    <w:rsid w:val="003A28E5"/>
    <w:rsid w:val="00415922"/>
    <w:rsid w:val="004251D5"/>
    <w:rsid w:val="00426CE1"/>
    <w:rsid w:val="0043316F"/>
    <w:rsid w:val="00444F53"/>
    <w:rsid w:val="0047777E"/>
    <w:rsid w:val="004903BA"/>
    <w:rsid w:val="004C1A1E"/>
    <w:rsid w:val="004C65DD"/>
    <w:rsid w:val="004E21AB"/>
    <w:rsid w:val="00520318"/>
    <w:rsid w:val="005758DD"/>
    <w:rsid w:val="005B53BD"/>
    <w:rsid w:val="005B7903"/>
    <w:rsid w:val="00615D35"/>
    <w:rsid w:val="00622BEE"/>
    <w:rsid w:val="00654F9A"/>
    <w:rsid w:val="00680497"/>
    <w:rsid w:val="006B0349"/>
    <w:rsid w:val="006B61FD"/>
    <w:rsid w:val="006C1B36"/>
    <w:rsid w:val="006D2829"/>
    <w:rsid w:val="006D6EC3"/>
    <w:rsid w:val="00727F80"/>
    <w:rsid w:val="00757FA1"/>
    <w:rsid w:val="007C457E"/>
    <w:rsid w:val="007E4DDF"/>
    <w:rsid w:val="00843586"/>
    <w:rsid w:val="008545A4"/>
    <w:rsid w:val="008C4886"/>
    <w:rsid w:val="008D0782"/>
    <w:rsid w:val="009049C5"/>
    <w:rsid w:val="00904E9C"/>
    <w:rsid w:val="009342FD"/>
    <w:rsid w:val="00934D34"/>
    <w:rsid w:val="009401CB"/>
    <w:rsid w:val="00955B1D"/>
    <w:rsid w:val="009946CA"/>
    <w:rsid w:val="0099482F"/>
    <w:rsid w:val="009C20A9"/>
    <w:rsid w:val="009C2110"/>
    <w:rsid w:val="009C7455"/>
    <w:rsid w:val="009E079C"/>
    <w:rsid w:val="009E7004"/>
    <w:rsid w:val="00A219C5"/>
    <w:rsid w:val="00A46464"/>
    <w:rsid w:val="00A704DC"/>
    <w:rsid w:val="00A76E61"/>
    <w:rsid w:val="00A952A7"/>
    <w:rsid w:val="00AC6057"/>
    <w:rsid w:val="00AD3861"/>
    <w:rsid w:val="00AE1EC1"/>
    <w:rsid w:val="00AE2DE8"/>
    <w:rsid w:val="00B135C8"/>
    <w:rsid w:val="00B331E1"/>
    <w:rsid w:val="00B33701"/>
    <w:rsid w:val="00B3556F"/>
    <w:rsid w:val="00B61012"/>
    <w:rsid w:val="00BA78F8"/>
    <w:rsid w:val="00BC0B22"/>
    <w:rsid w:val="00BD24A2"/>
    <w:rsid w:val="00BE06AC"/>
    <w:rsid w:val="00C25645"/>
    <w:rsid w:val="00C25F69"/>
    <w:rsid w:val="00C81724"/>
    <w:rsid w:val="00C86BCD"/>
    <w:rsid w:val="00CA23B5"/>
    <w:rsid w:val="00CA6E7F"/>
    <w:rsid w:val="00CD1246"/>
    <w:rsid w:val="00CF6424"/>
    <w:rsid w:val="00D0325D"/>
    <w:rsid w:val="00D3477B"/>
    <w:rsid w:val="00D461EF"/>
    <w:rsid w:val="00D5315D"/>
    <w:rsid w:val="00D671F1"/>
    <w:rsid w:val="00DA4EC7"/>
    <w:rsid w:val="00DE10AB"/>
    <w:rsid w:val="00E16F1E"/>
    <w:rsid w:val="00E2048E"/>
    <w:rsid w:val="00E245CA"/>
    <w:rsid w:val="00E36596"/>
    <w:rsid w:val="00E37EEA"/>
    <w:rsid w:val="00E42192"/>
    <w:rsid w:val="00E74126"/>
    <w:rsid w:val="00E918FD"/>
    <w:rsid w:val="00EC648F"/>
    <w:rsid w:val="00EE235A"/>
    <w:rsid w:val="00F016C9"/>
    <w:rsid w:val="00F711E0"/>
    <w:rsid w:val="00F76B58"/>
    <w:rsid w:val="00F80689"/>
    <w:rsid w:val="00F80C4F"/>
    <w:rsid w:val="00F87B63"/>
    <w:rsid w:val="00FB184A"/>
    <w:rsid w:val="00FE5412"/>
    <w:rsid w:val="014A4869"/>
    <w:rsid w:val="015B6D94"/>
    <w:rsid w:val="018F4C90"/>
    <w:rsid w:val="018F785C"/>
    <w:rsid w:val="019B62D0"/>
    <w:rsid w:val="01C532E9"/>
    <w:rsid w:val="02300221"/>
    <w:rsid w:val="023460A6"/>
    <w:rsid w:val="02536887"/>
    <w:rsid w:val="025C1772"/>
    <w:rsid w:val="026779BA"/>
    <w:rsid w:val="028A507F"/>
    <w:rsid w:val="029F53A6"/>
    <w:rsid w:val="02B74D65"/>
    <w:rsid w:val="02BB6AD5"/>
    <w:rsid w:val="02DA490A"/>
    <w:rsid w:val="02E470A8"/>
    <w:rsid w:val="02E628A1"/>
    <w:rsid w:val="02EA04EB"/>
    <w:rsid w:val="02EB59EF"/>
    <w:rsid w:val="032C15CE"/>
    <w:rsid w:val="034C6B09"/>
    <w:rsid w:val="03537505"/>
    <w:rsid w:val="039B4242"/>
    <w:rsid w:val="03BD7C09"/>
    <w:rsid w:val="03C749B1"/>
    <w:rsid w:val="03D814FB"/>
    <w:rsid w:val="03F83330"/>
    <w:rsid w:val="03F90456"/>
    <w:rsid w:val="03FC6E79"/>
    <w:rsid w:val="03FD515B"/>
    <w:rsid w:val="04093748"/>
    <w:rsid w:val="041A320C"/>
    <w:rsid w:val="045D4C41"/>
    <w:rsid w:val="04675A50"/>
    <w:rsid w:val="04690990"/>
    <w:rsid w:val="047A3D7F"/>
    <w:rsid w:val="048339CF"/>
    <w:rsid w:val="049820AD"/>
    <w:rsid w:val="049E7AE4"/>
    <w:rsid w:val="049F6CCF"/>
    <w:rsid w:val="04AA055C"/>
    <w:rsid w:val="04C5780A"/>
    <w:rsid w:val="04D255BF"/>
    <w:rsid w:val="04FF7EFB"/>
    <w:rsid w:val="05072E5A"/>
    <w:rsid w:val="050A6429"/>
    <w:rsid w:val="05112DC1"/>
    <w:rsid w:val="05894B19"/>
    <w:rsid w:val="05A6089F"/>
    <w:rsid w:val="05B2504B"/>
    <w:rsid w:val="05B44CC5"/>
    <w:rsid w:val="05C25634"/>
    <w:rsid w:val="05C338E4"/>
    <w:rsid w:val="05DC49B6"/>
    <w:rsid w:val="05E749E3"/>
    <w:rsid w:val="06176A42"/>
    <w:rsid w:val="062E1B85"/>
    <w:rsid w:val="063F6C84"/>
    <w:rsid w:val="06826771"/>
    <w:rsid w:val="06863D99"/>
    <w:rsid w:val="069C40D7"/>
    <w:rsid w:val="06B917F9"/>
    <w:rsid w:val="06BB4E88"/>
    <w:rsid w:val="06C11463"/>
    <w:rsid w:val="06EA6F3C"/>
    <w:rsid w:val="072B545A"/>
    <w:rsid w:val="07433EB8"/>
    <w:rsid w:val="07464042"/>
    <w:rsid w:val="0757624F"/>
    <w:rsid w:val="075D751E"/>
    <w:rsid w:val="07DC1AF5"/>
    <w:rsid w:val="07E32CEB"/>
    <w:rsid w:val="07E47603"/>
    <w:rsid w:val="07E775D3"/>
    <w:rsid w:val="07EF601C"/>
    <w:rsid w:val="081F7AE1"/>
    <w:rsid w:val="08517452"/>
    <w:rsid w:val="08566507"/>
    <w:rsid w:val="086E3851"/>
    <w:rsid w:val="08733722"/>
    <w:rsid w:val="08A41020"/>
    <w:rsid w:val="08E958CE"/>
    <w:rsid w:val="08F050B7"/>
    <w:rsid w:val="09297778"/>
    <w:rsid w:val="092A7C70"/>
    <w:rsid w:val="0946657C"/>
    <w:rsid w:val="098B3F8E"/>
    <w:rsid w:val="09AC5CCE"/>
    <w:rsid w:val="09B53F50"/>
    <w:rsid w:val="09B92DAF"/>
    <w:rsid w:val="09C01B05"/>
    <w:rsid w:val="09C6000F"/>
    <w:rsid w:val="09EF276F"/>
    <w:rsid w:val="0A372A6D"/>
    <w:rsid w:val="0A3D4649"/>
    <w:rsid w:val="0A582E67"/>
    <w:rsid w:val="0A997300"/>
    <w:rsid w:val="0AF53DB5"/>
    <w:rsid w:val="0B256EDB"/>
    <w:rsid w:val="0B3476FB"/>
    <w:rsid w:val="0B36585D"/>
    <w:rsid w:val="0B5E4734"/>
    <w:rsid w:val="0B670BE4"/>
    <w:rsid w:val="0B680A2B"/>
    <w:rsid w:val="0B952CD5"/>
    <w:rsid w:val="0BA737DB"/>
    <w:rsid w:val="0BB04286"/>
    <w:rsid w:val="0BC916A9"/>
    <w:rsid w:val="0BCE544D"/>
    <w:rsid w:val="0C0100DB"/>
    <w:rsid w:val="0C062AE9"/>
    <w:rsid w:val="0C076B26"/>
    <w:rsid w:val="0C1F4E62"/>
    <w:rsid w:val="0C2846F9"/>
    <w:rsid w:val="0C381612"/>
    <w:rsid w:val="0C4B5C57"/>
    <w:rsid w:val="0C5823BF"/>
    <w:rsid w:val="0C7E2224"/>
    <w:rsid w:val="0CA41DB2"/>
    <w:rsid w:val="0CA74127"/>
    <w:rsid w:val="0CC30E22"/>
    <w:rsid w:val="0CD42F59"/>
    <w:rsid w:val="0CF22471"/>
    <w:rsid w:val="0CF87CA9"/>
    <w:rsid w:val="0D2167C4"/>
    <w:rsid w:val="0D223A98"/>
    <w:rsid w:val="0D7370A6"/>
    <w:rsid w:val="0D830E03"/>
    <w:rsid w:val="0D866AD9"/>
    <w:rsid w:val="0DAE3791"/>
    <w:rsid w:val="0DC83A03"/>
    <w:rsid w:val="0DCE553E"/>
    <w:rsid w:val="0DE21252"/>
    <w:rsid w:val="0DE27833"/>
    <w:rsid w:val="0DF01CA5"/>
    <w:rsid w:val="0DF11F32"/>
    <w:rsid w:val="0E1F1149"/>
    <w:rsid w:val="0E4B0190"/>
    <w:rsid w:val="0E5406AA"/>
    <w:rsid w:val="0E552DBD"/>
    <w:rsid w:val="0E6A4ABA"/>
    <w:rsid w:val="0EBA3DB7"/>
    <w:rsid w:val="0ECA63D1"/>
    <w:rsid w:val="0ED4568F"/>
    <w:rsid w:val="0EDC57C9"/>
    <w:rsid w:val="0EEE57A9"/>
    <w:rsid w:val="0F026AA1"/>
    <w:rsid w:val="0F0334AB"/>
    <w:rsid w:val="0F2B4570"/>
    <w:rsid w:val="0F384BB8"/>
    <w:rsid w:val="0F400A83"/>
    <w:rsid w:val="0F5C24F2"/>
    <w:rsid w:val="0F612E8D"/>
    <w:rsid w:val="0FAE4E7B"/>
    <w:rsid w:val="0FBF6F8D"/>
    <w:rsid w:val="0FC20898"/>
    <w:rsid w:val="0FCB0EB9"/>
    <w:rsid w:val="0FD77F2D"/>
    <w:rsid w:val="103E7E00"/>
    <w:rsid w:val="10441637"/>
    <w:rsid w:val="105D7FFC"/>
    <w:rsid w:val="106851C6"/>
    <w:rsid w:val="106E21D5"/>
    <w:rsid w:val="107E2A9F"/>
    <w:rsid w:val="10B83C29"/>
    <w:rsid w:val="10E5667A"/>
    <w:rsid w:val="10F15212"/>
    <w:rsid w:val="11072B7B"/>
    <w:rsid w:val="11077A75"/>
    <w:rsid w:val="111C022D"/>
    <w:rsid w:val="112B2B23"/>
    <w:rsid w:val="112D2031"/>
    <w:rsid w:val="11627186"/>
    <w:rsid w:val="119B1453"/>
    <w:rsid w:val="11A4434D"/>
    <w:rsid w:val="11DA3D05"/>
    <w:rsid w:val="11DB2B2B"/>
    <w:rsid w:val="11FE0830"/>
    <w:rsid w:val="11FF551A"/>
    <w:rsid w:val="121D1A18"/>
    <w:rsid w:val="1222745A"/>
    <w:rsid w:val="12371157"/>
    <w:rsid w:val="1237792A"/>
    <w:rsid w:val="12573F56"/>
    <w:rsid w:val="125875C3"/>
    <w:rsid w:val="12696E37"/>
    <w:rsid w:val="12953ACD"/>
    <w:rsid w:val="129C545E"/>
    <w:rsid w:val="12A55EF3"/>
    <w:rsid w:val="12C56763"/>
    <w:rsid w:val="1323348A"/>
    <w:rsid w:val="1356593D"/>
    <w:rsid w:val="1359615B"/>
    <w:rsid w:val="135D55D5"/>
    <w:rsid w:val="136F7F3C"/>
    <w:rsid w:val="13977D36"/>
    <w:rsid w:val="13BC6EF1"/>
    <w:rsid w:val="13DE0982"/>
    <w:rsid w:val="13FA129B"/>
    <w:rsid w:val="140C0390"/>
    <w:rsid w:val="14140B44"/>
    <w:rsid w:val="141A2ADF"/>
    <w:rsid w:val="143B4AAE"/>
    <w:rsid w:val="144D6A10"/>
    <w:rsid w:val="145D29CB"/>
    <w:rsid w:val="14935774"/>
    <w:rsid w:val="14A95694"/>
    <w:rsid w:val="14B00D4D"/>
    <w:rsid w:val="14BA5FD3"/>
    <w:rsid w:val="14E65D3F"/>
    <w:rsid w:val="14EB7FD7"/>
    <w:rsid w:val="15453B8B"/>
    <w:rsid w:val="157D3325"/>
    <w:rsid w:val="15932B49"/>
    <w:rsid w:val="159857DA"/>
    <w:rsid w:val="15CE3B81"/>
    <w:rsid w:val="160475A2"/>
    <w:rsid w:val="161E6C5D"/>
    <w:rsid w:val="1631651A"/>
    <w:rsid w:val="16391231"/>
    <w:rsid w:val="164F044F"/>
    <w:rsid w:val="16556273"/>
    <w:rsid w:val="16557DFE"/>
    <w:rsid w:val="1664363B"/>
    <w:rsid w:val="16664C4C"/>
    <w:rsid w:val="1675508F"/>
    <w:rsid w:val="168A1F83"/>
    <w:rsid w:val="169346DC"/>
    <w:rsid w:val="16AE0866"/>
    <w:rsid w:val="16B10C01"/>
    <w:rsid w:val="16B207CA"/>
    <w:rsid w:val="16BE238C"/>
    <w:rsid w:val="16CF1E69"/>
    <w:rsid w:val="16F74D42"/>
    <w:rsid w:val="16FF7D6A"/>
    <w:rsid w:val="170D5685"/>
    <w:rsid w:val="17391CF9"/>
    <w:rsid w:val="1789285E"/>
    <w:rsid w:val="17920C3F"/>
    <w:rsid w:val="17C74D2B"/>
    <w:rsid w:val="17CD1C16"/>
    <w:rsid w:val="17D14087"/>
    <w:rsid w:val="17DB3084"/>
    <w:rsid w:val="17DC7D4F"/>
    <w:rsid w:val="181F5AD8"/>
    <w:rsid w:val="183B1275"/>
    <w:rsid w:val="184D3EF1"/>
    <w:rsid w:val="185B1B06"/>
    <w:rsid w:val="1875761C"/>
    <w:rsid w:val="18787DD4"/>
    <w:rsid w:val="188A6F19"/>
    <w:rsid w:val="18A250E7"/>
    <w:rsid w:val="18D314AE"/>
    <w:rsid w:val="19161AB9"/>
    <w:rsid w:val="19682DA5"/>
    <w:rsid w:val="19745F14"/>
    <w:rsid w:val="1981730F"/>
    <w:rsid w:val="198F3627"/>
    <w:rsid w:val="199826D4"/>
    <w:rsid w:val="19BC6F4C"/>
    <w:rsid w:val="19BE5749"/>
    <w:rsid w:val="19DE0AF8"/>
    <w:rsid w:val="19F57841"/>
    <w:rsid w:val="1A110351"/>
    <w:rsid w:val="1A114340"/>
    <w:rsid w:val="1A165AF6"/>
    <w:rsid w:val="1A3E0861"/>
    <w:rsid w:val="1A465E04"/>
    <w:rsid w:val="1AB70F3D"/>
    <w:rsid w:val="1AEA79DF"/>
    <w:rsid w:val="1B187CCE"/>
    <w:rsid w:val="1B9B484D"/>
    <w:rsid w:val="1B9F38C9"/>
    <w:rsid w:val="1BA7014D"/>
    <w:rsid w:val="1BF02BE4"/>
    <w:rsid w:val="1C0F255F"/>
    <w:rsid w:val="1C367650"/>
    <w:rsid w:val="1C82028B"/>
    <w:rsid w:val="1CB34617"/>
    <w:rsid w:val="1CB7247E"/>
    <w:rsid w:val="1CBA4E5F"/>
    <w:rsid w:val="1CC97F51"/>
    <w:rsid w:val="1CD362C0"/>
    <w:rsid w:val="1CD85960"/>
    <w:rsid w:val="1D523CEF"/>
    <w:rsid w:val="1D8556E5"/>
    <w:rsid w:val="1DA62689"/>
    <w:rsid w:val="1DCB6E46"/>
    <w:rsid w:val="1DE1074A"/>
    <w:rsid w:val="1E0E6E6F"/>
    <w:rsid w:val="1E0F11B7"/>
    <w:rsid w:val="1E186628"/>
    <w:rsid w:val="1EBB548D"/>
    <w:rsid w:val="1EC0236C"/>
    <w:rsid w:val="1EE2244B"/>
    <w:rsid w:val="1EE43BB1"/>
    <w:rsid w:val="1EEE6D0E"/>
    <w:rsid w:val="1EF8115B"/>
    <w:rsid w:val="1EF86E9C"/>
    <w:rsid w:val="1F0B2466"/>
    <w:rsid w:val="1F187AFC"/>
    <w:rsid w:val="1F233431"/>
    <w:rsid w:val="1F282554"/>
    <w:rsid w:val="1F3F3FEC"/>
    <w:rsid w:val="1F5A5454"/>
    <w:rsid w:val="1F7F6794"/>
    <w:rsid w:val="1F85103B"/>
    <w:rsid w:val="1F9A2D26"/>
    <w:rsid w:val="1FA55DB1"/>
    <w:rsid w:val="1FA87ADA"/>
    <w:rsid w:val="1FC65DC4"/>
    <w:rsid w:val="20142AD8"/>
    <w:rsid w:val="201C35AB"/>
    <w:rsid w:val="202F16C0"/>
    <w:rsid w:val="2031432C"/>
    <w:rsid w:val="20517888"/>
    <w:rsid w:val="205904EB"/>
    <w:rsid w:val="20665917"/>
    <w:rsid w:val="206F2019"/>
    <w:rsid w:val="20700A81"/>
    <w:rsid w:val="20991071"/>
    <w:rsid w:val="20AE2C55"/>
    <w:rsid w:val="20F070A1"/>
    <w:rsid w:val="21103460"/>
    <w:rsid w:val="212C3E51"/>
    <w:rsid w:val="215313DE"/>
    <w:rsid w:val="21867A05"/>
    <w:rsid w:val="21997739"/>
    <w:rsid w:val="21D11DED"/>
    <w:rsid w:val="21F842F8"/>
    <w:rsid w:val="21F9443D"/>
    <w:rsid w:val="22092E8E"/>
    <w:rsid w:val="22396B4F"/>
    <w:rsid w:val="226B6D6D"/>
    <w:rsid w:val="228E2238"/>
    <w:rsid w:val="22BD7FE2"/>
    <w:rsid w:val="22CB0E33"/>
    <w:rsid w:val="23706277"/>
    <w:rsid w:val="238B30B1"/>
    <w:rsid w:val="23C44815"/>
    <w:rsid w:val="23DA2C45"/>
    <w:rsid w:val="23DA5DE6"/>
    <w:rsid w:val="23E70713"/>
    <w:rsid w:val="23FA330A"/>
    <w:rsid w:val="23FE3883"/>
    <w:rsid w:val="240A1E8A"/>
    <w:rsid w:val="243701FA"/>
    <w:rsid w:val="244669C2"/>
    <w:rsid w:val="24561ED1"/>
    <w:rsid w:val="245E3E26"/>
    <w:rsid w:val="245F009A"/>
    <w:rsid w:val="24637A54"/>
    <w:rsid w:val="247B7807"/>
    <w:rsid w:val="24AB2A1F"/>
    <w:rsid w:val="24D3190F"/>
    <w:rsid w:val="253523E4"/>
    <w:rsid w:val="257E5C44"/>
    <w:rsid w:val="258535E4"/>
    <w:rsid w:val="25A13AD9"/>
    <w:rsid w:val="25B53CA1"/>
    <w:rsid w:val="25C40AFC"/>
    <w:rsid w:val="25D37972"/>
    <w:rsid w:val="25EE2BEE"/>
    <w:rsid w:val="260375B1"/>
    <w:rsid w:val="26256302"/>
    <w:rsid w:val="26433970"/>
    <w:rsid w:val="264D28A0"/>
    <w:rsid w:val="26926505"/>
    <w:rsid w:val="269D4185"/>
    <w:rsid w:val="26B1211E"/>
    <w:rsid w:val="26D03AD3"/>
    <w:rsid w:val="26D37BDA"/>
    <w:rsid w:val="26E869F9"/>
    <w:rsid w:val="270F224B"/>
    <w:rsid w:val="271138CD"/>
    <w:rsid w:val="271E72F7"/>
    <w:rsid w:val="272963A5"/>
    <w:rsid w:val="275B723E"/>
    <w:rsid w:val="275F6D2E"/>
    <w:rsid w:val="27695189"/>
    <w:rsid w:val="27851763"/>
    <w:rsid w:val="27882C4F"/>
    <w:rsid w:val="27B71B44"/>
    <w:rsid w:val="27CE0083"/>
    <w:rsid w:val="27D532E6"/>
    <w:rsid w:val="27DC0E40"/>
    <w:rsid w:val="27E3149F"/>
    <w:rsid w:val="27EC4E11"/>
    <w:rsid w:val="27ED115A"/>
    <w:rsid w:val="283B6424"/>
    <w:rsid w:val="285C326E"/>
    <w:rsid w:val="2880658D"/>
    <w:rsid w:val="288A3B37"/>
    <w:rsid w:val="2898677D"/>
    <w:rsid w:val="28A36794"/>
    <w:rsid w:val="28B20D40"/>
    <w:rsid w:val="28BD4603"/>
    <w:rsid w:val="28CE5EEB"/>
    <w:rsid w:val="28DA4193"/>
    <w:rsid w:val="29001E4B"/>
    <w:rsid w:val="29472C62"/>
    <w:rsid w:val="295C1403"/>
    <w:rsid w:val="29602110"/>
    <w:rsid w:val="29946A38"/>
    <w:rsid w:val="29A52178"/>
    <w:rsid w:val="2A0E767C"/>
    <w:rsid w:val="2A6117FF"/>
    <w:rsid w:val="2A731ED7"/>
    <w:rsid w:val="2A8A7353"/>
    <w:rsid w:val="2A8C3D3A"/>
    <w:rsid w:val="2ABC2E32"/>
    <w:rsid w:val="2ABF6EDE"/>
    <w:rsid w:val="2ACE21F0"/>
    <w:rsid w:val="2AF71C8B"/>
    <w:rsid w:val="2B0640B7"/>
    <w:rsid w:val="2B1E5499"/>
    <w:rsid w:val="2B395AE8"/>
    <w:rsid w:val="2B6D7540"/>
    <w:rsid w:val="2B764F60"/>
    <w:rsid w:val="2BA524BA"/>
    <w:rsid w:val="2BBD471E"/>
    <w:rsid w:val="2BDF5999"/>
    <w:rsid w:val="2BE23A8A"/>
    <w:rsid w:val="2BEA293F"/>
    <w:rsid w:val="2C211938"/>
    <w:rsid w:val="2C2536B4"/>
    <w:rsid w:val="2C291181"/>
    <w:rsid w:val="2C365B84"/>
    <w:rsid w:val="2C416A03"/>
    <w:rsid w:val="2C4209CD"/>
    <w:rsid w:val="2C9F3729"/>
    <w:rsid w:val="2CEF4501"/>
    <w:rsid w:val="2D0637A8"/>
    <w:rsid w:val="2D172FF6"/>
    <w:rsid w:val="2D2D4261"/>
    <w:rsid w:val="2D4D2C4B"/>
    <w:rsid w:val="2D621327"/>
    <w:rsid w:val="2D856DA1"/>
    <w:rsid w:val="2D8C6D98"/>
    <w:rsid w:val="2D914B0D"/>
    <w:rsid w:val="2D99286E"/>
    <w:rsid w:val="2DD52E33"/>
    <w:rsid w:val="2DD613CD"/>
    <w:rsid w:val="2E0E4B42"/>
    <w:rsid w:val="2E33681F"/>
    <w:rsid w:val="2E444588"/>
    <w:rsid w:val="2E550EA1"/>
    <w:rsid w:val="2E5642BC"/>
    <w:rsid w:val="2E6D45D8"/>
    <w:rsid w:val="2ECB4A29"/>
    <w:rsid w:val="2EF706EB"/>
    <w:rsid w:val="2EF76980"/>
    <w:rsid w:val="2EFD2C10"/>
    <w:rsid w:val="2F0A3A24"/>
    <w:rsid w:val="2F0D52C2"/>
    <w:rsid w:val="2F4410AB"/>
    <w:rsid w:val="2F506DA5"/>
    <w:rsid w:val="2F81580D"/>
    <w:rsid w:val="2F894BD6"/>
    <w:rsid w:val="2F971030"/>
    <w:rsid w:val="2F9A34A9"/>
    <w:rsid w:val="2FBD234F"/>
    <w:rsid w:val="2FD15DDB"/>
    <w:rsid w:val="2FF53F42"/>
    <w:rsid w:val="30156655"/>
    <w:rsid w:val="30191A45"/>
    <w:rsid w:val="30215815"/>
    <w:rsid w:val="303E3AC7"/>
    <w:rsid w:val="304C19DC"/>
    <w:rsid w:val="304D2E90"/>
    <w:rsid w:val="30534B6F"/>
    <w:rsid w:val="305763AE"/>
    <w:rsid w:val="306453B6"/>
    <w:rsid w:val="308A26A8"/>
    <w:rsid w:val="308A7A18"/>
    <w:rsid w:val="30B84BA1"/>
    <w:rsid w:val="30BE39AD"/>
    <w:rsid w:val="30C8474C"/>
    <w:rsid w:val="30F027A5"/>
    <w:rsid w:val="317C0D70"/>
    <w:rsid w:val="319770C5"/>
    <w:rsid w:val="31A13C71"/>
    <w:rsid w:val="31AA11CD"/>
    <w:rsid w:val="31AA504A"/>
    <w:rsid w:val="31AD353E"/>
    <w:rsid w:val="31C66DCA"/>
    <w:rsid w:val="31CD6F8B"/>
    <w:rsid w:val="322A29BE"/>
    <w:rsid w:val="32755B3F"/>
    <w:rsid w:val="327A2C6E"/>
    <w:rsid w:val="32910BFC"/>
    <w:rsid w:val="32C128BF"/>
    <w:rsid w:val="32D63637"/>
    <w:rsid w:val="32F6606D"/>
    <w:rsid w:val="33584D17"/>
    <w:rsid w:val="3362437E"/>
    <w:rsid w:val="336770DA"/>
    <w:rsid w:val="338D077F"/>
    <w:rsid w:val="33B10912"/>
    <w:rsid w:val="33D95773"/>
    <w:rsid w:val="33E05883"/>
    <w:rsid w:val="34277A89"/>
    <w:rsid w:val="3448428B"/>
    <w:rsid w:val="34502B3C"/>
    <w:rsid w:val="34875B58"/>
    <w:rsid w:val="34B34216"/>
    <w:rsid w:val="34DD7416"/>
    <w:rsid w:val="34EC697D"/>
    <w:rsid w:val="34FF356E"/>
    <w:rsid w:val="355C48AD"/>
    <w:rsid w:val="356467EB"/>
    <w:rsid w:val="35675CD8"/>
    <w:rsid w:val="357C62C0"/>
    <w:rsid w:val="358F7495"/>
    <w:rsid w:val="35A76722"/>
    <w:rsid w:val="35C808B1"/>
    <w:rsid w:val="35EE5151"/>
    <w:rsid w:val="361433EF"/>
    <w:rsid w:val="36290B2F"/>
    <w:rsid w:val="362D13B0"/>
    <w:rsid w:val="36783969"/>
    <w:rsid w:val="368608FD"/>
    <w:rsid w:val="36892348"/>
    <w:rsid w:val="3697304E"/>
    <w:rsid w:val="36F86858"/>
    <w:rsid w:val="370451FC"/>
    <w:rsid w:val="373652E3"/>
    <w:rsid w:val="375546D0"/>
    <w:rsid w:val="377C3731"/>
    <w:rsid w:val="37916446"/>
    <w:rsid w:val="37992BB5"/>
    <w:rsid w:val="37B0227B"/>
    <w:rsid w:val="38105460"/>
    <w:rsid w:val="38390CFC"/>
    <w:rsid w:val="38504934"/>
    <w:rsid w:val="3855231E"/>
    <w:rsid w:val="385D4C77"/>
    <w:rsid w:val="38672589"/>
    <w:rsid w:val="38725AAB"/>
    <w:rsid w:val="387313B6"/>
    <w:rsid w:val="387816A6"/>
    <w:rsid w:val="388303A3"/>
    <w:rsid w:val="389A266A"/>
    <w:rsid w:val="38A60A12"/>
    <w:rsid w:val="38BF2886"/>
    <w:rsid w:val="38C84008"/>
    <w:rsid w:val="38DB01DF"/>
    <w:rsid w:val="38FD1534"/>
    <w:rsid w:val="3905700A"/>
    <w:rsid w:val="390F240C"/>
    <w:rsid w:val="3913451E"/>
    <w:rsid w:val="391D07F7"/>
    <w:rsid w:val="392568B6"/>
    <w:rsid w:val="392D763B"/>
    <w:rsid w:val="393161C0"/>
    <w:rsid w:val="399C4492"/>
    <w:rsid w:val="39AA39C6"/>
    <w:rsid w:val="39AC56D7"/>
    <w:rsid w:val="39D70512"/>
    <w:rsid w:val="39E712A5"/>
    <w:rsid w:val="3A0E0B1B"/>
    <w:rsid w:val="3A1F234D"/>
    <w:rsid w:val="3A5F1FCB"/>
    <w:rsid w:val="3A6A6801"/>
    <w:rsid w:val="3AA028C2"/>
    <w:rsid w:val="3AE25855"/>
    <w:rsid w:val="3B190B4B"/>
    <w:rsid w:val="3B240146"/>
    <w:rsid w:val="3B4F37E8"/>
    <w:rsid w:val="3B5F4080"/>
    <w:rsid w:val="3B6F6B01"/>
    <w:rsid w:val="3B913177"/>
    <w:rsid w:val="3BAB0C87"/>
    <w:rsid w:val="3BB05953"/>
    <w:rsid w:val="3BB96DB6"/>
    <w:rsid w:val="3BBB2C26"/>
    <w:rsid w:val="3BBE2083"/>
    <w:rsid w:val="3BC42600"/>
    <w:rsid w:val="3BD74C8E"/>
    <w:rsid w:val="3BE21884"/>
    <w:rsid w:val="3BE857DC"/>
    <w:rsid w:val="3C33049F"/>
    <w:rsid w:val="3C423D71"/>
    <w:rsid w:val="3C487939"/>
    <w:rsid w:val="3C5A766D"/>
    <w:rsid w:val="3CCA5F9E"/>
    <w:rsid w:val="3CCD1CD9"/>
    <w:rsid w:val="3CD270D8"/>
    <w:rsid w:val="3CDC2262"/>
    <w:rsid w:val="3CF9616C"/>
    <w:rsid w:val="3CFE449C"/>
    <w:rsid w:val="3D23633B"/>
    <w:rsid w:val="3D4A148F"/>
    <w:rsid w:val="3D5642D8"/>
    <w:rsid w:val="3D622C7D"/>
    <w:rsid w:val="3D633DAF"/>
    <w:rsid w:val="3D650176"/>
    <w:rsid w:val="3D6513A4"/>
    <w:rsid w:val="3D7719D5"/>
    <w:rsid w:val="3D8817CF"/>
    <w:rsid w:val="3D8E5820"/>
    <w:rsid w:val="3DBF3C2B"/>
    <w:rsid w:val="3DBF4CD7"/>
    <w:rsid w:val="3DF37D79"/>
    <w:rsid w:val="3E032EB7"/>
    <w:rsid w:val="3E287A22"/>
    <w:rsid w:val="3E293407"/>
    <w:rsid w:val="3E2D64A7"/>
    <w:rsid w:val="3E562F80"/>
    <w:rsid w:val="3E71651A"/>
    <w:rsid w:val="3EDC306B"/>
    <w:rsid w:val="3EE31D23"/>
    <w:rsid w:val="3F035D9A"/>
    <w:rsid w:val="3F156858"/>
    <w:rsid w:val="3F1D290D"/>
    <w:rsid w:val="3F20694C"/>
    <w:rsid w:val="3F43787A"/>
    <w:rsid w:val="3F470EFA"/>
    <w:rsid w:val="3F4907B2"/>
    <w:rsid w:val="3F607C2D"/>
    <w:rsid w:val="3F68453B"/>
    <w:rsid w:val="3F88308A"/>
    <w:rsid w:val="3F995312"/>
    <w:rsid w:val="3F9966FE"/>
    <w:rsid w:val="3FA87421"/>
    <w:rsid w:val="3FDC7C1A"/>
    <w:rsid w:val="400D1685"/>
    <w:rsid w:val="40713E01"/>
    <w:rsid w:val="40774C91"/>
    <w:rsid w:val="4083757B"/>
    <w:rsid w:val="408C635B"/>
    <w:rsid w:val="40A32B51"/>
    <w:rsid w:val="40D00267"/>
    <w:rsid w:val="40EE65D6"/>
    <w:rsid w:val="40F33A82"/>
    <w:rsid w:val="40FE050B"/>
    <w:rsid w:val="414D62D4"/>
    <w:rsid w:val="417040E6"/>
    <w:rsid w:val="41D55520"/>
    <w:rsid w:val="41E6476F"/>
    <w:rsid w:val="41E95468"/>
    <w:rsid w:val="41ED56F3"/>
    <w:rsid w:val="41F40ADF"/>
    <w:rsid w:val="41F7683F"/>
    <w:rsid w:val="41F8770C"/>
    <w:rsid w:val="41FC6E26"/>
    <w:rsid w:val="420E4DBD"/>
    <w:rsid w:val="421A11A9"/>
    <w:rsid w:val="422468A6"/>
    <w:rsid w:val="427964C9"/>
    <w:rsid w:val="428A2331"/>
    <w:rsid w:val="428B3D01"/>
    <w:rsid w:val="429C0645"/>
    <w:rsid w:val="42CA4F2A"/>
    <w:rsid w:val="42CE53D3"/>
    <w:rsid w:val="42DE2DA6"/>
    <w:rsid w:val="42F1180C"/>
    <w:rsid w:val="42FB2108"/>
    <w:rsid w:val="42FC5CEE"/>
    <w:rsid w:val="430F11B1"/>
    <w:rsid w:val="4318549D"/>
    <w:rsid w:val="433B572E"/>
    <w:rsid w:val="43C27497"/>
    <w:rsid w:val="44071575"/>
    <w:rsid w:val="443F1DF1"/>
    <w:rsid w:val="444A5A66"/>
    <w:rsid w:val="445157F9"/>
    <w:rsid w:val="445269C3"/>
    <w:rsid w:val="446948F1"/>
    <w:rsid w:val="446B0669"/>
    <w:rsid w:val="44842B9E"/>
    <w:rsid w:val="4498644C"/>
    <w:rsid w:val="44AD459D"/>
    <w:rsid w:val="44BA58C3"/>
    <w:rsid w:val="44DB35DF"/>
    <w:rsid w:val="44DF1057"/>
    <w:rsid w:val="44F504EC"/>
    <w:rsid w:val="45041475"/>
    <w:rsid w:val="45102AB0"/>
    <w:rsid w:val="451A1C4E"/>
    <w:rsid w:val="45207AE0"/>
    <w:rsid w:val="4531649B"/>
    <w:rsid w:val="4545625B"/>
    <w:rsid w:val="45592D7D"/>
    <w:rsid w:val="455A248C"/>
    <w:rsid w:val="4589599E"/>
    <w:rsid w:val="458D3152"/>
    <w:rsid w:val="45F428E0"/>
    <w:rsid w:val="46004DE1"/>
    <w:rsid w:val="46216A5D"/>
    <w:rsid w:val="46265402"/>
    <w:rsid w:val="463532B5"/>
    <w:rsid w:val="463C386B"/>
    <w:rsid w:val="4645313C"/>
    <w:rsid w:val="46476E9C"/>
    <w:rsid w:val="465D3E2D"/>
    <w:rsid w:val="46847833"/>
    <w:rsid w:val="46900AC4"/>
    <w:rsid w:val="46920B5E"/>
    <w:rsid w:val="46AC535B"/>
    <w:rsid w:val="46CF0993"/>
    <w:rsid w:val="46E01EF3"/>
    <w:rsid w:val="46E62229"/>
    <w:rsid w:val="46F65488"/>
    <w:rsid w:val="471A1242"/>
    <w:rsid w:val="471F2A33"/>
    <w:rsid w:val="471F573B"/>
    <w:rsid w:val="475B5461"/>
    <w:rsid w:val="47A619B8"/>
    <w:rsid w:val="47CB0DD4"/>
    <w:rsid w:val="47D876FB"/>
    <w:rsid w:val="48036DB6"/>
    <w:rsid w:val="48741AB6"/>
    <w:rsid w:val="48742B93"/>
    <w:rsid w:val="48AC50AC"/>
    <w:rsid w:val="48B0513B"/>
    <w:rsid w:val="48E36096"/>
    <w:rsid w:val="48F646F7"/>
    <w:rsid w:val="491A58FE"/>
    <w:rsid w:val="49282FCC"/>
    <w:rsid w:val="49305F90"/>
    <w:rsid w:val="493A7349"/>
    <w:rsid w:val="49773C28"/>
    <w:rsid w:val="497756A4"/>
    <w:rsid w:val="49802A32"/>
    <w:rsid w:val="49B4697B"/>
    <w:rsid w:val="49C55ED9"/>
    <w:rsid w:val="49CF1E7A"/>
    <w:rsid w:val="49E90E7F"/>
    <w:rsid w:val="4A000B45"/>
    <w:rsid w:val="4A2A2120"/>
    <w:rsid w:val="4A464097"/>
    <w:rsid w:val="4A58343D"/>
    <w:rsid w:val="4A611BAC"/>
    <w:rsid w:val="4A805CB0"/>
    <w:rsid w:val="4ACF2C1E"/>
    <w:rsid w:val="4ADE3681"/>
    <w:rsid w:val="4B2348BD"/>
    <w:rsid w:val="4B3C0FDC"/>
    <w:rsid w:val="4B5B1002"/>
    <w:rsid w:val="4B6C2A28"/>
    <w:rsid w:val="4B6C4CC7"/>
    <w:rsid w:val="4B736055"/>
    <w:rsid w:val="4B8464B4"/>
    <w:rsid w:val="4B995B21"/>
    <w:rsid w:val="4B9B025F"/>
    <w:rsid w:val="4BB94972"/>
    <w:rsid w:val="4BD304AC"/>
    <w:rsid w:val="4BE13F29"/>
    <w:rsid w:val="4BE60F1D"/>
    <w:rsid w:val="4C0731BC"/>
    <w:rsid w:val="4C0C0983"/>
    <w:rsid w:val="4C145AF5"/>
    <w:rsid w:val="4C2537F3"/>
    <w:rsid w:val="4C373527"/>
    <w:rsid w:val="4C396AAB"/>
    <w:rsid w:val="4C7818BA"/>
    <w:rsid w:val="4CA36F96"/>
    <w:rsid w:val="4CB70DEF"/>
    <w:rsid w:val="4CC0252A"/>
    <w:rsid w:val="4CFD651E"/>
    <w:rsid w:val="4D2C6E03"/>
    <w:rsid w:val="4D306086"/>
    <w:rsid w:val="4D37534E"/>
    <w:rsid w:val="4D507F44"/>
    <w:rsid w:val="4D53092F"/>
    <w:rsid w:val="4D587981"/>
    <w:rsid w:val="4D5D6FBD"/>
    <w:rsid w:val="4D7A29D4"/>
    <w:rsid w:val="4D7E7F7E"/>
    <w:rsid w:val="4DBB4542"/>
    <w:rsid w:val="4DBD1CC1"/>
    <w:rsid w:val="4DC44B6E"/>
    <w:rsid w:val="4DC77C70"/>
    <w:rsid w:val="4DCD4142"/>
    <w:rsid w:val="4DD1180C"/>
    <w:rsid w:val="4DDC4EFC"/>
    <w:rsid w:val="4DEB5934"/>
    <w:rsid w:val="4E0631B0"/>
    <w:rsid w:val="4E197388"/>
    <w:rsid w:val="4E1D0A20"/>
    <w:rsid w:val="4E2D4BE1"/>
    <w:rsid w:val="4E2F710D"/>
    <w:rsid w:val="4E3450A1"/>
    <w:rsid w:val="4E4F6905"/>
    <w:rsid w:val="4E592873"/>
    <w:rsid w:val="4E8862BB"/>
    <w:rsid w:val="4EA35B07"/>
    <w:rsid w:val="4F061E56"/>
    <w:rsid w:val="4F281AC6"/>
    <w:rsid w:val="4F4334DF"/>
    <w:rsid w:val="4F5C0152"/>
    <w:rsid w:val="4F5D32A4"/>
    <w:rsid w:val="4F657A1A"/>
    <w:rsid w:val="4F750D72"/>
    <w:rsid w:val="4F8E345D"/>
    <w:rsid w:val="4F9842DC"/>
    <w:rsid w:val="4FBC7F4E"/>
    <w:rsid w:val="4FD35689"/>
    <w:rsid w:val="500B0F52"/>
    <w:rsid w:val="500D7441"/>
    <w:rsid w:val="501E557D"/>
    <w:rsid w:val="50255C33"/>
    <w:rsid w:val="5038161B"/>
    <w:rsid w:val="504D1F7F"/>
    <w:rsid w:val="50724B2D"/>
    <w:rsid w:val="50BF20D0"/>
    <w:rsid w:val="50CF6052"/>
    <w:rsid w:val="50D92DFE"/>
    <w:rsid w:val="50FC089B"/>
    <w:rsid w:val="50FE5415"/>
    <w:rsid w:val="51063B27"/>
    <w:rsid w:val="51081910"/>
    <w:rsid w:val="511503E1"/>
    <w:rsid w:val="511B3DF6"/>
    <w:rsid w:val="51204589"/>
    <w:rsid w:val="51447EC3"/>
    <w:rsid w:val="515C3A4F"/>
    <w:rsid w:val="51680684"/>
    <w:rsid w:val="518D1C42"/>
    <w:rsid w:val="51932FAD"/>
    <w:rsid w:val="51BC2CCE"/>
    <w:rsid w:val="51C24B61"/>
    <w:rsid w:val="51E533A2"/>
    <w:rsid w:val="51F45C15"/>
    <w:rsid w:val="51F55A16"/>
    <w:rsid w:val="520A1843"/>
    <w:rsid w:val="521340EE"/>
    <w:rsid w:val="521C370F"/>
    <w:rsid w:val="52964205"/>
    <w:rsid w:val="529A3098"/>
    <w:rsid w:val="52A2637D"/>
    <w:rsid w:val="52B137B9"/>
    <w:rsid w:val="52BC29D7"/>
    <w:rsid w:val="52F61A46"/>
    <w:rsid w:val="536C1D08"/>
    <w:rsid w:val="53781719"/>
    <w:rsid w:val="53804D80"/>
    <w:rsid w:val="53981898"/>
    <w:rsid w:val="53A5521A"/>
    <w:rsid w:val="53B46CF8"/>
    <w:rsid w:val="53C75190"/>
    <w:rsid w:val="53C84107"/>
    <w:rsid w:val="53FC3DBB"/>
    <w:rsid w:val="540939FA"/>
    <w:rsid w:val="54401249"/>
    <w:rsid w:val="544E765F"/>
    <w:rsid w:val="54520EFE"/>
    <w:rsid w:val="54535AEF"/>
    <w:rsid w:val="54556C40"/>
    <w:rsid w:val="547E7FB3"/>
    <w:rsid w:val="54C87412"/>
    <w:rsid w:val="5501496A"/>
    <w:rsid w:val="550366C9"/>
    <w:rsid w:val="550F625D"/>
    <w:rsid w:val="5526220B"/>
    <w:rsid w:val="554B1941"/>
    <w:rsid w:val="556736CB"/>
    <w:rsid w:val="556D4F91"/>
    <w:rsid w:val="55C93441"/>
    <w:rsid w:val="561D0A69"/>
    <w:rsid w:val="562C010C"/>
    <w:rsid w:val="567468D3"/>
    <w:rsid w:val="568832FC"/>
    <w:rsid w:val="56A8491C"/>
    <w:rsid w:val="56B365F2"/>
    <w:rsid w:val="571B24D9"/>
    <w:rsid w:val="57230D60"/>
    <w:rsid w:val="57280417"/>
    <w:rsid w:val="573C6644"/>
    <w:rsid w:val="574B60D8"/>
    <w:rsid w:val="57551807"/>
    <w:rsid w:val="575B7984"/>
    <w:rsid w:val="57662666"/>
    <w:rsid w:val="57725A42"/>
    <w:rsid w:val="57AD15A0"/>
    <w:rsid w:val="58207D11"/>
    <w:rsid w:val="583E2EB7"/>
    <w:rsid w:val="58615BB3"/>
    <w:rsid w:val="58722AC6"/>
    <w:rsid w:val="58727C79"/>
    <w:rsid w:val="587950DA"/>
    <w:rsid w:val="588B70D4"/>
    <w:rsid w:val="58A4137B"/>
    <w:rsid w:val="58BB6F2F"/>
    <w:rsid w:val="58C0021D"/>
    <w:rsid w:val="58C209CB"/>
    <w:rsid w:val="58C3123D"/>
    <w:rsid w:val="58E44CE6"/>
    <w:rsid w:val="590029F6"/>
    <w:rsid w:val="59094D1F"/>
    <w:rsid w:val="590F7712"/>
    <w:rsid w:val="591666E5"/>
    <w:rsid w:val="59480B21"/>
    <w:rsid w:val="59827BBB"/>
    <w:rsid w:val="59842292"/>
    <w:rsid w:val="598B2199"/>
    <w:rsid w:val="59A2059F"/>
    <w:rsid w:val="59CB1CFB"/>
    <w:rsid w:val="59F64A21"/>
    <w:rsid w:val="5A1739EC"/>
    <w:rsid w:val="5A28633E"/>
    <w:rsid w:val="5A2F315C"/>
    <w:rsid w:val="5A607209"/>
    <w:rsid w:val="5A736BFA"/>
    <w:rsid w:val="5A8C157E"/>
    <w:rsid w:val="5AAE0CBC"/>
    <w:rsid w:val="5AC97A40"/>
    <w:rsid w:val="5AEA1AAB"/>
    <w:rsid w:val="5AEB61C6"/>
    <w:rsid w:val="5AF213C3"/>
    <w:rsid w:val="5AFB3F4B"/>
    <w:rsid w:val="5AFD2B4C"/>
    <w:rsid w:val="5B153E68"/>
    <w:rsid w:val="5B676976"/>
    <w:rsid w:val="5B721081"/>
    <w:rsid w:val="5B851289"/>
    <w:rsid w:val="5B8F2A37"/>
    <w:rsid w:val="5BD57899"/>
    <w:rsid w:val="5BD668B8"/>
    <w:rsid w:val="5BFD7D84"/>
    <w:rsid w:val="5C2A4CC2"/>
    <w:rsid w:val="5C450E55"/>
    <w:rsid w:val="5C954DB9"/>
    <w:rsid w:val="5CA8471C"/>
    <w:rsid w:val="5CAC586B"/>
    <w:rsid w:val="5CC6692D"/>
    <w:rsid w:val="5CE43E71"/>
    <w:rsid w:val="5CFD63D8"/>
    <w:rsid w:val="5D221242"/>
    <w:rsid w:val="5D2F2193"/>
    <w:rsid w:val="5D6F3EAF"/>
    <w:rsid w:val="5D7B64BE"/>
    <w:rsid w:val="5D8B722E"/>
    <w:rsid w:val="5DA25B09"/>
    <w:rsid w:val="5DA327CA"/>
    <w:rsid w:val="5DAD79EC"/>
    <w:rsid w:val="5DC00542"/>
    <w:rsid w:val="5DC93865"/>
    <w:rsid w:val="5DCD7847"/>
    <w:rsid w:val="5E194D96"/>
    <w:rsid w:val="5E3853B4"/>
    <w:rsid w:val="5E7E2B8A"/>
    <w:rsid w:val="5E7E3D05"/>
    <w:rsid w:val="5E815819"/>
    <w:rsid w:val="5EA74983"/>
    <w:rsid w:val="5EB677B0"/>
    <w:rsid w:val="5F0039DE"/>
    <w:rsid w:val="5F4D2B10"/>
    <w:rsid w:val="5F5322EC"/>
    <w:rsid w:val="5F8D7FF0"/>
    <w:rsid w:val="5F99367F"/>
    <w:rsid w:val="5F9F3465"/>
    <w:rsid w:val="5FA168CF"/>
    <w:rsid w:val="5FBE331A"/>
    <w:rsid w:val="5FCD244A"/>
    <w:rsid w:val="5FD21EE2"/>
    <w:rsid w:val="5FFD1B5F"/>
    <w:rsid w:val="602A6BFE"/>
    <w:rsid w:val="605814A9"/>
    <w:rsid w:val="60E530F9"/>
    <w:rsid w:val="614A2CE1"/>
    <w:rsid w:val="616B35FF"/>
    <w:rsid w:val="61771F9D"/>
    <w:rsid w:val="61834DEC"/>
    <w:rsid w:val="618B5A4F"/>
    <w:rsid w:val="61A37E85"/>
    <w:rsid w:val="61B14ABA"/>
    <w:rsid w:val="61EE4B9B"/>
    <w:rsid w:val="62036702"/>
    <w:rsid w:val="62280678"/>
    <w:rsid w:val="623460E6"/>
    <w:rsid w:val="62475BAC"/>
    <w:rsid w:val="62655A4A"/>
    <w:rsid w:val="626A4F39"/>
    <w:rsid w:val="62832BCA"/>
    <w:rsid w:val="629D1EDE"/>
    <w:rsid w:val="62D037D0"/>
    <w:rsid w:val="62D460A8"/>
    <w:rsid w:val="62F23D84"/>
    <w:rsid w:val="630D51AB"/>
    <w:rsid w:val="6322733A"/>
    <w:rsid w:val="63754B89"/>
    <w:rsid w:val="639005D3"/>
    <w:rsid w:val="63B70D7D"/>
    <w:rsid w:val="63C974DB"/>
    <w:rsid w:val="63E853DA"/>
    <w:rsid w:val="63FC7559"/>
    <w:rsid w:val="64083BDD"/>
    <w:rsid w:val="640F0BB9"/>
    <w:rsid w:val="641872CF"/>
    <w:rsid w:val="64624165"/>
    <w:rsid w:val="646F3406"/>
    <w:rsid w:val="648275DD"/>
    <w:rsid w:val="64995780"/>
    <w:rsid w:val="649E1F3D"/>
    <w:rsid w:val="64AD03EB"/>
    <w:rsid w:val="64D23C9D"/>
    <w:rsid w:val="64D836A1"/>
    <w:rsid w:val="64D911C7"/>
    <w:rsid w:val="64E1547D"/>
    <w:rsid w:val="64F8621A"/>
    <w:rsid w:val="64FF62E8"/>
    <w:rsid w:val="65030AD7"/>
    <w:rsid w:val="65041975"/>
    <w:rsid w:val="651B617E"/>
    <w:rsid w:val="65935A74"/>
    <w:rsid w:val="65981F09"/>
    <w:rsid w:val="65984BDE"/>
    <w:rsid w:val="65A768AA"/>
    <w:rsid w:val="65B6655E"/>
    <w:rsid w:val="65C3677D"/>
    <w:rsid w:val="65D06126"/>
    <w:rsid w:val="65D93FDD"/>
    <w:rsid w:val="65E038BC"/>
    <w:rsid w:val="65ED39F9"/>
    <w:rsid w:val="665E40FC"/>
    <w:rsid w:val="66606927"/>
    <w:rsid w:val="6667043F"/>
    <w:rsid w:val="669D0591"/>
    <w:rsid w:val="66A46503"/>
    <w:rsid w:val="66C86594"/>
    <w:rsid w:val="671B7875"/>
    <w:rsid w:val="67251F61"/>
    <w:rsid w:val="67335F6C"/>
    <w:rsid w:val="67444D56"/>
    <w:rsid w:val="675207F5"/>
    <w:rsid w:val="67595122"/>
    <w:rsid w:val="67700F1C"/>
    <w:rsid w:val="67705445"/>
    <w:rsid w:val="678D7C38"/>
    <w:rsid w:val="67A67140"/>
    <w:rsid w:val="67A91325"/>
    <w:rsid w:val="67BF267F"/>
    <w:rsid w:val="681C5653"/>
    <w:rsid w:val="6835318E"/>
    <w:rsid w:val="687D31D3"/>
    <w:rsid w:val="68B12AC7"/>
    <w:rsid w:val="68B24B39"/>
    <w:rsid w:val="69064A9A"/>
    <w:rsid w:val="692E7D33"/>
    <w:rsid w:val="693B0729"/>
    <w:rsid w:val="69714EBB"/>
    <w:rsid w:val="69802992"/>
    <w:rsid w:val="698135C6"/>
    <w:rsid w:val="69833262"/>
    <w:rsid w:val="6997469A"/>
    <w:rsid w:val="69A12525"/>
    <w:rsid w:val="69AF3E41"/>
    <w:rsid w:val="69CC74F2"/>
    <w:rsid w:val="69DF6753"/>
    <w:rsid w:val="6A1102F9"/>
    <w:rsid w:val="6A242EE4"/>
    <w:rsid w:val="6A347FFD"/>
    <w:rsid w:val="6A543B60"/>
    <w:rsid w:val="6A5512F0"/>
    <w:rsid w:val="6A5C1C27"/>
    <w:rsid w:val="6A68225A"/>
    <w:rsid w:val="6A771266"/>
    <w:rsid w:val="6A773860"/>
    <w:rsid w:val="6A7A0DD1"/>
    <w:rsid w:val="6A825A16"/>
    <w:rsid w:val="6AA02886"/>
    <w:rsid w:val="6AA70ABD"/>
    <w:rsid w:val="6AD46C1B"/>
    <w:rsid w:val="6ADF6062"/>
    <w:rsid w:val="6AF02DC7"/>
    <w:rsid w:val="6B0E19CD"/>
    <w:rsid w:val="6B186BFE"/>
    <w:rsid w:val="6B2F1B41"/>
    <w:rsid w:val="6B40549D"/>
    <w:rsid w:val="6B431148"/>
    <w:rsid w:val="6B6E2E7E"/>
    <w:rsid w:val="6BBF09B4"/>
    <w:rsid w:val="6BC54253"/>
    <w:rsid w:val="6BFB0CF9"/>
    <w:rsid w:val="6C042A51"/>
    <w:rsid w:val="6C0728F1"/>
    <w:rsid w:val="6C0D5CDC"/>
    <w:rsid w:val="6C2C7E2E"/>
    <w:rsid w:val="6C380022"/>
    <w:rsid w:val="6C3A1C47"/>
    <w:rsid w:val="6C3E6CF8"/>
    <w:rsid w:val="6C5A72D1"/>
    <w:rsid w:val="6C621AA2"/>
    <w:rsid w:val="6C691DB1"/>
    <w:rsid w:val="6C803AAC"/>
    <w:rsid w:val="6CBC6B37"/>
    <w:rsid w:val="6CDF30F3"/>
    <w:rsid w:val="6D4573FA"/>
    <w:rsid w:val="6D5238C5"/>
    <w:rsid w:val="6D811791"/>
    <w:rsid w:val="6D9D726E"/>
    <w:rsid w:val="6DD52747"/>
    <w:rsid w:val="6DF54E64"/>
    <w:rsid w:val="6E1A3D90"/>
    <w:rsid w:val="6E731D44"/>
    <w:rsid w:val="6E75594B"/>
    <w:rsid w:val="6E8B1784"/>
    <w:rsid w:val="6EA11741"/>
    <w:rsid w:val="6EAE2FFB"/>
    <w:rsid w:val="6EBE56B6"/>
    <w:rsid w:val="6F010FCF"/>
    <w:rsid w:val="6F30378B"/>
    <w:rsid w:val="6F452166"/>
    <w:rsid w:val="6F460600"/>
    <w:rsid w:val="6F5F0EF2"/>
    <w:rsid w:val="6FC63D40"/>
    <w:rsid w:val="6FE54450"/>
    <w:rsid w:val="6FF1412A"/>
    <w:rsid w:val="6FFD3E19"/>
    <w:rsid w:val="6FFE2B55"/>
    <w:rsid w:val="701F3935"/>
    <w:rsid w:val="70291255"/>
    <w:rsid w:val="703C61FB"/>
    <w:rsid w:val="7053007F"/>
    <w:rsid w:val="705803FB"/>
    <w:rsid w:val="708F0E3B"/>
    <w:rsid w:val="709025ED"/>
    <w:rsid w:val="709C4BE4"/>
    <w:rsid w:val="70AC2C1B"/>
    <w:rsid w:val="70B53AD2"/>
    <w:rsid w:val="70BD0F64"/>
    <w:rsid w:val="71311825"/>
    <w:rsid w:val="713A1351"/>
    <w:rsid w:val="715045BF"/>
    <w:rsid w:val="71883F4B"/>
    <w:rsid w:val="71B7463E"/>
    <w:rsid w:val="71CA11ED"/>
    <w:rsid w:val="71F2645B"/>
    <w:rsid w:val="72460C42"/>
    <w:rsid w:val="725400DF"/>
    <w:rsid w:val="725B321B"/>
    <w:rsid w:val="72697ED9"/>
    <w:rsid w:val="72B548D5"/>
    <w:rsid w:val="72EC2202"/>
    <w:rsid w:val="73027B3B"/>
    <w:rsid w:val="73127C2B"/>
    <w:rsid w:val="73171D36"/>
    <w:rsid w:val="7318735E"/>
    <w:rsid w:val="73196B42"/>
    <w:rsid w:val="7338355D"/>
    <w:rsid w:val="736E6F7E"/>
    <w:rsid w:val="73820D07"/>
    <w:rsid w:val="739E7E78"/>
    <w:rsid w:val="73A9530B"/>
    <w:rsid w:val="73B25D69"/>
    <w:rsid w:val="73BE1CB4"/>
    <w:rsid w:val="73CA0659"/>
    <w:rsid w:val="73FC1B7C"/>
    <w:rsid w:val="74606D62"/>
    <w:rsid w:val="74C432FA"/>
    <w:rsid w:val="74D27954"/>
    <w:rsid w:val="74F61377"/>
    <w:rsid w:val="74F900F2"/>
    <w:rsid w:val="75321D4A"/>
    <w:rsid w:val="75397D84"/>
    <w:rsid w:val="754C45F9"/>
    <w:rsid w:val="75580825"/>
    <w:rsid w:val="75625061"/>
    <w:rsid w:val="75994904"/>
    <w:rsid w:val="75B613A7"/>
    <w:rsid w:val="75BC511D"/>
    <w:rsid w:val="75D6455E"/>
    <w:rsid w:val="75E23F25"/>
    <w:rsid w:val="75E44C7A"/>
    <w:rsid w:val="75F61BD9"/>
    <w:rsid w:val="75F76EA1"/>
    <w:rsid w:val="763E3AFC"/>
    <w:rsid w:val="765D5D80"/>
    <w:rsid w:val="767D2092"/>
    <w:rsid w:val="76932AB3"/>
    <w:rsid w:val="769514B8"/>
    <w:rsid w:val="76A14D31"/>
    <w:rsid w:val="76AA29C3"/>
    <w:rsid w:val="76BF5F6B"/>
    <w:rsid w:val="76C842B2"/>
    <w:rsid w:val="77302687"/>
    <w:rsid w:val="773F4EBA"/>
    <w:rsid w:val="7765083A"/>
    <w:rsid w:val="7775650A"/>
    <w:rsid w:val="7778661E"/>
    <w:rsid w:val="7795357A"/>
    <w:rsid w:val="77AC04D3"/>
    <w:rsid w:val="77B21B30"/>
    <w:rsid w:val="77CA5B08"/>
    <w:rsid w:val="77D91C05"/>
    <w:rsid w:val="77E36ED7"/>
    <w:rsid w:val="77E872FF"/>
    <w:rsid w:val="77F50BF2"/>
    <w:rsid w:val="780B1EB9"/>
    <w:rsid w:val="786939E4"/>
    <w:rsid w:val="78713D13"/>
    <w:rsid w:val="78A04DB7"/>
    <w:rsid w:val="78A93939"/>
    <w:rsid w:val="78B11DE7"/>
    <w:rsid w:val="78CC4E73"/>
    <w:rsid w:val="78DB5DD4"/>
    <w:rsid w:val="78FA736A"/>
    <w:rsid w:val="79127F47"/>
    <w:rsid w:val="79505710"/>
    <w:rsid w:val="796E5F2A"/>
    <w:rsid w:val="796F3C0E"/>
    <w:rsid w:val="79B75E64"/>
    <w:rsid w:val="79E166FC"/>
    <w:rsid w:val="7A5769BE"/>
    <w:rsid w:val="7A717937"/>
    <w:rsid w:val="7A73769A"/>
    <w:rsid w:val="7A8507F7"/>
    <w:rsid w:val="7A907CEC"/>
    <w:rsid w:val="7AB14F4C"/>
    <w:rsid w:val="7ABE04E2"/>
    <w:rsid w:val="7ADD5115"/>
    <w:rsid w:val="7AEA15E0"/>
    <w:rsid w:val="7AFB191A"/>
    <w:rsid w:val="7AFF419C"/>
    <w:rsid w:val="7B024B7C"/>
    <w:rsid w:val="7B430CE9"/>
    <w:rsid w:val="7B455BC8"/>
    <w:rsid w:val="7B4E79AB"/>
    <w:rsid w:val="7B7503B1"/>
    <w:rsid w:val="7B9F23CB"/>
    <w:rsid w:val="7BA25DD3"/>
    <w:rsid w:val="7BA34BEE"/>
    <w:rsid w:val="7BB65D27"/>
    <w:rsid w:val="7BBC7867"/>
    <w:rsid w:val="7BD60EEC"/>
    <w:rsid w:val="7BEF3F13"/>
    <w:rsid w:val="7C0001D6"/>
    <w:rsid w:val="7C1057C9"/>
    <w:rsid w:val="7C1542B5"/>
    <w:rsid w:val="7C35301B"/>
    <w:rsid w:val="7C5B09E8"/>
    <w:rsid w:val="7C5C6C22"/>
    <w:rsid w:val="7C6158D2"/>
    <w:rsid w:val="7C7711EA"/>
    <w:rsid w:val="7C7B6659"/>
    <w:rsid w:val="7CB62D95"/>
    <w:rsid w:val="7CCD4D16"/>
    <w:rsid w:val="7CE32944"/>
    <w:rsid w:val="7D3603E5"/>
    <w:rsid w:val="7D3700C6"/>
    <w:rsid w:val="7D397A50"/>
    <w:rsid w:val="7D484F3D"/>
    <w:rsid w:val="7D693F8A"/>
    <w:rsid w:val="7D8345B4"/>
    <w:rsid w:val="7DBB54B6"/>
    <w:rsid w:val="7DCC1471"/>
    <w:rsid w:val="7DD02CA3"/>
    <w:rsid w:val="7DDC4C39"/>
    <w:rsid w:val="7E03200E"/>
    <w:rsid w:val="7E2557E8"/>
    <w:rsid w:val="7E2B20AE"/>
    <w:rsid w:val="7E2D1B69"/>
    <w:rsid w:val="7E420EFD"/>
    <w:rsid w:val="7E5566A4"/>
    <w:rsid w:val="7E5A082B"/>
    <w:rsid w:val="7E7D25E2"/>
    <w:rsid w:val="7E8D3F4D"/>
    <w:rsid w:val="7EA5419C"/>
    <w:rsid w:val="7ED06D3F"/>
    <w:rsid w:val="7ED94380"/>
    <w:rsid w:val="7EF55B3A"/>
    <w:rsid w:val="7EFF3FD4"/>
    <w:rsid w:val="7F08297D"/>
    <w:rsid w:val="7F0D4DC1"/>
    <w:rsid w:val="7F3B222A"/>
    <w:rsid w:val="7F8A5E48"/>
    <w:rsid w:val="7F8C710A"/>
    <w:rsid w:val="7FC65583"/>
    <w:rsid w:val="7FCA0B15"/>
    <w:rsid w:val="7FCC5D89"/>
    <w:rsid w:val="7FEA46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8"/>
    <w:autoRedefine/>
    <w:qFormat/>
    <w:uiPriority w:val="0"/>
    <w:pPr>
      <w:keepNext/>
      <w:keepLines/>
      <w:spacing w:before="260" w:after="260" w:line="416" w:lineRule="auto"/>
      <w:outlineLvl w:val="2"/>
    </w:pPr>
    <w:rPr>
      <w:b/>
      <w:bCs/>
      <w:sz w:val="32"/>
      <w:szCs w:val="32"/>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6"/>
    <w:autoRedefine/>
    <w:semiHidden/>
    <w:unhideWhenUsed/>
    <w:qFormat/>
    <w:uiPriority w:val="0"/>
    <w:pPr>
      <w:jc w:val="left"/>
    </w:pPr>
    <w:rPr>
      <w:rFonts w:ascii="Calibri" w:hAnsi="Calibri" w:eastAsia="宋体" w:cs="Times New Roman"/>
    </w:rPr>
  </w:style>
  <w:style w:type="paragraph" w:styleId="4">
    <w:name w:val="Body Text"/>
    <w:basedOn w:val="1"/>
    <w:next w:val="5"/>
    <w:autoRedefine/>
    <w:qFormat/>
    <w:uiPriority w:val="0"/>
    <w:rPr>
      <w:rFonts w:ascii="Times New Roman" w:hAnsi="Times New Roman" w:cs="Times New Roman"/>
      <w:kern w:val="0"/>
    </w:rPr>
  </w:style>
  <w:style w:type="paragraph" w:customStyle="1" w:styleId="5">
    <w:name w:val="目录 53"/>
    <w:next w:val="1"/>
    <w:autoRedefine/>
    <w:qFormat/>
    <w:uiPriority w:val="0"/>
    <w:pPr>
      <w:wordWrap w:val="0"/>
      <w:ind w:left="1275"/>
      <w:jc w:val="both"/>
    </w:pPr>
    <w:rPr>
      <w:rFonts w:ascii="Calibri" w:hAnsi="Calibri" w:eastAsia="宋体" w:cs="Times New Roman"/>
      <w:sz w:val="21"/>
      <w:lang w:val="en-US" w:eastAsia="zh-CN" w:bidi="ar-SA"/>
    </w:rPr>
  </w:style>
  <w:style w:type="paragraph" w:styleId="6">
    <w:name w:val="Balloon Text"/>
    <w:basedOn w:val="1"/>
    <w:link w:val="17"/>
    <w:autoRedefine/>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spacing w:beforeAutospacing="1" w:afterAutospacing="1"/>
      <w:jc w:val="left"/>
    </w:pPr>
    <w:rPr>
      <w:rFonts w:cs="Times New Roman"/>
      <w:kern w:val="0"/>
      <w:sz w:val="24"/>
    </w:rPr>
  </w:style>
  <w:style w:type="table" w:styleId="11">
    <w:name w:val="Table Grid"/>
    <w:basedOn w:val="1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字符"/>
    <w:basedOn w:val="12"/>
    <w:link w:val="8"/>
    <w:autoRedefine/>
    <w:qFormat/>
    <w:uiPriority w:val="0"/>
    <w:rPr>
      <w:rFonts w:asciiTheme="minorHAnsi" w:hAnsiTheme="minorHAnsi" w:eastAsiaTheme="minorEastAsia" w:cstheme="minorBidi"/>
      <w:kern w:val="2"/>
      <w:sz w:val="18"/>
      <w:szCs w:val="18"/>
    </w:rPr>
  </w:style>
  <w:style w:type="character" w:customStyle="1" w:styleId="14">
    <w:name w:val="font31"/>
    <w:basedOn w:val="12"/>
    <w:autoRedefine/>
    <w:qFormat/>
    <w:uiPriority w:val="0"/>
    <w:rPr>
      <w:rFonts w:hint="eastAsia" w:ascii="宋体" w:hAnsi="宋体" w:eastAsia="宋体" w:cs="宋体"/>
      <w:b/>
      <w:color w:val="000000"/>
      <w:sz w:val="18"/>
      <w:szCs w:val="18"/>
      <w:u w:val="none"/>
    </w:rPr>
  </w:style>
  <w:style w:type="character" w:customStyle="1" w:styleId="15">
    <w:name w:val="font11"/>
    <w:basedOn w:val="12"/>
    <w:autoRedefine/>
    <w:qFormat/>
    <w:uiPriority w:val="0"/>
    <w:rPr>
      <w:rFonts w:hint="eastAsia" w:ascii="宋体" w:hAnsi="宋体" w:eastAsia="宋体" w:cs="宋体"/>
      <w:color w:val="000000"/>
      <w:sz w:val="21"/>
      <w:szCs w:val="21"/>
      <w:u w:val="none"/>
    </w:rPr>
  </w:style>
  <w:style w:type="character" w:customStyle="1" w:styleId="16">
    <w:name w:val="批注文字 字符"/>
    <w:basedOn w:val="12"/>
    <w:link w:val="3"/>
    <w:autoRedefine/>
    <w:qFormat/>
    <w:uiPriority w:val="0"/>
    <w:rPr>
      <w:rFonts w:hint="default" w:ascii="Calibri" w:hAnsi="Calibri" w:eastAsia="宋体" w:cs="Times New Roman"/>
      <w:kern w:val="2"/>
      <w:sz w:val="21"/>
      <w:szCs w:val="24"/>
    </w:rPr>
  </w:style>
  <w:style w:type="character" w:customStyle="1" w:styleId="17">
    <w:name w:val="批注框文本 字符"/>
    <w:basedOn w:val="12"/>
    <w:link w:val="6"/>
    <w:autoRedefine/>
    <w:qFormat/>
    <w:uiPriority w:val="0"/>
    <w:rPr>
      <w:rFonts w:asciiTheme="minorHAnsi" w:hAnsiTheme="minorHAnsi" w:eastAsiaTheme="minorEastAsia" w:cstheme="minorBidi"/>
      <w:kern w:val="2"/>
      <w:sz w:val="18"/>
      <w:szCs w:val="18"/>
    </w:rPr>
  </w:style>
  <w:style w:type="character" w:customStyle="1" w:styleId="18">
    <w:name w:val="标题 3 字符"/>
    <w:basedOn w:val="12"/>
    <w:link w:val="2"/>
    <w:autoRedefine/>
    <w:qFormat/>
    <w:uiPriority w:val="0"/>
    <w:rPr>
      <w:rFonts w:hint="default" w:ascii="Calibri" w:hAnsi="Calibri" w:eastAsia="宋体" w:cs="Times New Roman"/>
      <w:b/>
      <w:kern w:val="2"/>
      <w:sz w:val="32"/>
      <w:szCs w:val="32"/>
    </w:rPr>
  </w:style>
  <w:style w:type="character" w:customStyle="1" w:styleId="19">
    <w:name w:val="font41"/>
    <w:basedOn w:val="12"/>
    <w:autoRedefine/>
    <w:qFormat/>
    <w:uiPriority w:val="0"/>
    <w:rPr>
      <w:rFonts w:hint="eastAsia" w:ascii="方正仿宋_GBK" w:hAnsi="方正仿宋_GBK" w:eastAsia="方正仿宋_GBK" w:cs="方正仿宋_GBK"/>
      <w:b/>
      <w:bCs/>
      <w:color w:val="000000"/>
      <w:sz w:val="20"/>
      <w:szCs w:val="20"/>
      <w:u w:val="none"/>
    </w:rPr>
  </w:style>
  <w:style w:type="character" w:customStyle="1" w:styleId="20">
    <w:name w:val="font51"/>
    <w:basedOn w:val="12"/>
    <w:autoRedefine/>
    <w:qFormat/>
    <w:uiPriority w:val="0"/>
    <w:rPr>
      <w:rFonts w:ascii="Symbol" w:hAnsi="Symbol" w:cs="Symbol"/>
      <w:color w:val="000000"/>
      <w:sz w:val="20"/>
      <w:szCs w:val="20"/>
      <w:u w:val="none"/>
    </w:rPr>
  </w:style>
  <w:style w:type="character" w:customStyle="1" w:styleId="21">
    <w:name w:val="font01"/>
    <w:basedOn w:val="12"/>
    <w:autoRedefine/>
    <w:qFormat/>
    <w:uiPriority w:val="0"/>
    <w:rPr>
      <w:rFonts w:hint="eastAsia" w:ascii="方正仿宋_GBK" w:hAnsi="方正仿宋_GBK" w:eastAsia="方正仿宋_GBK" w:cs="方正仿宋_GBK"/>
      <w:color w:val="000000"/>
      <w:sz w:val="20"/>
      <w:szCs w:val="20"/>
      <w:u w:val="none"/>
    </w:rPr>
  </w:style>
  <w:style w:type="paragraph" w:customStyle="1" w:styleId="22">
    <w:name w:val="列出段落1"/>
    <w:basedOn w:val="1"/>
    <w:autoRedefine/>
    <w:unhideWhenUsed/>
    <w:qFormat/>
    <w:uiPriority w:val="99"/>
    <w:pPr>
      <w:ind w:firstLine="420" w:firstLineChars="200"/>
    </w:pPr>
  </w:style>
  <w:style w:type="paragraph" w:customStyle="1" w:styleId="23">
    <w:name w:val="BodyText"/>
    <w:basedOn w:val="1"/>
    <w:autoRedefine/>
    <w:qFormat/>
    <w:uiPriority w:val="99"/>
    <w:pPr>
      <w:textAlignment w:val="baseline"/>
    </w:pPr>
    <w:rPr>
      <w:rFonts w:ascii="仿宋_GB2312" w:eastAsia="仿宋_GB2312"/>
      <w:sz w:val="32"/>
    </w:rPr>
  </w:style>
  <w:style w:type="character" w:customStyle="1" w:styleId="24">
    <w:name w:val="font21"/>
    <w:basedOn w:val="12"/>
    <w:autoRedefine/>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19402</Words>
  <Characters>20525</Characters>
  <Lines>115</Lines>
  <Paragraphs>32</Paragraphs>
  <TotalTime>4</TotalTime>
  <ScaleCrop>false</ScaleCrop>
  <LinksUpToDate>false</LinksUpToDate>
  <CharactersWithSpaces>21850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2022-08-19T05:09:00Z</dcterms:created>
  <dc:creator>Administrator</dc:creator>
  <cp:lastModifiedBy>五月的威士忌</cp:lastModifiedBy>
  <cp:lastPrinted>2023-01-04T06:18:00Z</cp:lastPrinted>
  <dcterms:modified xsi:type="dcterms:W3CDTF">2024-02-07T03:53:17Z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SaveFontToCloudKey">
    <vt:lpwstr>1146097076_btnclosed</vt:lpwstr>
  </property>
  <property fmtid="{D5CDD505-2E9C-101B-9397-08002B2CF9AE}" pid="4" name="ICV">
    <vt:lpwstr>EC6AE313FE2244898E0CEC6684EFEECA</vt:lpwstr>
  </property>
</Properties>
</file>