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重庆通邑智慧城市运营管理有限公司</w:t>
      </w:r>
    </w:p>
    <w:p>
      <w:pPr>
        <w:jc w:val="cente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
          <w:bCs/>
          <w:color w:val="000000" w:themeColor="text1"/>
          <w:sz w:val="44"/>
          <w:szCs w:val="44"/>
          <w:highlight w:val="none"/>
          <w:lang w:eastAsia="zh-CN"/>
          <w14:textFill>
            <w14:solidFill>
              <w14:schemeClr w14:val="tx1"/>
            </w14:solidFill>
          </w14:textFill>
        </w:rPr>
        <w:t>2024年度轨道10号线轨行区清掏冲洗、外墙清洗和沟渠池清掏服务</w:t>
      </w: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比选邀请函</w:t>
      </w:r>
    </w:p>
    <w:p>
      <w:pPr>
        <w:rPr>
          <w:rFonts w:hint="default" w:ascii="Times New Roman" w:hAnsi="Times New Roman" w:eastAsia="宋体" w:cs="Times New Roman"/>
          <w:color w:val="000000" w:themeColor="text1"/>
          <w:sz w:val="24"/>
          <w:highlight w:val="none"/>
          <w:u w:val="single"/>
          <w14:textFill>
            <w14:solidFill>
              <w14:schemeClr w14:val="tx1"/>
            </w14:solidFill>
          </w14:textFill>
        </w:rPr>
      </w:pPr>
      <w:bookmarkStart w:id="1" w:name="_GoBack"/>
      <w:bookmarkEnd w:id="1"/>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spacing w:line="360" w:lineRule="auto"/>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我司拟开展</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2024年度轨道10号线轨行区清掏冲洗、外墙清洗和沟渠池清掏服务比选</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工作，本次服务单位通过竞争性比选方式进行确定，具体项目情况如下：</w:t>
      </w:r>
    </w:p>
    <w:tbl>
      <w:tblPr>
        <w:tblStyle w:val="11"/>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项目名称</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2024年度轨道10号线轨行区清掏冲洗、外墙清洗和沟渠池清掏服务比选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项目预算</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不含税单价见附件1；</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不含税总价为</w:t>
            </w:r>
            <w:r>
              <w:rPr>
                <w:rFonts w:hint="eastAsia" w:ascii="Times New Roman" w:hAnsi="Times New Roman" w:eastAsia="方正仿宋_GBK" w:cs="Times New Roman"/>
                <w:b/>
                <w:bCs/>
                <w:color w:val="000000" w:themeColor="text1"/>
                <w:sz w:val="24"/>
                <w:highlight w:val="none"/>
                <w:u w:val="single"/>
                <w:lang w:val="en-US" w:eastAsia="zh-CN"/>
                <w14:textFill>
                  <w14:solidFill>
                    <w14:schemeClr w14:val="tx1"/>
                  </w14:solidFill>
                </w14:textFill>
              </w:rPr>
              <w:t>862182.55</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元（须出具增值税专用发票）。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服务期限</w:t>
            </w: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2024年</w:t>
            </w:r>
            <w:r>
              <w:rPr>
                <w:rFonts w:hint="eastAsia"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月1日起至2024年12月31日止；本项目采取1+1模式，2024年12月31日合同到期后，经评估合格另行签订补充协议，</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合同延续一年至2025年12月31日。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服务时间</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开始时间</w:t>
            </w:r>
            <w:r>
              <w:rPr>
                <w:rFonts w:hint="default" w:ascii="Times New Roman" w:hAnsi="Times New Roman" w:eastAsia="方正仿宋_GBK" w:cs="Times New Roman"/>
                <w:color w:val="000000" w:themeColor="text1"/>
                <w:sz w:val="24"/>
                <w:highlight w:val="none"/>
                <w14:textFill>
                  <w14:solidFill>
                    <w14:schemeClr w14:val="tx1"/>
                  </w14:solidFill>
                </w14:textFill>
              </w:rPr>
              <w:t>以</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sz w:val="24"/>
                <w:highlight w:val="none"/>
                <w14:textFill>
                  <w14:solidFill>
                    <w14:schemeClr w14:val="tx1"/>
                  </w14:solidFill>
                </w14:textFill>
              </w:rPr>
              <w:t>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0" w:hRule="atLeas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比选范围及内容</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1、比选范围：轨道10号线轨行区清掏冲洗、外墙清洗和沟渠池清掏服务比选。</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2、比选内容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轨行区清掏冲洗：10号线一期沿线区间隧道（上下行，含辅助线、出入段线）内道床、水沟、疏散平台、疏散平台以下的隧道壁的冲洗；隧道沿线排水沟、车场轨行区排水沟、线路沿线边/仰坡截水沟及排水沟、减振浮置板道床排水暗沟、泵房暗管等排水设施的清掏、疏通、清掏物和路基及高架区段的清扫、人工转运（转运距离平均约1公里）；边坡清洁卫生及杂草清理；区间隧道排水设施清掏物通过装袋后，需10t的渣车二次转运至符合规定的渣场处理；减振浮置板道床排水暗沟及泵房暗管疏通；区间</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泵房清掏</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含垃圾转运处置</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，清掏物的清扫、转运；区间二次转运及处置。</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2）外墙清洗：</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座车站（</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长河</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站）外墙清洗及屋顶排水沟</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清掏</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每季度清洗一次）；变电所外墙清洗及屋顶排水沟</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清掏</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大坝寺</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主变电所、长河牵引外挂所、长</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航</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牵引外挂所</w:t>
            </w:r>
            <w:r>
              <w:rPr>
                <w:rFonts w:hint="default" w:ascii="Times New Roman" w:hAnsi="Times New Roman" w:eastAsia="方正仿宋_GBK" w:cs="Times New Roman"/>
                <w:b w:val="0"/>
                <w:bCs w:val="0"/>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一年暂定一</w:t>
            </w:r>
            <w:r>
              <w:rPr>
                <w:rFonts w:hint="default" w:ascii="Times New Roman" w:hAnsi="Times New Roman" w:eastAsia="方正仿宋_GBK" w:cs="Times New Roman"/>
                <w:color w:val="000000" w:themeColor="text1"/>
                <w:sz w:val="24"/>
                <w:highlight w:val="none"/>
                <w14:textFill>
                  <w14:solidFill>
                    <w14:schemeClr w14:val="tx1"/>
                  </w14:solidFill>
                </w14:textFill>
              </w:rPr>
              <w:t>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4"/>
                <w:highlight w:val="none"/>
                <w14:textFill>
                  <w14:solidFill>
                    <w14:schemeClr w14:val="tx1"/>
                  </w14:solidFill>
                </w14:textFill>
              </w:rPr>
              <w:t>清掏：10号线19座车站鲤鱼池站至王家庄站（含重庆北站南广场站）所属车站、变电所包括但不限于：污水池、生化池清掏；未接入市政管网的生化池临时抽排；集水井清掏；废水池清掏。包含但不限于揭板、清掏、疏通、检查、维护及清掏物外运至符合规定的渣场处理、弃倒及盖板复原等；每月</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中选单位</w:t>
            </w:r>
            <w:r>
              <w:rPr>
                <w:rFonts w:hint="default" w:ascii="Times New Roman" w:hAnsi="Times New Roman" w:eastAsia="方正仿宋_GBK" w:cs="Times New Roman"/>
                <w:color w:val="000000" w:themeColor="text1"/>
                <w:sz w:val="24"/>
                <w:highlight w:val="none"/>
                <w14:textFill>
                  <w14:solidFill>
                    <w14:schemeClr w14:val="tx1"/>
                  </w14:solidFill>
                </w14:textFill>
              </w:rPr>
              <w:t>应对沿线车站、变电所生化池、污水池气体浓度检测一次，当月末前将数据报</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项目负责人</w:t>
            </w:r>
            <w:r>
              <w:rPr>
                <w:rFonts w:hint="default" w:ascii="Times New Roman" w:hAnsi="Times New Roman" w:eastAsia="方正仿宋_GBK" w:cs="Times New Roman"/>
                <w:color w:val="000000" w:themeColor="text1"/>
                <w:sz w:val="24"/>
                <w:highlight w:val="none"/>
                <w14:textFill>
                  <w14:solidFill>
                    <w14:schemeClr w14:val="tx1"/>
                  </w14:solidFill>
                </w14:textFill>
              </w:rPr>
              <w:t>；所有的人员、机具、车辆运输、二次转运、污水处理等均由</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中选单位</w:t>
            </w:r>
            <w:r>
              <w:rPr>
                <w:rFonts w:hint="default" w:ascii="Times New Roman" w:hAnsi="Times New Roman" w:eastAsia="方正仿宋_GBK" w:cs="Times New Roman"/>
                <w:color w:val="000000" w:themeColor="text1"/>
                <w:sz w:val="24"/>
                <w:highlight w:val="none"/>
                <w14:textFill>
                  <w14:solidFill>
                    <w14:schemeClr w14:val="tx1"/>
                  </w14:solidFill>
                </w14:textFill>
              </w:rPr>
              <w:t>自行组织予以实施，施工中必须做好防毒安全措施，人员下池必须检测有毒气体、易燃易爆气体浓度，在施工中应加强通风、防毒，防止人员中毒，按时、按量、按要求完成清掏、疏通、检查等工作。</w:t>
            </w:r>
          </w:p>
          <w:p>
            <w:pPr>
              <w:spacing w:line="440" w:lineRule="exact"/>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3、作业量详见附件1。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9" w:hRule="atLeas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比选被邀请人</w:t>
            </w:r>
          </w:p>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资格要求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1、基本资格条件</w:t>
            </w:r>
          </w:p>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持有合法有效营业执照，具有履行合同所必需设备和专业能力</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2、具备良好的商业信誉，参加本次招标前三年内，在经营活动中没有重大违法行为，需</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提供信用中国www.creditchina.gov.cn查询信用信息截图（失信被执行人、异常经营名录、税收违法黑名单查询截图各1张）。</w:t>
            </w:r>
          </w:p>
          <w:p>
            <w:pPr>
              <w:spacing w:line="440" w:lineRule="exact"/>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1）具备行业服务协会认定的保洁服务企业一级资质。</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2）具备重庆市城市管理局颁发的《城市生活垃圾经营性清扫收集运输处置服务许可证》。</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14:textFill>
                  <w14:solidFill>
                    <w14:schemeClr w14:val="tx1"/>
                  </w14:solidFill>
                </w14:textFill>
              </w:rPr>
              <w:t>具备行业协会或机构颁发的《城市粪便污水处理经营服务资质认定》三级及以上证书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cs="Times New Roman"/>
                <w:color w:val="000000" w:themeColor="text1"/>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14:textFill>
                  <w14:solidFill>
                    <w14:schemeClr w14:val="tx1"/>
                  </w14:solidFill>
                </w14:textFill>
              </w:rPr>
              <w:t>具备行业协会或机构颁发的</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高空服务业企业安全资质</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高空清洗悬吊作业企业安全生产证书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高空外墙清洗服务企业资质</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高空外墙清洁资质等级证书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比选文件领取和递交时间、地点及比选文件份数</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 xml:space="preserve">1、领取文件时间：见官网。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2、递交文件时间：</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2024</w:t>
            </w:r>
            <w:r>
              <w:rPr>
                <w:rFonts w:hint="default" w:ascii="Times New Roman" w:hAnsi="Times New Roman" w:eastAsia="仿宋" w:cs="Times New Roman"/>
                <w:color w:val="000000" w:themeColor="text1"/>
                <w:sz w:val="24"/>
                <w:highlight w:val="none"/>
                <w14:textFill>
                  <w14:solidFill>
                    <w14:schemeClr w14:val="tx1"/>
                  </w14:solidFill>
                </w14:textFill>
              </w:rPr>
              <w:t>年   月   日    时   分</w:t>
            </w:r>
            <w:r>
              <w:rPr>
                <w:rFonts w:hint="default" w:ascii="Times New Roman" w:hAnsi="Times New Roman" w:eastAsia="方正仿宋_GBK" w:cs="Times New Roman"/>
                <w:color w:val="000000" w:themeColor="text1"/>
                <w:sz w:val="24"/>
                <w:highlight w:val="none"/>
                <w14:textFill>
                  <w14:solidFill>
                    <w14:schemeClr w14:val="tx1"/>
                  </w14:solidFill>
                </w14:textFill>
              </w:rPr>
              <w:t xml:space="preserve">截止。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3、递交文件地点：重庆市南岸区涂山镇腾龙大道58号重庆通邑智慧城市运营管理有限公司。</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4、比选时间：</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2024</w:t>
            </w:r>
            <w:r>
              <w:rPr>
                <w:rFonts w:hint="default" w:ascii="Times New Roman" w:hAnsi="Times New Roman" w:eastAsia="仿宋" w:cs="Times New Roman"/>
                <w:color w:val="000000" w:themeColor="text1"/>
                <w:sz w:val="24"/>
                <w:highlight w:val="none"/>
                <w14:textFill>
                  <w14:solidFill>
                    <w14:schemeClr w14:val="tx1"/>
                  </w14:solidFill>
                </w14:textFill>
              </w:rPr>
              <w:t>年  月  日  时  分</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3"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比选保证金</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u w:val="single"/>
                <w:lang w:eastAsia="zh-CN"/>
                <w14:textFill>
                  <w14:solidFill>
                    <w14:schemeClr w14:val="tx1"/>
                  </w14:solidFill>
                </w14:textFill>
              </w:rPr>
              <w:t>0000</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元（大写：人民币</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伍万元</w:t>
            </w:r>
            <w:r>
              <w:rPr>
                <w:rFonts w:hint="default" w:ascii="Times New Roman" w:hAnsi="Times New Roman" w:eastAsia="方正仿宋_GBK" w:cs="Times New Roman"/>
                <w:color w:val="000000" w:themeColor="text1"/>
                <w:sz w:val="24"/>
                <w:highlight w:val="none"/>
                <w14:textFill>
                  <w14:solidFill>
                    <w14:schemeClr w14:val="tx1"/>
                  </w14:solidFill>
                </w14:textFill>
              </w:rPr>
              <w:t>整）。</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2、比选人于</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2024</w:t>
            </w:r>
            <w:r>
              <w:rPr>
                <w:rFonts w:hint="default" w:ascii="Times New Roman" w:hAnsi="Times New Roman" w:eastAsia="方正仿宋_GBK" w:cs="Times New Roman"/>
                <w:color w:val="000000" w:themeColor="text1"/>
                <w:sz w:val="24"/>
                <w:highlight w:val="none"/>
                <w14:textFill>
                  <w14:solidFill>
                    <w14:schemeClr w14:val="tx1"/>
                  </w14:solidFill>
                </w14:textFill>
              </w:rPr>
              <w:t>年</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月</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日</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时</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分前缴纳比选保证金，汇款时备注</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4"/>
                <w:highlight w:val="none"/>
                <w14:textFill>
                  <w14:solidFill>
                    <w14:schemeClr w14:val="tx1"/>
                  </w14:solidFill>
                </w14:textFill>
              </w:rPr>
              <w:t>号线</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轨行区清掏冲洗等比选保证金</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约定期限内未缴纳的取消比选资格。</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3、未中选单位所缴比选保证金于中选通知书发放后</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10</w:t>
            </w:r>
            <w:r>
              <w:rPr>
                <w:rFonts w:hint="default" w:ascii="Times New Roman" w:hAnsi="Times New Roman" w:eastAsia="方正仿宋_GBK" w:cs="Times New Roman"/>
                <w:color w:val="000000" w:themeColor="text1"/>
                <w:sz w:val="24"/>
                <w:highlight w:val="none"/>
                <w14:textFill>
                  <w14:solidFill>
                    <w14:schemeClr w14:val="tx1"/>
                  </w14:solidFill>
                </w14:textFill>
              </w:rPr>
              <w:t>个工作日内无息退还，中选单位比选保证金直接转为履约保证金。</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履约保证金</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u w:val="single"/>
                <w:lang w:eastAsia="zh-CN"/>
                <w14:textFill>
                  <w14:solidFill>
                    <w14:schemeClr w14:val="tx1"/>
                  </w14:solidFill>
                </w14:textFill>
              </w:rPr>
              <w:t>0000</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元（大写：人民币</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伍万元</w:t>
            </w:r>
            <w:r>
              <w:rPr>
                <w:rFonts w:hint="default" w:ascii="Times New Roman" w:hAnsi="Times New Roman" w:eastAsia="方正仿宋_GBK" w:cs="Times New Roman"/>
                <w:color w:val="000000" w:themeColor="text1"/>
                <w:sz w:val="24"/>
                <w:highlight w:val="none"/>
                <w14:textFill>
                  <w14:solidFill>
                    <w14:schemeClr w14:val="tx1"/>
                  </w14:solidFill>
                </w14:textFill>
              </w:rPr>
              <w:t>整）</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保证金缴纳账户</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民生银行南坪支行 </w:t>
            </w:r>
          </w:p>
          <w:p>
            <w:pPr>
              <w:spacing w:line="440" w:lineRule="exact"/>
              <w:rPr>
                <w:rFonts w:hint="default" w:ascii="Times New Roman" w:hAnsi="Times New Roman" w:eastAsia="方正仿宋_GBK" w:cs="Times New Roman"/>
                <w:color w:val="000000" w:themeColor="text1"/>
                <w:sz w:val="24"/>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户    名：</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重庆通邑智慧城市运营管理有限公司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exact"/>
        </w:trPr>
        <w:tc>
          <w:tcPr>
            <w:tcW w:w="2229" w:type="dxa"/>
            <w:vMerge w:val="restart"/>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限价及</w:t>
            </w:r>
          </w:p>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报价要求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限价：</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不含税单价最高限价详见附件1</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不含税</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总价</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最高限价：</w:t>
            </w:r>
            <w:r>
              <w:rPr>
                <w:rFonts w:hint="eastAsia" w:ascii="Times New Roman" w:hAnsi="Times New Roman" w:eastAsia="方正仿宋_GBK" w:cs="Times New Roman"/>
                <w:b/>
                <w:bCs/>
                <w:color w:val="000000" w:themeColor="text1"/>
                <w:sz w:val="21"/>
                <w:szCs w:val="21"/>
                <w:highlight w:val="none"/>
                <w:u w:val="single"/>
                <w:lang w:val="en-US" w:eastAsia="zh-CN"/>
                <w14:textFill>
                  <w14:solidFill>
                    <w14:schemeClr w14:val="tx1"/>
                  </w14:solidFill>
                </w14:textFill>
              </w:rPr>
              <w:t>862182.55</w:t>
            </w:r>
            <w:r>
              <w:rPr>
                <w:rFonts w:hint="default" w:ascii="Times New Roman" w:hAnsi="Times New Roman" w:eastAsia="方正仿宋_GBK" w:cs="Times New Roman"/>
                <w:b/>
                <w:bCs/>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元</w:t>
            </w:r>
            <w:r>
              <w:rPr>
                <w:rFonts w:hint="default" w:ascii="Times New Roman" w:hAnsi="Times New Roman" w:eastAsia="方正仿宋_GBK" w:cs="Times New Roman"/>
                <w:color w:val="000000" w:themeColor="text1"/>
                <w:sz w:val="24"/>
                <w:highlight w:val="none"/>
                <w14:textFill>
                  <w14:solidFill>
                    <w14:schemeClr w14:val="tx1"/>
                  </w14:solidFill>
                </w14:textFill>
              </w:rPr>
              <w:t>。本次比选为一次性最终报价，不再议价。请报价人根据自身情况自主报价，报价超过任一限价的作否决比选处理。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0" w:hRule="exact"/>
        </w:trPr>
        <w:tc>
          <w:tcPr>
            <w:tcW w:w="2229" w:type="dxa"/>
            <w:vMerge w:val="continue"/>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报价要求：</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本</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项目采用</w:t>
            </w:r>
            <w:r>
              <w:rPr>
                <w:rFonts w:hint="default" w:ascii="Times New Roman" w:hAnsi="Times New Roman" w:eastAsia="方正仿宋_GBK" w:cs="Times New Roman"/>
                <w:b/>
                <w:bCs/>
                <w:color w:val="000000" w:themeColor="text1"/>
                <w:sz w:val="24"/>
                <w:highlight w:val="none"/>
                <w14:textFill>
                  <w14:solidFill>
                    <w14:schemeClr w14:val="tx1"/>
                  </w14:solidFill>
                </w14:textFill>
              </w:rPr>
              <w:t>综合包干价</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w:t>
            </w:r>
          </w:p>
          <w:p>
            <w:pPr>
              <w:spacing w:line="440" w:lineRule="exact"/>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2、综合包干价</w:t>
            </w:r>
            <w:r>
              <w:rPr>
                <w:rFonts w:hint="default" w:ascii="Times New Roman" w:hAnsi="Times New Roman" w:eastAsia="方正仿宋_GBK" w:cs="Times New Roman"/>
                <w:b/>
                <w:bCs/>
                <w:color w:val="000000" w:themeColor="text1"/>
                <w:sz w:val="24"/>
                <w:highlight w:val="none"/>
                <w14:textFill>
                  <w14:solidFill>
                    <w14:schemeClr w14:val="tx1"/>
                  </w14:solidFill>
                </w14:textFill>
              </w:rPr>
              <w:t>包含但不限于</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人工费、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社会保险及商业保险费、</w:t>
            </w:r>
            <w:r>
              <w:rPr>
                <w:rFonts w:hint="default" w:ascii="Times New Roman" w:hAnsi="Times New Roman" w:eastAsia="方正仿宋_GBK" w:cs="Times New Roman"/>
                <w:color w:val="000000" w:themeColor="text1"/>
                <w:sz w:val="24"/>
                <w:highlight w:val="none"/>
                <w14:textFill>
                  <w14:solidFill>
                    <w14:schemeClr w14:val="tx1"/>
                  </w14:solidFill>
                </w14:textFill>
              </w:rPr>
              <w:t>材料费、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设备</w:t>
            </w:r>
            <w:r>
              <w:rPr>
                <w:rFonts w:hint="default" w:ascii="Times New Roman" w:hAnsi="Times New Roman" w:eastAsia="方正仿宋_GBK" w:cs="Times New Roman"/>
                <w:color w:val="000000" w:themeColor="text1"/>
                <w:sz w:val="24"/>
                <w:highlight w:val="none"/>
                <w14:textFill>
                  <w14:solidFill>
                    <w14:schemeClr w14:val="tx1"/>
                  </w14:solidFill>
                </w14:textFill>
              </w:rPr>
              <w:t>费、企业管理费、利润、风险费用、检测费、措施费、安全文明作业费、应急作业补偿费、水电费、材料涨价、垃圾清运费</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弃渣费、税</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费</w:t>
            </w:r>
            <w:r>
              <w:rPr>
                <w:rFonts w:hint="default" w:ascii="Times New Roman" w:hAnsi="Times New Roman" w:eastAsia="方正仿宋_GBK" w:cs="Times New Roman"/>
                <w:color w:val="000000" w:themeColor="text1"/>
                <w:sz w:val="24"/>
                <w:highlight w:val="none"/>
                <w14:textFill>
                  <w14:solidFill>
                    <w14:schemeClr w14:val="tx1"/>
                  </w14:solidFill>
                </w14:textFill>
              </w:rPr>
              <w:t>、不可预计未列出的风险等所有费用</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除此费用外，比选邀请人无须再向比选被邀请人或任何第三方支付其他任何款项或费用。</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3、比选邀请人不组织现场踏勘，比选被邀请人可自行到项目进行现场踏勘。</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4、比选被邀请人须充分考虑人工费用、税率变化、</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其他</w:t>
            </w:r>
            <w:r>
              <w:rPr>
                <w:rFonts w:hint="default" w:ascii="Times New Roman" w:hAnsi="Times New Roman" w:eastAsia="方正仿宋_GBK" w:cs="Times New Roman"/>
                <w:color w:val="000000" w:themeColor="text1"/>
                <w:sz w:val="24"/>
                <w:highlight w:val="none"/>
                <w14:textFill>
                  <w14:solidFill>
                    <w14:schemeClr w14:val="tx1"/>
                  </w14:solidFill>
                </w14:textFill>
              </w:rPr>
              <w:t>物料的变化等不利因素，合同期内不含税价及含税价均不因税率变化做调增。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费用支付方式</w:t>
            </w:r>
          </w:p>
        </w:tc>
        <w:tc>
          <w:tcPr>
            <w:tcW w:w="7202" w:type="dxa"/>
            <w:vAlign w:val="center"/>
          </w:tcPr>
          <w:p>
            <w:pPr>
              <w:pStyle w:val="4"/>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1、按季考核，按季支付。</w:t>
            </w: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季度付款金额=（各项服务不含税单价×季度实际作业量×季度实际作业频次）*（1+税率）-季度考核费用。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2、比选邀请人在每月5日前完成上月服务质量考核，并与中选单位及时核对《供方服务月度评估报告</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实际作业量</w:t>
            </w:r>
            <w:r>
              <w:rPr>
                <w:rFonts w:hint="eastAsia" w:ascii="Times New Roman" w:hAnsi="Times New Roman" w:eastAsia="方正仿宋_GBK" w:cs="Times New Roman"/>
                <w:color w:val="000000" w:themeColor="text1"/>
                <w:sz w:val="24"/>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服务质量考核表</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等相关结算资料并签字确认。中选单位向比选邀请人开具等额增值税专用发票，在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其他需告知被邀请人的要求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1、本项目不允许联合投标。</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4" w:hRule="exact"/>
        </w:trPr>
        <w:tc>
          <w:tcPr>
            <w:tcW w:w="9431" w:type="dxa"/>
            <w:gridSpan w:val="2"/>
            <w:vAlign w:val="center"/>
          </w:tcPr>
          <w:p>
            <w:pPr>
              <w:numPr>
                <w:ilvl w:val="0"/>
                <w:numId w:val="2"/>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此次比选采用综合评估法，</w:t>
            </w:r>
            <w:r>
              <w:rPr>
                <w:rFonts w:hint="default" w:ascii="Times New Roman" w:hAnsi="Times New Roman" w:eastAsia="方正仿宋_GBK" w:cs="Times New Roman"/>
                <w:b/>
                <w:bCs/>
                <w:color w:val="000000" w:themeColor="text1"/>
                <w:sz w:val="24"/>
                <w:highlight w:val="none"/>
                <w14:textFill>
                  <w14:solidFill>
                    <w14:schemeClr w14:val="tx1"/>
                  </w14:solidFill>
                </w14:textFill>
              </w:rPr>
              <w:t>报价部分（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40</w:t>
            </w:r>
            <w:r>
              <w:rPr>
                <w:rFonts w:hint="default" w:ascii="Times New Roman" w:hAnsi="Times New Roman" w:eastAsia="方正仿宋_GBK" w:cs="Times New Roman"/>
                <w:b/>
                <w:bCs/>
                <w:color w:val="000000" w:themeColor="text1"/>
                <w:sz w:val="24"/>
                <w:highlight w:val="none"/>
                <w14:textFill>
                  <w14:solidFill>
                    <w14:schemeClr w14:val="tx1"/>
                  </w14:solidFill>
                </w14:textFill>
              </w:rPr>
              <w:t>分）+商务部分（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30</w:t>
            </w:r>
            <w:r>
              <w:rPr>
                <w:rFonts w:hint="default" w:ascii="Times New Roman" w:hAnsi="Times New Roman" w:eastAsia="方正仿宋_GBK" w:cs="Times New Roman"/>
                <w:b/>
                <w:bCs/>
                <w:color w:val="000000" w:themeColor="text1"/>
                <w:sz w:val="24"/>
                <w:highlight w:val="none"/>
                <w14:textFill>
                  <w14:solidFill>
                    <w14:schemeClr w14:val="tx1"/>
                  </w14:solidFill>
                </w14:textFill>
              </w:rPr>
              <w:t>分）+技术部分（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z w:val="24"/>
                <w:highlight w:val="none"/>
                <w14:textFill>
                  <w14:solidFill>
                    <w14:schemeClr w14:val="tx1"/>
                  </w14:solidFill>
                </w14:textFill>
              </w:rPr>
              <w:t>0分）=最终得分</w:t>
            </w:r>
            <w:r>
              <w:rPr>
                <w:rFonts w:hint="default" w:ascii="Times New Roman" w:hAnsi="Times New Roman" w:eastAsia="方正仿宋_GBK" w:cs="Times New Roman"/>
                <w:color w:val="000000" w:themeColor="text1"/>
                <w:sz w:val="24"/>
                <w:highlight w:val="none"/>
                <w14:textFill>
                  <w14:solidFill>
                    <w14:schemeClr w14:val="tx1"/>
                  </w14:solidFill>
                </w14:textFill>
              </w:rPr>
              <w:t>，技术部分以评审小组成员平均分作为此部分的比选分数，推荐得分最高的单位作为第一候选单位，对未中选情况不</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作解释</w:t>
            </w:r>
            <w:r>
              <w:rPr>
                <w:rFonts w:hint="default" w:ascii="Times New Roman" w:hAnsi="Times New Roman" w:eastAsia="方正仿宋_GBK" w:cs="Times New Roman"/>
                <w:color w:val="000000" w:themeColor="text1"/>
                <w:sz w:val="24"/>
                <w:highlight w:val="none"/>
                <w14:textFill>
                  <w14:solidFill>
                    <w14:schemeClr w14:val="tx1"/>
                  </w14:solidFill>
                </w14:textFill>
              </w:rPr>
              <w:t>。若出现两家及以上单位比选得分相同情况，推荐不含税报价最低的单位作为第一候选单位；如报价相同则须进行二次报价直至出现价差为止。</w:t>
            </w:r>
          </w:p>
          <w:p>
            <w:pPr>
              <w:numPr>
                <w:ilvl w:val="0"/>
                <w:numId w:val="2"/>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比选各方人员在公司监督人员的见证下当众开启密封文件，查验响应性文件。</w:t>
            </w:r>
          </w:p>
          <w:p>
            <w:pPr>
              <w:numPr>
                <w:ilvl w:val="0"/>
                <w:numId w:val="3"/>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查验商务文件是否符合比选邀请函要求，若未能完全响应资格要求，视为无效文件。</w:t>
            </w:r>
          </w:p>
          <w:p>
            <w:pPr>
              <w:numPr>
                <w:ilvl w:val="0"/>
                <w:numId w:val="3"/>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查验经济文件并</w:t>
            </w:r>
            <w:r>
              <w:rPr>
                <w:rFonts w:hint="default" w:ascii="Times New Roman" w:hAnsi="Times New Roman" w:eastAsia="方正仿宋_GBK" w:cs="Times New Roman"/>
                <w:color w:val="000000" w:themeColor="text1"/>
                <w:sz w:val="24"/>
                <w:highlight w:val="none"/>
                <w14:textFill>
                  <w14:solidFill>
                    <w14:schemeClr w14:val="tx1"/>
                  </w14:solidFill>
                </w14:textFill>
              </w:rPr>
              <w:t>宣读报价</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若未能完全响应比选函，视为无效文件。</w:t>
            </w:r>
          </w:p>
          <w:p>
            <w:pPr>
              <w:numPr>
                <w:ilvl w:val="0"/>
                <w:numId w:val="0"/>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委托代理人签字确认报价</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（4）响应文件符合的比选单位委托代理人现场讲解技术文件（10分钟内），讲解后由评审小组就技术文件相关内容提问，并由比选邀请人现场解答（10分钟内）。</w:t>
            </w:r>
          </w:p>
          <w:p>
            <w:pPr>
              <w:numPr>
                <w:ilvl w:val="0"/>
                <w:numId w:val="0"/>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14:textFill>
                  <w14:solidFill>
                    <w14:schemeClr w14:val="tx1"/>
                  </w14:solidFill>
                </w14:textFill>
              </w:rPr>
              <w:t>评审小组对响应文件进行详细比选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打分</w:t>
            </w:r>
            <w:r>
              <w:rPr>
                <w:rFonts w:hint="default" w:ascii="Times New Roman" w:hAnsi="Times New Roman" w:eastAsia="方正仿宋_GBK" w:cs="Times New Roman"/>
                <w:color w:val="000000" w:themeColor="text1"/>
                <w:sz w:val="24"/>
                <w:highlight w:val="none"/>
                <w14:textFill>
                  <w14:solidFill>
                    <w14:schemeClr w14:val="tx1"/>
                  </w14:solidFill>
                </w14:textFill>
              </w:rPr>
              <w:t>并进行记录</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依次</w:t>
            </w:r>
            <w:r>
              <w:rPr>
                <w:rFonts w:hint="default" w:ascii="Times New Roman" w:hAnsi="Times New Roman" w:eastAsia="方正仿宋_GBK" w:cs="Times New Roman"/>
                <w:color w:val="000000" w:themeColor="text1"/>
                <w:sz w:val="24"/>
                <w:highlight w:val="none"/>
                <w14:textFill>
                  <w14:solidFill>
                    <w14:schemeClr w14:val="tx1"/>
                  </w14:solidFill>
                </w14:textFill>
              </w:rPr>
              <w:t>得出</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比选</w:t>
            </w:r>
            <w:r>
              <w:rPr>
                <w:rFonts w:hint="default" w:ascii="Times New Roman" w:hAnsi="Times New Roman" w:eastAsia="方正仿宋_GBK" w:cs="Times New Roman"/>
                <w:color w:val="000000" w:themeColor="text1"/>
                <w:sz w:val="24"/>
                <w:highlight w:val="none"/>
                <w14:textFill>
                  <w14:solidFill>
                    <w14:schemeClr w14:val="tx1"/>
                  </w14:solidFill>
                </w14:textFill>
              </w:rPr>
              <w:t>单位最终得分。</w:t>
            </w:r>
          </w:p>
          <w:p>
            <w:pPr>
              <w:spacing w:line="440" w:lineRule="exac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、综合评估标准详见附件2。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四、比选文件组成及要求</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3" w:hRule="exact"/>
        </w:trPr>
        <w:tc>
          <w:tcPr>
            <w:tcW w:w="9431" w:type="dxa"/>
            <w:gridSpan w:val="2"/>
            <w:vAlign w:val="center"/>
          </w:tcPr>
          <w:p>
            <w:pPr>
              <w:numPr>
                <w:ilvl w:val="0"/>
                <w:numId w:val="4"/>
              </w:numPr>
              <w:spacing w:line="440" w:lineRule="exac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比选文件包括但不限于以下内容：</w:t>
            </w:r>
          </w:p>
          <w:p>
            <w:pPr>
              <w:numPr>
                <w:ilvl w:val="0"/>
                <w:numId w:val="5"/>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商务文件：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营业执照</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失信被执行人查询截图、异常经营名录查询截图、税收违法黑名单查询截图</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资质证书、法定代表人资格证明书、</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法定代表人授权委托书</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投标保证金缴纳凭据</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业绩证明材料、体系认证材料、机具配置、人员配置等。</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（2）经济文件：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比选函</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（3）技术文件：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整体服务方案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分项服务方案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管理制度及人员培训方案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安全保障</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应急预案</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等文件以及</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根据比选项目情况认为需要添加的其他资料</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2、要求提供的资料均需加盖鲜章，所有资料密封并在密封袋上写明单位名称、项目名称、日期并加盖公章。</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、比选文件</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装订份数及装订要求</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纸质文件一共2份，</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正本1份，副本1份</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正本、副本各自装入1个文件袋，一共2个文件袋，文件袋需密封完好。</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盖章版扫描件1份（以U盘形式装入</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正本</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联系人：黄平                         电话：181 1791 6353</w:t>
            </w:r>
          </w:p>
        </w:tc>
      </w:tr>
    </w:tbl>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footerReference r:id="rId3" w:type="default"/>
          <w:pgSz w:w="11906" w:h="16838"/>
          <w:pgMar w:top="1587" w:right="1587" w:bottom="1587" w:left="1587" w:header="851" w:footer="992" w:gutter="0"/>
          <w:pgNumType w:fmt="decimal"/>
          <w:cols w:space="0" w:num="1"/>
          <w:docGrid w:type="lines" w:linePitch="312" w:charSpace="0"/>
        </w:sectPr>
      </w:pPr>
    </w:p>
    <w:p>
      <w:pPr>
        <w:pStyle w:val="2"/>
        <w:wordWrap/>
        <w:spacing w:before="0" w:after="0" w:line="240" w:lineRule="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附件1</w:t>
      </w:r>
    </w:p>
    <w:p>
      <w:pPr>
        <w:pStyle w:val="2"/>
        <w:wordWrap/>
        <w:spacing w:before="0" w:after="0" w:line="240" w:lineRule="auto"/>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轨道10号线轨行区清掏冲洗、外墙清洗、沟渠池清掏服务最高限价表</w:t>
      </w:r>
    </w:p>
    <w:tbl>
      <w:tblPr>
        <w:tblStyle w:val="10"/>
        <w:tblW w:w="141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93"/>
        <w:gridCol w:w="1605"/>
        <w:gridCol w:w="1710"/>
        <w:gridCol w:w="2490"/>
        <w:gridCol w:w="1365"/>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6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 xml:space="preserve">计量单位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不含税单价最高限价（元）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作业频次</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车站、隧道排水沟清掏 （含轨行区地面垃圾清扫）</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133438.00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0.4807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192430.94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轨行区垃圾清运</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车（10t</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482.3838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48238.38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548800.00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0.2530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277692.80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高架、路基段轨行区清扫</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65535.00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0.4217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55272.22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边坡清洁卫生及杂草清除</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0.4217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15430.00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1.8553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85881.84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1103.70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1.8553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2047.69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生化池、污水井处理池、隔油池清掏</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1140.40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25.2999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86556.02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生化池、污水井抽排</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80.1162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134</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85564.10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区间隧道集水井、废水池清掏</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328.06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7.0755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6963.57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车站隧道集水井、废水池清掏</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2686.00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7.0755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19004.79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暂定不含税总价（元）</w:t>
            </w:r>
          </w:p>
        </w:tc>
        <w:tc>
          <w:tcPr>
            <w:tcW w:w="96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lang w:val="en-US"/>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862182.55</w:t>
            </w:r>
          </w:p>
        </w:tc>
      </w:tr>
    </w:tbl>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32"/>
          <w:highlight w:val="none"/>
          <w14:textFill>
            <w14:solidFill>
              <w14:schemeClr w14:val="tx1"/>
            </w14:solidFill>
          </w14:textFill>
        </w:rPr>
        <w:t>备注：</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表格</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中</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作业量</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和作业频次</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均为预估，</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作业量</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和作业频次</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以现场实际</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需求</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为准。</w:t>
      </w:r>
    </w:p>
    <w:p>
      <w:pPr>
        <w:pStyle w:val="4"/>
        <w:rPr>
          <w:rFonts w:hint="default" w:ascii="Times New Roman" w:hAnsi="Times New Roman" w:cs="Times New Roman"/>
          <w:color w:val="000000" w:themeColor="text1"/>
          <w:highlight w:val="none"/>
          <w14:textFill>
            <w14:solidFill>
              <w14:schemeClr w14:val="tx1"/>
            </w14:solidFill>
          </w14:textFill>
        </w:rPr>
        <w:sectPr>
          <w:headerReference r:id="rId4" w:type="default"/>
          <w:footerReference r:id="rId5" w:type="default"/>
          <w:pgSz w:w="16840" w:h="11900" w:orient="landscape"/>
          <w:pgMar w:top="940" w:right="1340" w:bottom="940" w:left="1340" w:header="920" w:footer="0" w:gutter="0"/>
          <w:pgNumType w:fmt="decimal"/>
          <w:cols w:space="720" w:num="1"/>
          <w:docGrid w:type="lines" w:linePitch="0" w:charSpace="0"/>
        </w:sectPr>
      </w:pPr>
    </w:p>
    <w:p>
      <w:pPr>
        <w:rPr>
          <w:rFonts w:hint="default" w:ascii="Times New Roman" w:hAnsi="Times New Roman" w:cs="Times New Roman"/>
          <w:color w:val="000000" w:themeColor="text1"/>
          <w:sz w:val="2"/>
          <w:szCs w:val="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附件2：综合评估标准</w:t>
      </w:r>
    </w:p>
    <w:p>
      <w:pPr>
        <w:rPr>
          <w:rFonts w:hint="default" w:ascii="Times New Roman" w:hAnsi="Times New Roman" w:cs="Times New Roman"/>
          <w:color w:val="000000" w:themeColor="text1"/>
          <w:highlight w:val="none"/>
          <w14:textFill>
            <w14:solidFill>
              <w14:schemeClr w14:val="tx1"/>
            </w14:solidFill>
          </w14:textFill>
        </w:rPr>
      </w:pPr>
    </w:p>
    <w:tbl>
      <w:tblPr>
        <w:tblStyle w:val="10"/>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类别</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评分因素</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分值</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评分标准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说明</w:t>
            </w:r>
          </w:p>
        </w:tc>
      </w:tr>
      <w:tr>
        <w:tblPrEx>
          <w:tblCellMar>
            <w:top w:w="0" w:type="dxa"/>
            <w:left w:w="108" w:type="dxa"/>
            <w:bottom w:w="0" w:type="dxa"/>
            <w:right w:w="108" w:type="dxa"/>
          </w:tblCellMar>
        </w:tblPrEx>
        <w:trPr>
          <w:trHeight w:val="396"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报价</w:t>
            </w: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部分</w:t>
            </w: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投标报价</w:t>
            </w:r>
          </w:p>
        </w:tc>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p>
        </w:tc>
        <w:tc>
          <w:tcPr>
            <w:tcW w:w="836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所有有效报价总价的平均值作为此次评标基准价。投标报价与评标基准价相比，相等的得</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分；报价每高于评标基准价1%扣1分，每低于评标基准价1 %扣0.5分，扣完为止</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不足1%的按1%计算</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p>
        </w:tc>
        <w:tc>
          <w:tcPr>
            <w:tcW w:w="3207" w:type="dxa"/>
            <w:vMerge w:val="restart"/>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如报价人报价超过限价的则该单位作否决比选处理</w:t>
            </w:r>
          </w:p>
        </w:tc>
      </w:tr>
      <w:tr>
        <w:tblPrEx>
          <w:tblCellMar>
            <w:top w:w="0" w:type="dxa"/>
            <w:left w:w="108" w:type="dxa"/>
            <w:bottom w:w="0" w:type="dxa"/>
            <w:right w:w="108" w:type="dxa"/>
          </w:tblCellMar>
        </w:tblPrEx>
        <w:trPr>
          <w:trHeight w:val="396"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836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3207" w:type="dxa"/>
            <w:vMerge w:val="continue"/>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721" w:hRule="atLeast"/>
        </w:trPr>
        <w:tc>
          <w:tcPr>
            <w:tcW w:w="1106" w:type="dxa"/>
            <w:vMerge w:val="restart"/>
            <w:tcBorders>
              <w:top w:val="single" w:color="000000" w:sz="4" w:space="0"/>
              <w:left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商务</w:t>
            </w:r>
          </w:p>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部分</w:t>
            </w:r>
          </w:p>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业绩</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10</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2"/>
              <w:keepNext/>
              <w:keepLines/>
              <w:pageBreakBefore w:val="0"/>
              <w:widowControl w:val="0"/>
              <w:kinsoku/>
              <w:wordWrap/>
              <w:overflowPunct/>
              <w:topLinePunct w:val="0"/>
              <w:autoSpaceDE/>
              <w:autoSpaceDN/>
              <w:bidi w:val="0"/>
              <w:adjustRightInd/>
              <w:snapToGrid/>
              <w:spacing w:before="0" w:after="0" w:line="340" w:lineRule="exact"/>
              <w:textAlignment w:val="auto"/>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1、提供2020年至今，包含外墙清洗服务的合同金额达30万，提供一个得2分，最高得5分，未提供得0分；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40" w:lineRule="exact"/>
              <w:textAlignment w:val="auto"/>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2、提供2020年至今，包含生化池清掏服务的合同金额达30万，提供一个得2分，最高得5分，未提供得0分；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40" w:lineRule="exact"/>
              <w:textAlignment w:val="auto"/>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两类业绩累计最高得10分。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提供业绩合同复印件加盖公章，原件备查</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同一项目不同时间的合同不重复计算得分）                     2、同一合同包含上述内容的，仅按照一项内容计算得分，不重复计算</w:t>
            </w:r>
          </w:p>
        </w:tc>
      </w:tr>
      <w:tr>
        <w:tblPrEx>
          <w:tblCellMar>
            <w:top w:w="0" w:type="dxa"/>
            <w:left w:w="108" w:type="dxa"/>
            <w:bottom w:w="0" w:type="dxa"/>
            <w:right w:w="108" w:type="dxa"/>
          </w:tblCellMar>
        </w:tblPrEx>
        <w:trPr>
          <w:trHeight w:val="51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体系认证</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9</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提供有效的质量管理体系认证、环境管理体系认证、职业健康安全管理体系认证</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，提供一个得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3分，最高得9分，</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未提供得0分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机具配置</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11</w:t>
            </w:r>
          </w:p>
        </w:tc>
        <w:tc>
          <w:tcPr>
            <w:tcW w:w="83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shd w:val="clear"/>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具备大型专业机具：</w:t>
            </w:r>
          </w:p>
          <w:p>
            <w:pPr>
              <w:pageBreakBefore w:val="0"/>
              <w:shd w:val="clear"/>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1.升降机，</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2.高空作业车，</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核定载重量为7</w:t>
            </w:r>
            <w:r>
              <w:rPr>
                <w:rFonts w:hint="default" w:ascii="Times New Roman" w:hAnsi="Times New Roman" w:eastAsia="方正仿宋_GBK" w:cs="Times New Roman"/>
                <w:color w:val="000000" w:themeColor="text1"/>
                <w:sz w:val="24"/>
                <w:highlight w:val="none"/>
                <w14:textFill>
                  <w14:solidFill>
                    <w14:schemeClr w14:val="tx1"/>
                  </w14:solidFill>
                </w14:textFill>
              </w:rPr>
              <w:t>吨</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4"/>
                <w:highlight w:val="none"/>
                <w14:textFill>
                  <w14:solidFill>
                    <w14:schemeClr w14:val="tx1"/>
                  </w14:solidFill>
                </w14:textFill>
              </w:rPr>
              <w:t>大型渣车，</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2辆得2分，1辆得1分，未提供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4.核定载重量为3</w:t>
            </w:r>
            <w:r>
              <w:rPr>
                <w:rFonts w:hint="default" w:ascii="Times New Roman" w:hAnsi="Times New Roman" w:eastAsia="方正仿宋_GBK" w:cs="Times New Roman"/>
                <w:color w:val="000000" w:themeColor="text1"/>
                <w:sz w:val="24"/>
                <w:highlight w:val="none"/>
                <w14:textFill>
                  <w14:solidFill>
                    <w14:schemeClr w14:val="tx1"/>
                  </w14:solidFill>
                </w14:textFill>
              </w:rPr>
              <w:t>吨级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吸污车，2</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1辆得1分，未提供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tc>
        <w:tc>
          <w:tcPr>
            <w:tcW w:w="3207" w:type="dxa"/>
            <w:tcBorders>
              <w:top w:val="single" w:color="000000" w:sz="4" w:space="0"/>
              <w:left w:val="single" w:color="000000" w:sz="4" w:space="0"/>
              <w:bottom w:val="single" w:color="000000" w:sz="4"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机具为供应商自有</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或租赁</w:t>
            </w:r>
            <w:r>
              <w:rPr>
                <w:rFonts w:hint="default" w:ascii="Times New Roman" w:hAnsi="Times New Roman" w:eastAsia="方正仿宋_GBK" w:cs="Times New Roman"/>
                <w:color w:val="000000" w:themeColor="text1"/>
                <w:sz w:val="24"/>
                <w:highlight w:val="none"/>
                <w14:textFill>
                  <w14:solidFill>
                    <w14:schemeClr w14:val="tx1"/>
                  </w14:solidFill>
                </w14:textFill>
              </w:rPr>
              <w:t>，须</w:t>
            </w:r>
            <w:r>
              <w:rPr>
                <w:rFonts w:hint="eastAsia" w:ascii="Times New Roman" w:hAnsi="Times New Roman" w:eastAsia="方正仿宋_GBK" w:cs="Times New Roman"/>
                <w:color w:val="000000" w:themeColor="text1"/>
                <w:sz w:val="24"/>
                <w:highlight w:val="none"/>
                <w:lang w:val="en-US" w:eastAsia="zh-CN"/>
                <w14:textFill>
                  <w14:solidFill>
                    <w14:schemeClr w14:val="tx1"/>
                  </w14:solidFill>
                </w14:textFill>
              </w:rPr>
              <w:t>提供</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有效的购买发票复印件、</w:t>
            </w:r>
            <w:r>
              <w:rPr>
                <w:rFonts w:hint="default" w:ascii="Times New Roman" w:hAnsi="Times New Roman" w:eastAsia="方正仿宋_GBK" w:cs="Times New Roman"/>
                <w:color w:val="000000" w:themeColor="text1"/>
                <w:sz w:val="24"/>
                <w:highlight w:val="none"/>
                <w14:textFill>
                  <w14:solidFill>
                    <w14:schemeClr w14:val="tx1"/>
                  </w14:solidFill>
                </w14:textFill>
              </w:rPr>
              <w:t>行驶</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证复印件和登记证复印件或租赁合同，原件备查</w:t>
            </w:r>
          </w:p>
        </w:tc>
      </w:tr>
      <w:tr>
        <w:tblPrEx>
          <w:tblCellMar>
            <w:top w:w="0" w:type="dxa"/>
            <w:left w:w="108" w:type="dxa"/>
            <w:bottom w:w="0" w:type="dxa"/>
            <w:right w:w="108" w:type="dxa"/>
          </w:tblCellMar>
        </w:tblPrEx>
        <w:trPr>
          <w:trHeight w:val="1070"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技术</w:t>
            </w:r>
          </w:p>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部分</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整体服务方案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6"/>
              </w:numPr>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针对本项目具体情况，提出</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项目总体制度、</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总体目标、</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管理</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服务模式、</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作业流程和</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进场安排，并对本项目的特点进行分析，提出相应的解决措施</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分项服务方案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轨行区清掏冲洗服务方案，包括</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管理机制、技术措施、</w:t>
            </w:r>
            <w:r>
              <w:rPr>
                <w:rFonts w:hint="default" w:ascii="Times New Roman" w:hAnsi="Times New Roman" w:eastAsia="方正仿宋_GBK" w:cs="Times New Roman"/>
                <w:color w:val="000000" w:themeColor="text1"/>
                <w:sz w:val="24"/>
                <w:highlight w:val="none"/>
                <w14:textFill>
                  <w14:solidFill>
                    <w14:schemeClr w14:val="tx1"/>
                  </w14:solidFill>
                </w14:textFill>
              </w:rPr>
              <w:t>作业重难点、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作业标准、作业指导书和</w:t>
            </w:r>
            <w:r>
              <w:rPr>
                <w:rFonts w:hint="default" w:ascii="Times New Roman" w:hAnsi="Times New Roman" w:eastAsia="方正仿宋_GBK" w:cs="Times New Roman"/>
                <w:color w:val="000000" w:themeColor="text1"/>
                <w:sz w:val="24"/>
                <w:highlight w:val="none"/>
                <w14:textFill>
                  <w14:solidFill>
                    <w14:schemeClr w14:val="tx1"/>
                  </w14:solidFill>
                </w14:textFill>
              </w:rPr>
              <w:t>注意事项等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p>
            <w:pPr>
              <w:pageBreakBefore w:val="0"/>
              <w:numPr>
                <w:ilvl w:val="0"/>
                <w:numId w:val="0"/>
              </w:numPr>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外墙清洗</w:t>
            </w:r>
            <w:r>
              <w:rPr>
                <w:rFonts w:hint="default" w:ascii="Times New Roman" w:hAnsi="Times New Roman" w:eastAsia="方正仿宋_GBK" w:cs="Times New Roman"/>
                <w:color w:val="000000" w:themeColor="text1"/>
                <w:sz w:val="24"/>
                <w:highlight w:val="none"/>
                <w14:textFill>
                  <w14:solidFill>
                    <w14:schemeClr w14:val="tx1"/>
                  </w14:solidFill>
                </w14:textFill>
              </w:rPr>
              <w:t>服务方案，包括</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管理机制、技术措施、</w:t>
            </w:r>
            <w:r>
              <w:rPr>
                <w:rFonts w:hint="default" w:ascii="Times New Roman" w:hAnsi="Times New Roman" w:eastAsia="方正仿宋_GBK" w:cs="Times New Roman"/>
                <w:color w:val="000000" w:themeColor="text1"/>
                <w:sz w:val="24"/>
                <w:highlight w:val="none"/>
                <w14:textFill>
                  <w14:solidFill>
                    <w14:schemeClr w14:val="tx1"/>
                  </w14:solidFill>
                </w14:textFill>
              </w:rPr>
              <w:t>作业重难点、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作业标准、作业指导书和</w:t>
            </w:r>
            <w:r>
              <w:rPr>
                <w:rFonts w:hint="default" w:ascii="Times New Roman" w:hAnsi="Times New Roman" w:eastAsia="方正仿宋_GBK" w:cs="Times New Roman"/>
                <w:color w:val="000000" w:themeColor="text1"/>
                <w:sz w:val="24"/>
                <w:highlight w:val="none"/>
                <w14:textFill>
                  <w14:solidFill>
                    <w14:schemeClr w14:val="tx1"/>
                  </w14:solidFill>
                </w14:textFill>
              </w:rPr>
              <w:t>注意事项等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4"/>
                <w:highlight w:val="none"/>
                <w14:textFill>
                  <w14:solidFill>
                    <w14:schemeClr w14:val="tx1"/>
                  </w14:solidFill>
                </w14:textFill>
              </w:rPr>
              <w:t>清掏服务方案，包括</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管理机制、技术措施、</w:t>
            </w:r>
            <w:r>
              <w:rPr>
                <w:rFonts w:hint="default" w:ascii="Times New Roman" w:hAnsi="Times New Roman" w:eastAsia="方正仿宋_GBK" w:cs="Times New Roman"/>
                <w:color w:val="000000" w:themeColor="text1"/>
                <w:sz w:val="24"/>
                <w:highlight w:val="none"/>
                <w14:textFill>
                  <w14:solidFill>
                    <w14:schemeClr w14:val="tx1"/>
                  </w14:solidFill>
                </w14:textFill>
              </w:rPr>
              <w:t>作业重难点、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作业标准、作业指导书和</w:t>
            </w:r>
            <w:r>
              <w:rPr>
                <w:rFonts w:hint="default" w:ascii="Times New Roman" w:hAnsi="Times New Roman" w:eastAsia="方正仿宋_GBK" w:cs="Times New Roman"/>
                <w:color w:val="000000" w:themeColor="text1"/>
                <w:sz w:val="24"/>
                <w:highlight w:val="none"/>
                <w14:textFill>
                  <w14:solidFill>
                    <w14:schemeClr w14:val="tx1"/>
                  </w14:solidFill>
                </w14:textFill>
              </w:rPr>
              <w:t>注意事项等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人员配置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.本项目配置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名高处作业人员，均具有</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重庆市</w:t>
            </w:r>
            <w:r>
              <w:rPr>
                <w:rFonts w:hint="default" w:ascii="Times New Roman" w:hAnsi="Times New Roman" w:eastAsia="方正仿宋_GBK" w:cs="Times New Roman"/>
                <w:color w:val="000000" w:themeColor="text1"/>
                <w:sz w:val="24"/>
                <w:highlight w:val="none"/>
                <w14:textFill>
                  <w14:solidFill>
                    <w14:schemeClr w14:val="tx1"/>
                  </w14:solidFill>
                </w14:textFill>
              </w:rPr>
              <w:t>应急管理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局</w:t>
            </w:r>
            <w:r>
              <w:rPr>
                <w:rFonts w:hint="default" w:ascii="Times New Roman" w:hAnsi="Times New Roman" w:eastAsia="方正仿宋_GBK" w:cs="Times New Roman"/>
                <w:color w:val="000000" w:themeColor="text1"/>
                <w:sz w:val="24"/>
                <w:highlight w:val="none"/>
                <w14:textFill>
                  <w14:solidFill>
                    <w14:schemeClr w14:val="tx1"/>
                  </w14:solidFill>
                </w14:textFill>
              </w:rPr>
              <w:t>颁发</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的作业类别为</w:t>
            </w:r>
            <w:r>
              <w:rPr>
                <w:rFonts w:hint="default" w:ascii="Times New Roman" w:hAnsi="Times New Roman" w:eastAsia="方正仿宋_GBK" w:cs="Times New Roman"/>
                <w:color w:val="000000" w:themeColor="text1"/>
                <w:sz w:val="24"/>
                <w:highlight w:val="none"/>
                <w14:textFill>
                  <w14:solidFill>
                    <w14:schemeClr w14:val="tx1"/>
                  </w14:solidFill>
                </w14:textFill>
              </w:rPr>
              <w:t>“高处作业”</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4"/>
                <w:highlight w:val="none"/>
                <w14:textFill>
                  <w14:solidFill>
                    <w14:schemeClr w14:val="tx1"/>
                  </w14:solidFill>
                </w14:textFill>
              </w:rPr>
              <w:t>特种操作证书得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分，不满足得0分。</w:t>
            </w:r>
          </w:p>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.本项目配置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4"/>
                <w:highlight w:val="none"/>
                <w14:textFill>
                  <w14:solidFill>
                    <w14:schemeClr w14:val="tx1"/>
                  </w14:solidFill>
                </w14:textFill>
              </w:rPr>
              <w:t>名清掏作业人员，具有有效的“</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化粪池</w:t>
            </w:r>
            <w:r>
              <w:rPr>
                <w:rFonts w:hint="default" w:ascii="Times New Roman" w:hAnsi="Times New Roman" w:eastAsia="方正仿宋_GBK" w:cs="Times New Roman"/>
                <w:color w:val="000000" w:themeColor="text1"/>
                <w:sz w:val="24"/>
                <w:highlight w:val="none"/>
                <w14:textFill>
                  <w14:solidFill>
                    <w14:schemeClr w14:val="tx1"/>
                  </w14:solidFill>
                </w14:textFill>
              </w:rPr>
              <w:t>清掏维护专项职业能力证书”的得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分，不满足得0分。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提供所列证书复印件、比选截止时间前6个月的连续社保证明材料复印件，均需加盖公章</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原件备查</w:t>
            </w: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管理制度及人员培训方案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ind w:firstLine="240" w:firstLineChars="100"/>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1.管理制度方案：包括</w:t>
            </w:r>
            <w:r>
              <w:rPr>
                <w:rFonts w:hint="default" w:ascii="Times New Roman" w:hAnsi="Times New Roman" w:eastAsia="方正仿宋_GBK" w:cs="Times New Roman"/>
                <w:color w:val="000000" w:themeColor="text1"/>
                <w:sz w:val="24"/>
                <w:highlight w:val="none"/>
                <w14:textFill>
                  <w14:solidFill>
                    <w14:schemeClr w14:val="tx1"/>
                  </w14:solidFill>
                </w14:textFill>
              </w:rPr>
              <w:t>项目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内部管理制度、项目组织架构</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管理职责和考核细则。内容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差得0.5分，未提供方案得0分。</w:t>
            </w:r>
          </w:p>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2.人员培训方案：包括培训目标、培训计划和培训课程等。内容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差得0.5分，未提供方案得0分。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27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安全保障</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提供完善的安全保障方案，包括安全作业措施、安全保障设备、</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质量保证措施、</w:t>
            </w:r>
            <w:r>
              <w:rPr>
                <w:rFonts w:hint="default" w:ascii="Times New Roman" w:hAnsi="Times New Roman" w:eastAsia="方正仿宋_GBK" w:cs="Times New Roman"/>
                <w:color w:val="000000" w:themeColor="text1"/>
                <w:sz w:val="24"/>
                <w:highlight w:val="none"/>
                <w14:textFill>
                  <w14:solidFill>
                    <w14:schemeClr w14:val="tx1"/>
                  </w14:solidFill>
                </w14:textFill>
              </w:rPr>
              <w:t>各类安全事故处理措施等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8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8" w:space="0"/>
              <w:right w:val="single" w:color="000000" w:sz="4" w:space="0"/>
            </w:tcBorders>
            <w:vAlign w:val="center"/>
          </w:tcPr>
          <w:p>
            <w:pPr>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应急预案</w:t>
            </w:r>
          </w:p>
        </w:tc>
        <w:tc>
          <w:tcPr>
            <w:tcW w:w="732"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p>
        </w:tc>
        <w:tc>
          <w:tcPr>
            <w:tcW w:w="8367"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针对轨道业态的突发事件、恶劣天气等特殊情况制定应急预案，包括应急保障小组、传达机制、应急情况种类、处置流程、人员安排和设备调配等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8" w:space="0"/>
              <w:right w:val="single" w:color="000000" w:sz="8" w:space="0"/>
            </w:tcBorders>
            <w:vAlign w:val="center"/>
          </w:tcPr>
          <w:p>
            <w:pPr>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bl>
    <w:p>
      <w:pPr>
        <w:pStyle w:val="2"/>
        <w:rPr>
          <w:rFonts w:hint="default" w:ascii="Times New Roman" w:hAnsi="Times New Roman" w:cs="Times New Roman"/>
          <w:color w:val="000000" w:themeColor="text1"/>
          <w:highlight w:val="none"/>
          <w14:textFill>
            <w14:solidFill>
              <w14:schemeClr w14:val="tx1"/>
            </w14:solidFill>
          </w14:textFill>
        </w:rPr>
        <w:sectPr>
          <w:pgSz w:w="16840" w:h="11900" w:orient="landscape"/>
          <w:pgMar w:top="940" w:right="1340" w:bottom="940" w:left="1340" w:header="920" w:footer="0" w:gutter="0"/>
          <w:pgNumType w:fmt="decimal"/>
          <w:cols w:space="720" w:num="1"/>
          <w:docGrid w:type="lines" w:linePitch="0"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附件3：</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 xml:space="preserve">文件格式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6"/>
          <w:szCs w:val="36"/>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6"/>
          <w:szCs w:val="36"/>
          <w:highlight w:val="none"/>
          <w:lang w:val="en-US" w:eastAsia="zh-CN"/>
          <w14:textFill>
            <w14:solidFill>
              <w14:schemeClr w14:val="tx1"/>
            </w14:solidFill>
          </w14:textFill>
        </w:rPr>
        <w:t>一、商务文件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失信被执行人查询截图、异常经营名录查询截图、税收违法黑名单查询截图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sectPr>
          <w:footerReference r:id="rId6" w:type="default"/>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3、资质证书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需包含：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行业服务协会认定的保洁服务企业一级资质。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重庆市城市管理局颁发的《城市生活垃圾经营性清扫收集运输处置服务许可证》。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行业协会或机构颁发的《城市粪便污水处理经营服务资质认定》三级及以上证书</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方正仿宋_GBK" w:hAnsi="方正仿宋_GBK" w:eastAsia="方正仿宋_GBK" w:cs="方正仿宋_GBK"/>
          <w:b/>
          <w:bCs/>
          <w:color w:val="000000" w:themeColor="text1"/>
          <w:kern w:val="2"/>
          <w:sz w:val="28"/>
          <w:szCs w:val="28"/>
          <w:highlight w:val="none"/>
          <w:lang w:val="en-US" w:eastAsia="zh-CN" w:bidi="ar-SA"/>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行业协会或机构颁发的</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高空服务业企业安全资质</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高空清洗悬吊作业企业安全生产证书</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高空外墙清洗服务企业资质</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高空外墙</w:t>
      </w:r>
      <w:r>
        <w:rPr>
          <w:rFonts w:hint="eastAsia" w:ascii="方正仿宋_GBK" w:hAnsi="方正仿宋_GBK" w:eastAsia="方正仿宋_GBK" w:cs="方正仿宋_GBK"/>
          <w:i w:val="0"/>
          <w:iCs w:val="0"/>
          <w:color w:val="000000" w:themeColor="text1"/>
          <w:sz w:val="28"/>
          <w:szCs w:val="28"/>
          <w:highlight w:val="none"/>
          <w14:textFill>
            <w14:solidFill>
              <w14:schemeClr w14:val="tx1"/>
            </w14:solidFill>
          </w14:textFill>
        </w:rPr>
        <w:t>清洁资质等级证书</w:t>
      </w:r>
      <w:r>
        <w:rPr>
          <w:rFonts w:hint="eastAsia" w:ascii="方正仿宋_GBK" w:hAnsi="方正仿宋_GBK" w:eastAsia="方正仿宋_GBK" w:cs="方正仿宋_GBK"/>
          <w:i w:val="0"/>
          <w:iCs w:val="0"/>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i w:val="0"/>
          <w:iCs w:val="0"/>
          <w:color w:val="000000" w:themeColor="text1"/>
          <w:sz w:val="28"/>
          <w:szCs w:val="28"/>
          <w:highlight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4、法定代表人资格证明书（本页文字格式和内容不得删减和添加）</w:t>
      </w:r>
    </w:p>
    <w:p>
      <w:pPr>
        <w:jc w:val="center"/>
        <w:rPr>
          <w:rFonts w:hint="default" w:ascii="Times New Roman" w:hAnsi="Times New Roman" w:eastAsia="方正小标宋_GBK" w:cs="Times New Roman"/>
          <w:b/>
          <w:bCs/>
          <w:color w:val="000000" w:themeColor="text1"/>
          <w:sz w:val="36"/>
          <w:szCs w:val="36"/>
          <w:highlight w:val="none"/>
          <w14:textFill>
            <w14:solidFill>
              <w14:schemeClr w14:val="tx1"/>
            </w14:solidFill>
          </w14:textFill>
        </w:rPr>
      </w:pPr>
    </w:p>
    <w:p>
      <w:pPr>
        <w:numPr>
          <w:ilvl w:val="0"/>
          <w:numId w:val="0"/>
        </w:numPr>
        <w:ind w:leftChars="0"/>
        <w:jc w:val="cente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法定代表人资格证明书</w:t>
      </w:r>
    </w:p>
    <w:p>
      <w:pPr>
        <w:pStyle w:val="2"/>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pPr>
      <w:r>
        <w:rPr>
          <w:rFonts w:hint="default" w:ascii="Times New Roman" w:hAnsi="Times New Roman" w:eastAsia="方正小标宋_GBK" w:cs="Times New Roman"/>
          <w:color w:val="000000" w:themeColor="text1"/>
          <w:sz w:val="36"/>
          <w:szCs w:val="36"/>
          <w:highlight w:val="none"/>
          <w14:textFill>
            <w14:solidFill>
              <w14:schemeClr w14:val="tx1"/>
            </w14:solidFill>
          </w14:textFill>
        </w:rPr>
        <w:t xml:space="preserve">    </w:t>
      </w:r>
      <w:r>
        <w:rPr>
          <w:rFonts w:hint="default" w:ascii="Times New Roman" w:hAnsi="Times New Roman" w:eastAsia="方正小标宋_GBK" w:cs="Times New Roman"/>
          <w:color w:val="000000" w:themeColor="text1"/>
          <w:sz w:val="36"/>
          <w:szCs w:val="36"/>
          <w:highlight w:val="none"/>
          <w:u w:val="single"/>
          <w14:textFill>
            <w14:solidFill>
              <w14:schemeClr w14:val="tx1"/>
            </w14:solidFill>
          </w14:textFill>
        </w:rPr>
        <w:t xml:space="preserve">          </w:t>
      </w: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（法定代表人姓名）系</w:t>
      </w:r>
      <w:r>
        <w:rPr>
          <w:rFonts w:hint="default" w:ascii="Times New Roman" w:hAnsi="Times New Roman" w:eastAsia="方正小标宋_GBK" w:cs="Times New Roman"/>
          <w:color w:val="000000" w:themeColor="text1"/>
          <w:sz w:val="36"/>
          <w:szCs w:val="36"/>
          <w:highlight w:val="none"/>
          <w:u w:val="single"/>
          <w14:textFill>
            <w14:solidFill>
              <w14:schemeClr w14:val="tx1"/>
            </w14:solidFill>
          </w14:textFill>
        </w:rPr>
        <w:t xml:space="preserve">              </w:t>
      </w: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（比选单位）的法定代表人。</w:t>
      </w:r>
    </w:p>
    <w:p>
      <w:pPr>
        <w:ind w:firstLine="722"/>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特此证明</w:t>
      </w:r>
    </w:p>
    <w:p>
      <w:pPr>
        <w:pStyle w:val="2"/>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_x0000_s1026" o:spid="_x0000_s1026" o:spt="202" type="#_x0000_t202" style="position:absolute;left:0pt;margin-left:-5.95pt;margin-top:21.15pt;height:272.45pt;width:503.9pt;z-index:251664384;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jEE3AAAAAoBAAAPAAAA&#10;AAAAAAEAIAAAACIAAABkcnMvZG93bnJldi54bWxQSwECFAAUAAAACACHTuJAJFdjHRECAABFBAAA&#10;DgAAAAAAAAABACAAAAAr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2"/>
        <w:ind w:firstLine="722"/>
        <w:rPr>
          <w:rFonts w:hint="default" w:ascii="Times New Roman" w:hAnsi="Times New Roman" w:cs="Times New Roman"/>
          <w:color w:val="000000" w:themeColor="text1"/>
          <w:highlight w:val="none"/>
          <w14:textFill>
            <w14:solidFill>
              <w14:schemeClr w14:val="tx1"/>
            </w14:solidFill>
          </w14:textFill>
        </w:rPr>
      </w:pPr>
    </w:p>
    <w:p>
      <w:pPr>
        <w:widowControl/>
        <w:spacing w:before="100" w:beforeAutospacing="1" w:after="100" w:afterAutospacing="1" w:line="252" w:lineRule="atLeast"/>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pStyle w:val="2"/>
        <w:tabs>
          <w:tab w:val="left" w:pos="5649"/>
        </w:tabs>
        <w:rPr>
          <w:rFonts w:hint="default"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比选单位名称（盖章）：</w:t>
      </w:r>
    </w:p>
    <w:p>
      <w:pPr>
        <w:pStyle w:val="2"/>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 xml:space="preserve">                              日期：</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numPr>
          <w:ilvl w:val="0"/>
          <w:numId w:val="0"/>
        </w:numPr>
        <w:ind w:leftChars="0"/>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5、法定代表人授权委托书</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本页文字格式和内容不得删减和添加）</w:t>
      </w:r>
    </w:p>
    <w:p>
      <w:pPr>
        <w:numPr>
          <w:ilvl w:val="0"/>
          <w:numId w:val="0"/>
        </w:numPr>
        <w:ind w:leftChars="0"/>
        <w:jc w:val="cente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 xml:space="preserve"> 法定代表人授权委托书 </w:t>
      </w:r>
    </w:p>
    <w:p>
      <w:pPr>
        <w:widowControl/>
        <w:snapToGrid w:val="0"/>
        <w:spacing w:before="100" w:beforeAutospacing="1" w:after="100" w:afterAutospacing="1" w:line="360" w:lineRule="auto"/>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     本授权书声明：注册于</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（注册地址）</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的</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（公司名称）</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公司的在下面签字的</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（法定代表人姓名、职务）代表本公司授权在下面签字的</w:t>
      </w:r>
      <w:r>
        <w:rPr>
          <w:rFonts w:hint="default" w:ascii="Times New Roman" w:hAnsi="Times New Roman" w:eastAsia="方正仿宋_GBK" w:cs="Times New Roman"/>
          <w:bCs/>
          <w:i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iCs/>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bCs/>
          <w:iCs/>
          <w:color w:val="000000" w:themeColor="text1"/>
          <w:kern w:val="0"/>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Cs/>
          <w:iCs/>
          <w:color w:val="000000" w:themeColor="text1"/>
          <w:kern w:val="0"/>
          <w:sz w:val="28"/>
          <w:szCs w:val="28"/>
          <w:highlight w:val="none"/>
          <w:u w:val="single"/>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被授权人的姓名、职务</w:t>
      </w:r>
      <w:r>
        <w:rPr>
          <w:rFonts w:hint="eastAsia" w:ascii="Times New Roman" w:hAnsi="Times New Roman" w:eastAsia="方正仿宋_GBK" w:cs="Times New Roman"/>
          <w:bCs/>
          <w:iCs/>
          <w:color w:val="000000" w:themeColor="text1"/>
          <w:kern w:val="0"/>
          <w:sz w:val="28"/>
          <w:szCs w:val="28"/>
          <w:highlight w:val="none"/>
          <w:u w:val="none"/>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为本公司的合法代理人，就</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本授权书于    年   月   日签字生效，特此声明。</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 xml:space="preserve">比选单位名称（盖章）：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比选单位地址：</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授权人（法定代表人）签字</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或盖章</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 xml:space="preserve">：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287655</wp:posOffset>
                </wp:positionV>
                <wp:extent cx="3006090" cy="3446780"/>
                <wp:effectExtent l="6350" t="6350" r="16510" b="13970"/>
                <wp:wrapNone/>
                <wp:docPr id="4" name="文本框 1"/>
                <wp:cNvGraphicFramePr/>
                <a:graphic xmlns:a="http://schemas.openxmlformats.org/drawingml/2006/main">
                  <a:graphicData uri="http://schemas.microsoft.com/office/word/2010/wordprocessingShape">
                    <wps:wsp>
                      <wps:cNvSpPr txBox="1"/>
                      <wps:spPr>
                        <a:xfrm>
                          <a:off x="0" y="0"/>
                          <a:ext cx="2971800" cy="344678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文本框 1" o:spid="_x0000_s1026" o:spt="202" type="#_x0000_t202" style="position:absolute;left:0pt;margin-left:252.35pt;margin-top:22.65pt;height:271.4pt;width:236.7pt;z-index:251666432;mso-width-relative:page;mso-height-relative:page;" fillcolor="#FFFFFF" filled="t" stroked="t" coordsize="21600,21600" o:gfxdata="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luG+HcAAAACgEAAA8A&#10;AAAAAAAAAQAgAAAAIgAAAGRycy9kb3ducmV2LnhtbFBLAQIUABQAAAAIAIdO4kALAafrEwIAAEUE&#10;AAAOAAAAAAAAAAEAIAAAACsBAABkcnMvZTJvRG9jLnhtbFBLBQYAAAAABgAGAFkBAACwBQ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290195</wp:posOffset>
                </wp:positionV>
                <wp:extent cx="3006090" cy="3447415"/>
                <wp:effectExtent l="6350" t="6350" r="16510" b="13335"/>
                <wp:wrapNone/>
                <wp:docPr id="2" name="文本框 3"/>
                <wp:cNvGraphicFramePr/>
                <a:graphic xmlns:a="http://schemas.openxmlformats.org/drawingml/2006/main">
                  <a:graphicData uri="http://schemas.microsoft.com/office/word/2010/wordprocessingShape">
                    <wps:wsp>
                      <wps:cNvSpPr txBox="1"/>
                      <wps:spPr>
                        <a:xfrm>
                          <a:off x="0" y="0"/>
                          <a:ext cx="2857500" cy="3447415"/>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文本框 3" o:spid="_x0000_s1026" o:spt="202" type="#_x0000_t202" style="position:absolute;left:0pt;margin-left:6.3pt;margin-top:22.85pt;height:271.45pt;width:236.7pt;z-index:251665408;mso-width-relative:page;mso-height-relative:page;" fillcolor="#FFFFFF" filled="t" stroked="t" coordsize="21600,21600" o:gfxdata="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BKZptoAAAAJAQAADwAAAAAA&#10;AAABACAAAAAiAAAAZHJzL2Rvd25yZXYueG1sUEsBAhQAFAAAAAgAh07iQATgmIURAgAARQQAAA4A&#10;AAAAAAAAAQAgAAAAKQEAAGRycy9lMm9Eb2MueG1sUEsFBgAAAAAGAAYAWQEAAKwFA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被授权人（代理人）签字：  </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 </w:t>
      </w: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6、投标保证金缴纳凭据</w:t>
      </w:r>
    </w:p>
    <w:p>
      <w:pPr>
        <w:pStyle w:val="2"/>
        <w:numPr>
          <w:ilvl w:val="0"/>
          <w:numId w:val="0"/>
        </w:numPr>
        <w:ind w:left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pStyle w:val="2"/>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numPr>
          <w:ilvl w:val="0"/>
          <w:numId w:val="0"/>
        </w:numPr>
        <w:ind w:leftChars="0"/>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7、业绩证明材料</w:t>
      </w: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不得对合同单价、总价、人数、服务面积、服务时间等关键信息遮挡）</w:t>
      </w:r>
    </w:p>
    <w:p>
      <w:pPr>
        <w:pStyle w:val="2"/>
        <w:numPr>
          <w:ilvl w:val="0"/>
          <w:numId w:val="0"/>
        </w:numPr>
        <w:ind w:left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bookmarkStart w:id="0" w:name="OLE_LINK1"/>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bookmarkEnd w:id="0"/>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numPr>
          <w:ilvl w:val="0"/>
          <w:numId w:val="0"/>
        </w:numPr>
        <w:ind w:leftChars="0"/>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8、体系认证材料</w:t>
      </w:r>
    </w:p>
    <w:p>
      <w:pPr>
        <w:pStyle w:val="2"/>
        <w:numPr>
          <w:ilvl w:val="0"/>
          <w:numId w:val="0"/>
        </w:numPr>
        <w:ind w:leftChars="0"/>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p>
    <w:p>
      <w:pPr>
        <w:pStyle w:val="2"/>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p>
    <w:p>
      <w:pP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p>
    <w:p>
      <w:pPr>
        <w:numPr>
          <w:ilvl w:val="0"/>
          <w:numId w:val="0"/>
        </w:numP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9、机具配置</w:t>
      </w:r>
    </w:p>
    <w:p>
      <w:pPr>
        <w:numPr>
          <w:ilvl w:val="0"/>
          <w:numId w:val="0"/>
        </w:numPr>
        <w:ind w:leftChars="0"/>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numPr>
          <w:ilvl w:val="0"/>
          <w:numId w:val="0"/>
        </w:numPr>
        <w:ind w:leftChars="0"/>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rPr>
          <w:rFonts w:hint="default" w:ascii="Times New Roman" w:hAnsi="Times New Roman" w:cs="Times New Roman"/>
          <w:color w:val="000000" w:themeColor="text1"/>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 xml:space="preserve">二、经济文件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本页文字格式和内容不得删减和添加）</w:t>
      </w:r>
    </w:p>
    <w:p>
      <w:pPr>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格式一   </w:t>
      </w:r>
      <w:r>
        <w:rPr>
          <w:rFonts w:hint="default" w:ascii="Times New Roman" w:hAnsi="Times New Roman" w:eastAsia="方正小标宋_GBK" w:cs="Times New Roman"/>
          <w:b/>
          <w:bCs/>
          <w:color w:val="000000" w:themeColor="text1"/>
          <w:sz w:val="36"/>
          <w:szCs w:val="36"/>
          <w:highlight w:val="none"/>
          <w14:textFill>
            <w14:solidFill>
              <w14:schemeClr w14:val="tx1"/>
            </w14:solidFill>
          </w14:textFill>
        </w:rPr>
        <w:t>比 选 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重庆通邑智慧城市运营管理有限公司：</w:t>
      </w:r>
    </w:p>
    <w:p>
      <w:pPr>
        <w:spacing w:line="360" w:lineRule="auto"/>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根据贵方</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项目的比选函文件，本公司正式授权的下述签字人</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（姓名和职务）代表本公司</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（比选被邀请人名称），提交本比选函。</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据此函，签字人兹宣布同意如下：</w:t>
      </w:r>
    </w:p>
    <w:p>
      <w:pPr>
        <w:numPr>
          <w:ilvl w:val="0"/>
          <w:numId w:val="7"/>
        </w:num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愿意接受比选函中提出的酬金支付方式，我司报价如下：</w:t>
      </w:r>
    </w:p>
    <w:tbl>
      <w:tblPr>
        <w:tblStyle w:val="10"/>
        <w:tblW w:w="9558" w:type="dxa"/>
        <w:tblInd w:w="93" w:type="dxa"/>
        <w:tblLayout w:type="fixed"/>
        <w:tblCellMar>
          <w:top w:w="0" w:type="dxa"/>
          <w:left w:w="108" w:type="dxa"/>
          <w:bottom w:w="0" w:type="dxa"/>
          <w:right w:w="108" w:type="dxa"/>
        </w:tblCellMar>
      </w:tblPr>
      <w:tblGrid>
        <w:gridCol w:w="2813"/>
        <w:gridCol w:w="1825"/>
        <w:gridCol w:w="1587"/>
        <w:gridCol w:w="1215"/>
        <w:gridCol w:w="2118"/>
      </w:tblGrid>
      <w:tr>
        <w:tblPrEx>
          <w:tblCellMar>
            <w:top w:w="0" w:type="dxa"/>
            <w:left w:w="108" w:type="dxa"/>
            <w:bottom w:w="0" w:type="dxa"/>
            <w:right w:w="108" w:type="dxa"/>
          </w:tblCellMar>
        </w:tblPrEx>
        <w:trPr>
          <w:trHeight w:val="660" w:hRule="atLeast"/>
        </w:trPr>
        <w:tc>
          <w:tcPr>
            <w:tcW w:w="2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1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不含税单价</w:t>
            </w:r>
            <w:r>
              <w:rPr>
                <w:rFonts w:hint="default"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t xml:space="preserve"> </w:t>
            </w: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t>元</w:t>
            </w: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作业频次</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 xml:space="preserve">            </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次/年</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p>
        </w:tc>
        <w:tc>
          <w:tcPr>
            <w:tcW w:w="2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w:t>
            </w:r>
            <w:r>
              <w:rPr>
                <w:rFonts w:hint="default"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t>总价</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元</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w:t>
            </w:r>
          </w:p>
        </w:tc>
      </w:tr>
      <w:tr>
        <w:tblPrEx>
          <w:tblCellMar>
            <w:top w:w="0" w:type="dxa"/>
            <w:left w:w="108" w:type="dxa"/>
            <w:bottom w:w="0" w:type="dxa"/>
            <w:right w:w="108" w:type="dxa"/>
          </w:tblCellMar>
        </w:tblPrEx>
        <w:trPr>
          <w:trHeight w:val="312" w:hRule="atLeast"/>
        </w:trPr>
        <w:tc>
          <w:tcPr>
            <w:tcW w:w="2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1.轨行区清掏冲洗</w:t>
            </w:r>
          </w:p>
        </w:tc>
      </w:tr>
      <w:tr>
        <w:tblPrEx>
          <w:tblCellMar>
            <w:top w:w="0" w:type="dxa"/>
            <w:left w:w="108" w:type="dxa"/>
            <w:bottom w:w="0" w:type="dxa"/>
            <w:right w:w="108" w:type="dxa"/>
          </w:tblCellMar>
        </w:tblPrEx>
        <w:trPr>
          <w:trHeight w:val="894"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车站、隧道排水沟清掏 （含轨行区地面垃圾清扫）</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133438.00m</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轨行区垃圾清运</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100.00车（10t</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548800.00㎡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高架、路基段轨行区清扫</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65535.00㎡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边坡清洁卫生及杂草清除</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2.外墙清洗</w:t>
            </w:r>
          </w:p>
        </w:tc>
      </w:tr>
      <w:tr>
        <w:tblPrEx>
          <w:tblCellMar>
            <w:top w:w="0" w:type="dxa"/>
            <w:left w:w="108" w:type="dxa"/>
            <w:bottom w:w="0" w:type="dxa"/>
            <w:right w:w="108" w:type="dxa"/>
          </w:tblCellMar>
        </w:tblPrEx>
        <w:trPr>
          <w:trHeight w:val="397"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15430.00㎡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1103.70㎡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3.</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b/>
                <w:bCs/>
                <w:color w:val="000000" w:themeColor="text1"/>
                <w:sz w:val="24"/>
                <w:highlight w:val="none"/>
                <w14:textFill>
                  <w14:solidFill>
                    <w14:schemeClr w14:val="tx1"/>
                  </w14:solidFill>
                </w14:textFill>
              </w:rPr>
              <w:t>清掏</w:t>
            </w:r>
          </w:p>
        </w:tc>
      </w:tr>
      <w:tr>
        <w:tblPrEx>
          <w:tblCellMar>
            <w:top w:w="0" w:type="dxa"/>
            <w:left w:w="108" w:type="dxa"/>
            <w:bottom w:w="0" w:type="dxa"/>
            <w:right w:w="108" w:type="dxa"/>
          </w:tblCellMar>
        </w:tblPrEx>
        <w:trPr>
          <w:trHeight w:val="397"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生化池、污水井处理池、隔油池清掏</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1140.40</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生化池、污水井抽排</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8.00</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34</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区间隧道集水井、废水池清掏</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328.06</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车站隧道集水井、废水池清掏</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2686.00</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bl>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不含税总价：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含税总价：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，（大写：人民币</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增值税专用发票税率</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备注：</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①</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表格中作业量和作业频次均为预估，实际作业量和作业频次以现场实际需求为准。</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②表格中不含税单价</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须保留至小数点后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表格中单项不含税总价=作业量*单项不含税单价*作业频次，且须保留</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表格下方的暂定不含税总价为表格中单项不含税总价的累计数值，且须保留</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表格下方的暂定含税总价=暂定不含税总价*（</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1+税率</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），且须保留至小数点后2位；</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小数点后无数字时填写0</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我们已详细阅读了比选函全部内容，我们知道必须放弃提出含糊不清或误解的问题的权利。</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我们保证根据规定履行合同责任和义务。</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本比选函自开启之日起至项目全部完成之内有效。</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比选单位全称（公章）：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通信地址：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电话、传真：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报价人法定代表人或授权代理人签字：</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日期：   年 </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月</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日</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三、技术文件</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整体服务方案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28"/>
          <w:szCs w:val="36"/>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2、分项服务方案</w:t>
      </w:r>
      <w:r>
        <w:rPr>
          <w:rFonts w:hint="default" w:ascii="Times New Roman" w:hAnsi="Times New Roman" w:eastAsia="方正仿宋_GBK" w:cs="Times New Roman"/>
          <w:b w:val="0"/>
          <w:bCs w:val="0"/>
          <w:color w:val="000000" w:themeColor="text1"/>
          <w:sz w:val="36"/>
          <w:szCs w:val="44"/>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包括</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轨行区清掏冲洗、</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外墙清洗和沟渠池清掏服务方案</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3、人员配置方案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管理制度及人员培训方案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6"/>
          <w:szCs w:val="44"/>
          <w:highlight w:val="none"/>
          <w:lang w:val="en-US" w:eastAsia="zh-CN"/>
          <w14:textFill>
            <w14:solidFill>
              <w14:schemeClr w14:val="tx1"/>
            </w14:solidFill>
          </w14:textFill>
        </w:rPr>
      </w:pP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安全保障</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应急预案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根据比选项目情况认为需要添加的其他资料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widowControl/>
        <w:spacing w:before="100" w:beforeAutospacing="1" w:after="100" w:afterAutospacing="1" w:line="252" w:lineRule="atLeast"/>
        <w:jc w:val="left"/>
        <w:rPr>
          <w:rFonts w:hint="default" w:ascii="Times New Roman" w:hAnsi="Times New Roman" w:eastAsia="方正小标宋_GBK" w:cs="Times New Roman"/>
          <w:b w:val="0"/>
          <w:bCs w:val="0"/>
          <w:color w:val="000000" w:themeColor="text1"/>
          <w:sz w:val="32"/>
          <w:szCs w:val="32"/>
          <w:highlight w:val="none"/>
          <w:lang w:val="en-US" w:eastAsia="zh-CN"/>
          <w14:textFill>
            <w14:solidFill>
              <w14:schemeClr w14:val="tx1"/>
            </w14:solidFill>
          </w14:textFill>
        </w:rPr>
      </w:pPr>
    </w:p>
    <w:p>
      <w:pPr>
        <w:widowControl/>
        <w:spacing w:before="100" w:beforeAutospacing="1" w:after="100" w:afterAutospacing="1" w:line="252" w:lineRule="atLeast"/>
        <w:jc w:val="left"/>
        <w:outlineLvl w:val="0"/>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四、合同文件</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541" w:lineRule="exact"/>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202</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年度轨道</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10</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号线轨行区清掏冲洗、外墙清洗、</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沟渠池</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清掏</w:t>
      </w:r>
    </w:p>
    <w:p>
      <w:pPr>
        <w:spacing w:line="541" w:lineRule="exact"/>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服务合同</w:t>
      </w:r>
    </w:p>
    <w:p>
      <w:pPr>
        <w:adjustRightInd w:val="0"/>
        <w:spacing w:line="360" w:lineRule="auto"/>
        <w:jc w:val="righ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adjustRightInd w:val="0"/>
        <w:spacing w:line="360" w:lineRule="auto"/>
        <w:jc w:val="righ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【合同编号：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360" w:lineRule="auto"/>
        <w:outlineLvl w:val="1"/>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甲 方：</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重庆通邑智慧城市运营管理有限公司</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地 址：</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重庆市南岸区腾龙大道58号附25号</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p>
    <w:p>
      <w:pPr>
        <w:spacing w:line="360" w:lineRule="auto"/>
        <w:rPr>
          <w:rFonts w:hint="default" w:ascii="Times New Roman" w:hAnsi="Times New Roman"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乙 方：</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 w:val="0"/>
          <w:bCs/>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地 址：</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 w:val="0"/>
          <w:bCs/>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根据《中华人民共和国民法典》等有关法律法规的规定，</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甲乙双方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在公平、自愿、平等的基础上，就</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2024</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年度轨道</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号线轨行区清掏冲洗、外墙清洗</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清掏服务友</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好协商，</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达成如下共识，以资信守。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第一条 服务范围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轨道</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号线轨行区清掏冲洗、外墙清洗</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服务</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第二条 服务内容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轨行区清掏冲洗：10号线一期沿线区间隧道（上下行，含辅助线、出入段线）内道床、水沟、疏散平台、疏散平台以下的隧道壁的冲洗；隧道沿线排水沟、车场轨行区排水沟、线路沿线边/仰坡截水沟及排水沟、减振浮置板道床排水暗沟、泵房暗管等排水设施的清掏、疏通、清掏物和路基及高架区段的清扫、人工转运（转运距离平均约1公里）；边坡清洁卫生及杂草清理；区间隧道排水设施清掏物通过装袋后，需10t的</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渣车二次转运至符合规定的渣场处理；减振浮置板道床排水暗沟及泵房暗管疏通；</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区间泵房清掏（含垃圾转运处置），清掏物的清扫、转运；</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区间二次转运及处置。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外墙清洗：</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座车站（</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长河</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站）外墙清洗及</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屋顶排水沟清掏</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每季度清洗一次）；变电所外墙清洗及</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屋顶排水沟清掏</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大坝寺</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主变电所、长河牵引外挂所、长</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航</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牵引外挂所</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一年暂定一次）。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10号线19座车站鲤鱼池站至王家庄站（含重庆北站南广场站）所属车站、变电所包括但不限于：污水池、生化池清掏；未接入市政管网的生化池临时抽排；集水井清掏；废水池清掏。包含但不限于揭板、清掏、疏通、检查、维护及清掏物外运至符合规定的渣场处理、弃倒及盖板复原等；每月</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中选单位</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应对沿线车站、变电所生化池、污水池气体浓度检测一次，当月末前将数据报</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项目负责人</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；所有的人员、机具、车辆运输、二次转运、污水处理等均由</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中选单位</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自行组织予以实施，施工中必须做好防毒安全措施，人员下池必须检测有毒气体、易燃易爆气体浓度，在施工中应加强通风、防毒，防止人员中毒，按时、按量、按要求完成清掏、疏通、检查等工作。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4、作业量和作业频次</w:t>
      </w:r>
    </w:p>
    <w:tbl>
      <w:tblPr>
        <w:tblStyle w:val="10"/>
        <w:tblW w:w="9558" w:type="dxa"/>
        <w:tblInd w:w="93" w:type="dxa"/>
        <w:tblLayout w:type="fixed"/>
        <w:tblCellMar>
          <w:top w:w="0" w:type="dxa"/>
          <w:left w:w="108" w:type="dxa"/>
          <w:bottom w:w="0" w:type="dxa"/>
          <w:right w:w="108" w:type="dxa"/>
        </w:tblCellMar>
      </w:tblPr>
      <w:tblGrid>
        <w:gridCol w:w="5469"/>
        <w:gridCol w:w="2385"/>
        <w:gridCol w:w="1704"/>
      </w:tblGrid>
      <w:tr>
        <w:tblPrEx>
          <w:tblCellMar>
            <w:top w:w="0" w:type="dxa"/>
            <w:left w:w="108" w:type="dxa"/>
            <w:bottom w:w="0" w:type="dxa"/>
            <w:right w:w="108" w:type="dxa"/>
          </w:tblCellMar>
        </w:tblPrEx>
        <w:trPr>
          <w:trHeight w:val="660" w:hRule="atLeast"/>
        </w:trPr>
        <w:tc>
          <w:tcPr>
            <w:tcW w:w="5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作业频次</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 xml:space="preserve">            </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次/年</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p>
        </w:tc>
      </w:tr>
      <w:tr>
        <w:tblPrEx>
          <w:tblCellMar>
            <w:top w:w="0" w:type="dxa"/>
            <w:left w:w="108" w:type="dxa"/>
            <w:bottom w:w="0" w:type="dxa"/>
            <w:right w:w="108" w:type="dxa"/>
          </w:tblCellMar>
        </w:tblPrEx>
        <w:trPr>
          <w:trHeight w:val="396" w:hRule="atLeast"/>
        </w:trPr>
        <w:tc>
          <w:tcPr>
            <w:tcW w:w="5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1.轨行区清掏冲洗</w:t>
            </w:r>
          </w:p>
        </w:tc>
      </w:tr>
      <w:tr>
        <w:tblPrEx>
          <w:tblCellMar>
            <w:top w:w="0" w:type="dxa"/>
            <w:left w:w="108" w:type="dxa"/>
            <w:bottom w:w="0" w:type="dxa"/>
            <w:right w:w="108" w:type="dxa"/>
          </w:tblCellMar>
        </w:tblPrEx>
        <w:trPr>
          <w:trHeight w:val="454"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车站、隧道排水沟清掏 （含轨行区地面垃圾清扫）</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133438.00m</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397"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轨行区垃圾清运</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100.00车（10t</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108" w:type="dxa"/>
            <w:bottom w:w="0" w:type="dxa"/>
            <w:right w:w="108" w:type="dxa"/>
          </w:tblCellMar>
        </w:tblPrEx>
        <w:trPr>
          <w:trHeight w:val="397"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548800.00㎡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108" w:type="dxa"/>
            <w:bottom w:w="0" w:type="dxa"/>
            <w:right w:w="108" w:type="dxa"/>
          </w:tblCellMar>
        </w:tblPrEx>
        <w:trPr>
          <w:trHeight w:val="90"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高架、路基段轨行区清扫</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65535.00㎡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108" w:type="dxa"/>
            <w:bottom w:w="0" w:type="dxa"/>
            <w:right w:w="108" w:type="dxa"/>
          </w:tblCellMar>
        </w:tblPrEx>
        <w:trPr>
          <w:trHeight w:val="397"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边坡清洁卫生及杂草清除</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r>
      <w:tr>
        <w:tblPrEx>
          <w:tblCellMar>
            <w:top w:w="0" w:type="dxa"/>
            <w:left w:w="108" w:type="dxa"/>
            <w:bottom w:w="0" w:type="dxa"/>
            <w:right w:w="108" w:type="dxa"/>
          </w:tblCellMar>
        </w:tblPrEx>
        <w:trPr>
          <w:trHeight w:val="397" w:hRule="atLeast"/>
        </w:trPr>
        <w:tc>
          <w:tcPr>
            <w:tcW w:w="9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2.外墙清洗</w:t>
            </w:r>
          </w:p>
        </w:tc>
      </w:tr>
      <w:tr>
        <w:tblPrEx>
          <w:tblCellMar>
            <w:top w:w="0" w:type="dxa"/>
            <w:left w:w="108" w:type="dxa"/>
            <w:bottom w:w="0" w:type="dxa"/>
            <w:right w:w="108" w:type="dxa"/>
          </w:tblCellMar>
        </w:tblPrEx>
        <w:trPr>
          <w:trHeight w:val="397"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15430.00㎡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90"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变电所外墙清</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洗（含屋顶排水沟清掏）</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1103.70㎡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CellMar>
            <w:top w:w="0" w:type="dxa"/>
            <w:left w:w="108" w:type="dxa"/>
            <w:bottom w:w="0" w:type="dxa"/>
            <w:right w:w="108" w:type="dxa"/>
          </w:tblCellMar>
        </w:tblPrEx>
        <w:trPr>
          <w:trHeight w:val="397" w:hRule="atLeast"/>
        </w:trPr>
        <w:tc>
          <w:tcPr>
            <w:tcW w:w="95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3.</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b/>
                <w:bCs/>
                <w:color w:val="000000" w:themeColor="text1"/>
                <w:sz w:val="24"/>
                <w:highlight w:val="none"/>
                <w14:textFill>
                  <w14:solidFill>
                    <w14:schemeClr w14:val="tx1"/>
                  </w14:solidFill>
                </w14:textFill>
              </w:rPr>
              <w:t>清掏</w:t>
            </w:r>
          </w:p>
        </w:tc>
      </w:tr>
      <w:tr>
        <w:tblPrEx>
          <w:tblCellMar>
            <w:top w:w="0" w:type="dxa"/>
            <w:left w:w="108" w:type="dxa"/>
            <w:bottom w:w="0" w:type="dxa"/>
            <w:right w:w="108" w:type="dxa"/>
          </w:tblCellMar>
        </w:tblPrEx>
        <w:trPr>
          <w:trHeight w:val="397"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生化池、污水井处理池、隔油池清掏</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1140.40</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397"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生化池、污水井抽排</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8.00</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34</w:t>
            </w:r>
          </w:p>
        </w:tc>
      </w:tr>
      <w:tr>
        <w:tblPrEx>
          <w:tblCellMar>
            <w:top w:w="0" w:type="dxa"/>
            <w:left w:w="108" w:type="dxa"/>
            <w:bottom w:w="0" w:type="dxa"/>
            <w:right w:w="108" w:type="dxa"/>
          </w:tblCellMar>
        </w:tblPrEx>
        <w:trPr>
          <w:trHeight w:val="397"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区间隧道集水井、废水池清掏</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328.06</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397" w:hRule="atLeast"/>
        </w:trPr>
        <w:tc>
          <w:tcPr>
            <w:tcW w:w="5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车站隧道集水井、废水池清掏</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2686.00</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bl>
    <w:p>
      <w:pPr>
        <w:pStyle w:val="2"/>
        <w:spacing w:before="0" w:after="0" w:line="440" w:lineRule="exact"/>
        <w:ind w:firstLine="560" w:firstLineChars="200"/>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备注：</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表格中作业量和作业频次均为预估，实际作业量和作业频次以现场实际需求为准。）</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第三条 服务要求</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1、乙方作业后质量应满足</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以下</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要求</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轨行区清掏冲洗要求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①车站、隧道</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排水沟清掏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要求</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：确保线路设施设备处于完好技术状态；排水沟横截沟不应有大块硬物、塑料制品，泥沙或钙化物淤积厚度不高于</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厘米，排水正常无堵塞现象。</w:t>
      </w:r>
    </w:p>
    <w:p>
      <w:pPr>
        <w:pStyle w:val="4"/>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②区间隧道泵房清掏要求</w:t>
      </w:r>
      <w:r>
        <w:rPr>
          <w:rFonts w:hint="eastAsia" w:eastAsia="方正仿宋_GBK" w:cs="Times New Roman"/>
          <w:color w:val="000000" w:themeColor="text1"/>
          <w:kern w:val="2"/>
          <w:sz w:val="28"/>
          <w:szCs w:val="28"/>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泵房内无淤泥、泥沙和大块硬物，排水正常无堵塞。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③轨行区垃圾清扫及清运要求：</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清扫后的区域无明显垃圾</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易燃物</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不得因垃圾堆积出现火情、异味等情况，影响车站的正常运营及甲方的对外形象</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清掏出的垃圾用编织袋装好封口，及时将编织袋转移至</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甲方指定的</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安全区域堆放，采取措施对编织袋进行固定，确保堆放后的编织袋不影响列车的正常运行</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④</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隧道冲洗</w:t>
      </w: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要求</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：将道床内灰尘、淤泥、石子冲洗干净，不得残留任何杂物；冲洗完成后保证隧道壁无明显污渍，列车通行时无明显扬尘。</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⑤</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物（垃圾）</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二次转运</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及处置要求：</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隧道内堆放的清掏垃圾不得超过1个月，清掏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垃圾</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采用10吨级大型渣车（由乙方自行提供）转运至专门的垃圾处置场地（由乙方自行确定），转运处置费用为包干费用。</w:t>
      </w:r>
    </w:p>
    <w:p>
      <w:pPr>
        <w:pStyle w:val="4"/>
        <w:keepNext w:val="0"/>
        <w:keepLines w:val="0"/>
        <w:pageBreakBefore w:val="0"/>
        <w:numPr>
          <w:ilvl w:val="0"/>
          <w:numId w:val="10"/>
        </w:numPr>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外墙清洗要求</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外墙的表面清洁明亮、无污垢、无浮尘、无水渍和无印迹。</w:t>
      </w:r>
    </w:p>
    <w:p>
      <w:pPr>
        <w:keepNext w:val="0"/>
        <w:keepLines w:val="0"/>
        <w:pageBreakBefore w:val="0"/>
        <w:widowControl/>
        <w:numPr>
          <w:ilvl w:val="0"/>
          <w:numId w:val="10"/>
        </w:numPr>
        <w:suppressLineNumbers w:val="0"/>
        <w:kinsoku/>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沟渠池清掏要求</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作业中必须做好防毒安全措施，人员下池必须检测沼气浓度。在作业中应加强 通风、防毒，防止人员中毒，按要求完成清掏、疏通、检查等工作。</w:t>
      </w:r>
    </w:p>
    <w:p>
      <w:pPr>
        <w:pageBreakBefore w:val="0"/>
        <w:widowControl w:val="0"/>
        <w:numPr>
          <w:ilvl w:val="0"/>
          <w:numId w:val="11"/>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按要求完成轨行区清掏冲洗、外墙清洗、</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和参与</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排水设施相关的应急抢险</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工作</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工作期间所有的作业</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人员、</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作业</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机具、车辆运输、二次转运</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污水处理</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事项均由乙方组织，作业中必须做好安全防护措施。</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3、乙方作业时应遵守甲方的相关规定，不得影响轨道交通的正常运营，工作完成后及时清理现场，确保作业现场的清洁卫生。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乙方应于作业完成后提供完善的验收报告，甲方在验收单据上签字确认；作业中必须做好安全防护措施，应按要求完成合同约定工作，作业过程中应严格按照甲方的相关规定执行，不得影响甲方的正常运营及生产秩序。</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5、乙方现场高空作业人员年龄不超50岁且持相应上岗证件。如现场工作需要验电接地，乙方工作人员需采取安全防护措施（包括绝缘鞋、绝缘手套、验电设备）且持有电工证。</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第四条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从2024年</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月1日起至2024年12月31日止</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开始时间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以</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通知为准</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本项目采取1+1模式，2024年12月31日合同到期后，经评估合格可另行签订补充协议，合同延续一年至2025年12月31日。</w:t>
      </w:r>
    </w:p>
    <w:p>
      <w:pPr>
        <w:pageBreakBefore w:val="0"/>
        <w:widowControl w:val="0"/>
        <w:numPr>
          <w:ilvl w:val="0"/>
          <w:numId w:val="12"/>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服务费用及支付方式</w:t>
      </w:r>
    </w:p>
    <w:p>
      <w:pPr>
        <w:pStyle w:val="4"/>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1、服务费用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（1）单价：</w:t>
      </w:r>
    </w:p>
    <w:tbl>
      <w:tblPr>
        <w:tblStyle w:val="10"/>
        <w:tblW w:w="9558" w:type="dxa"/>
        <w:tblInd w:w="93" w:type="dxa"/>
        <w:tblLayout w:type="fixed"/>
        <w:tblCellMar>
          <w:top w:w="0" w:type="dxa"/>
          <w:left w:w="108" w:type="dxa"/>
          <w:bottom w:w="0" w:type="dxa"/>
          <w:right w:w="108" w:type="dxa"/>
        </w:tblCellMar>
      </w:tblPr>
      <w:tblGrid>
        <w:gridCol w:w="2518"/>
        <w:gridCol w:w="2036"/>
        <w:gridCol w:w="1671"/>
        <w:gridCol w:w="1614"/>
        <w:gridCol w:w="1719"/>
      </w:tblGrid>
      <w:tr>
        <w:tblPrEx>
          <w:tblCellMar>
            <w:top w:w="0" w:type="dxa"/>
            <w:left w:w="108" w:type="dxa"/>
            <w:bottom w:w="0" w:type="dxa"/>
            <w:right w:w="108" w:type="dxa"/>
          </w:tblCellMar>
        </w:tblPrEx>
        <w:trPr>
          <w:trHeight w:val="660" w:hRule="atLeast"/>
        </w:trPr>
        <w:tc>
          <w:tcPr>
            <w:tcW w:w="2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2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不含税单</w:t>
            </w:r>
          </w:p>
          <w:p>
            <w:pPr>
              <w:widowControl/>
              <w:jc w:val="center"/>
              <w:textAlignment w:val="center"/>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t>元</w:t>
            </w: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themeColor="text1"/>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作业频次</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 xml:space="preserve">    </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次/年</w:t>
            </w:r>
            <w:r>
              <w:rPr>
                <w:rFonts w:hint="eastAsia"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w:t>
            </w:r>
            <w:r>
              <w:rPr>
                <w:rFonts w:hint="default"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t>总</w:t>
            </w:r>
          </w:p>
          <w:p>
            <w:pPr>
              <w:widowControl/>
              <w:jc w:val="center"/>
              <w:textAlignment w:val="center"/>
              <w:rPr>
                <w:rFonts w:hint="default" w:ascii="Times New Roman" w:hAnsi="Times New Roman" w:eastAsia="方正仿宋_GBK"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元</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w:t>
            </w:r>
          </w:p>
        </w:tc>
      </w:tr>
      <w:tr>
        <w:tblPrEx>
          <w:tblCellMar>
            <w:top w:w="0" w:type="dxa"/>
            <w:left w:w="108" w:type="dxa"/>
            <w:bottom w:w="0" w:type="dxa"/>
            <w:right w:w="108" w:type="dxa"/>
          </w:tblCellMar>
        </w:tblPrEx>
        <w:trPr>
          <w:trHeight w:val="312" w:hRule="atLeast"/>
        </w:trPr>
        <w:tc>
          <w:tcPr>
            <w:tcW w:w="2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1.轨行区清掏冲洗</w:t>
            </w:r>
          </w:p>
        </w:tc>
      </w:tr>
      <w:tr>
        <w:tblPrEx>
          <w:tblCellMar>
            <w:top w:w="0" w:type="dxa"/>
            <w:left w:w="108" w:type="dxa"/>
            <w:bottom w:w="0" w:type="dxa"/>
            <w:right w:w="108" w:type="dxa"/>
          </w:tblCellMar>
        </w:tblPrEx>
        <w:trPr>
          <w:trHeight w:val="894"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车站、隧道排水沟清掏 （含轨行区地面垃圾清扫）</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133438.00m</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轨行区垃圾清运</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100.00车（10t</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548800.00㎡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高架、路基段轨行区清扫</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65535.00㎡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边坡清洁卫生及杂草清除</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2.外墙清洗</w:t>
            </w: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车站外墙清洗（含屋顶排水沟清掏）</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15430.00㎡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变电所外墙清洗（含屋顶排水沟清掏）</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1103.70㎡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3.</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b/>
                <w:bCs/>
                <w:color w:val="000000" w:themeColor="text1"/>
                <w:sz w:val="24"/>
                <w:highlight w:val="none"/>
                <w14:textFill>
                  <w14:solidFill>
                    <w14:schemeClr w14:val="tx1"/>
                  </w14:solidFill>
                </w14:textFill>
              </w:rPr>
              <w:t>清掏</w:t>
            </w: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生化池、污水井处理池、隔油池清掏</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1140.40</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生化池、污水井抽排</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8.00</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34</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区间隧道集水井、废水池清掏</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328.06</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397" w:hRule="atLeast"/>
        </w:trPr>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车站隧道集水井、废水池清掏</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2686.00</w:t>
            </w:r>
            <w:r>
              <w:rPr>
                <w:rFonts w:hint="default" w:ascii="Times New Roman" w:hAnsi="Times New Roman" w:eastAsia="宋体"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bl>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（2）暂定合同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不含税总价</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（3）暂定合同含</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，（大写：人民币</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增值税专用发票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税率为</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备注：①表格中作业量和作业频次均为预估，实际作业量和作业频次以现场实际需求为准。②表格中不含税单价须保留至小数点后4位；表格中单项不含税总价=作业量*单项不含税单价*作业频次，且须保留至小数点后2位；表格下方的暂定不含税总价为表格中单项不含税总价的累计数值，且须保留至小数点后2位；表格下方的暂定含税总价=暂定不含税总价*（1+税率），且须保留至小数点后2位；小数点后无数字时填写0。】</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2、</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付款方式：</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按季考核，按季支付。</w:t>
      </w: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季度付款金额=（各项服务不含税单价×季度实际作业量×季度实际作业频次）*（1+税率）-季度考核费用</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3、结算资料：</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甲方根据费用标准</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乙方现场服务质量，与乙方核对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《供方服务月度评估报告》《实际作业量》《服务质量考核表》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等资料。合同执行中，</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相关</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考核、记录单</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事件处理书经双方代表签字认可</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均可</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作为结算</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资料</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本</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项目</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采用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综合包干价</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包含但不限于人工费、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社会保险及商业保险费、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材料费、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设备</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费、企业管理费、利润、风险费用、检测费、措施费、安全文明作业费、应急作业补偿费、水电费、材料涨价、垃圾清运费</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弃渣费、税</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、不可预计未列出的风险等所有费用</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除此费用外，</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无须再向</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或任何第三方支付其他任何款项或费用。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甲方在每月5日前完成上月服务质量考核，并与乙方及时核对《供方服务月度评估报告》《实际作业量》《服务质量考核表》等相关结算资料并签字确认。乙方向甲方开具等额增值税专用发票，在收到发票之后20个工作日内，甲方向乙方支付费用。若乙方未提供增值税专用发票，甲方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color w:val="000000" w:themeColor="text1"/>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第六条 账户信息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公司名称：</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社会信用代码：</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民生银行南坪支行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公司地址及电话：</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、甲方可将本合同项下款项支付至乙方以下银行账户，乙方应对该收款账户的真实性、准确性及合法性负责：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公司名称：</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社会信用代码：</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公司地址及电话：</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乙方如需变更该收款账户的，必须提前七个工作日书面通知甲方，否则产生的一切责任由乙方自行承担。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 xml:space="preserve">第七条  </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履约担保</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履约保证金</w:t>
      </w:r>
      <w:r>
        <w:rPr>
          <w:rFonts w:hint="default" w:ascii="Times New Roman" w:hAnsi="Times New Roman" w:eastAsia="方正仿宋_GBK" w:cs="Times New Roman"/>
          <w:b w:val="0"/>
          <w:bCs w:val="0"/>
          <w:color w:val="000000" w:themeColor="text1"/>
          <w:kern w:val="2"/>
          <w:sz w:val="28"/>
          <w:szCs w:val="28"/>
          <w:highlight w:val="none"/>
          <w:u w:val="single"/>
          <w:lang w:val="en-US" w:eastAsia="zh-CN" w:bidi="ar-SA"/>
          <w14:textFill>
            <w14:solidFill>
              <w14:schemeClr w14:val="tx1"/>
            </w14:solidFill>
          </w14:textFill>
        </w:rPr>
        <w:t>￥50000</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元（大写：人民币伍万元整）。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乙方的比选保证金直接转为履约保证金。甲方收到款项后开具等额的收款收据给乙方，该履约保证金由甲方无息保管。</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乙方逾期未支付的，视为乙方已以实际行为表明不再向甲方提供本合同项下的全部服务，甲方有权解除合同并将本合同项下全部服务发包给任何第三方，并且乙方应赔偿因此而给甲方造成的一切损失。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乙方在服务过程中因违约产生违约金或给甲方造成损失的，甲方有权从履约保证金中扣除违约金及损失赔偿金，履约保证金不足以扣除的，</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3、</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履约保证金在合同期满，</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且经甲方确认乙方无违约欠款或其他应付未付款项，甲方收到乙方的履约保证金缴纳收据原件后15个工作日内无息退还。</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第八条 甲方权利义务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1、如因轨道方原因</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导致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无法开展现场作业，甲方不承担任何责任，由乙方自行承担前期准备工作的一切费用</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2、甲方有权要求乙方按</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现场作业计划时间段</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进行作业</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甲方有权督促乙方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保质保量</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完成轨行区清掏冲洗、外墙清洗、</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清掏等工作。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3、甲方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根据《</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服务质量检查评分表</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考核</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表</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》对乙方提供的服务质量进行检查评分和</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双重考核</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，由双方确认人签字确认。</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、乙方未满足甲方规定的作业要求，经甲方提出整改，乙方拒绝整改或整改后乙方仍未达到作业要求时甲方有权终止协议不予支付相关费用。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、甲方应当按合同要求支付约定的费用。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、甲方应将本方的相关规章制度告知乙方，有权要求乙方严格遵守，并不定时对乙方外墙清洗施工的工作人员进行安全、质量监督。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、每个项目甲方应选派一名主管环境的工作人员协助乙方开展工作，特别是做好甲方内部各部门之间的协调配合，监督乙方安全区域围挡工作；特殊材质遮挡、保护工作，草坪、绿化植物遮挡、保护工作。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、如果甲方因故欲更改、取消已商定的服务时间，甲方应提前24小时通知，并另行商定服务时间。</w:t>
      </w:r>
    </w:p>
    <w:p>
      <w:pPr>
        <w:spacing w:line="560" w:lineRule="exact"/>
        <w:ind w:firstLine="560" w:firstLineChars="200"/>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法律法规规定的其他权利与义务。</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第九条 乙方权利义务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1、乙方有权按合同要求收取本协议约定的费用。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3、乙方的清洗程序：根据现场情况，选择清洗器械、清洁剂种类、浓度、清洁方法；保护人员、设备</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和其他物品</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的安全。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乙方应使用国家有关部门批准的化学清洁药剂，不得使用假冒或“三无”产品，并随时接受甲方的监督。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、乙方在工作中，负责承担合同规定的作业内容，所有工作人员、机具、材料、车辆运输、二次转运等均由乙方自行组织予以实施。</w:t>
      </w:r>
    </w:p>
    <w:p>
      <w:pPr>
        <w:spacing w:line="560" w:lineRule="exact"/>
        <w:ind w:firstLine="560"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根据轨道方作业计划，</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提前做好作业准备，</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按时达到现场开展作业且保质保量完成。乙方不得迟到、早退，且现场作业人员连续作业时长不超过8个小时。</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、乙方在作业中必须接受甲方的检查</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乙方不得与轨道站方工作人员发生争吵、打架斗殴等恶意事件</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、乙方在作业中必须做好周边环境的清洁工作，确保无污物遗留，作业完成后及时清理现场，确保作业现场的清洁卫生。</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为甲方进行外墙清洗服务之前应将工作人员的身份证、高空作业证件、参保信息等资料交付给甲方核对。乙方隐瞒、伪造相关资料信息，一经发现，甲方有权解除合同，乙方因隐瞒、伪造相关资料信息导致乙方作业人员、第三方人身损害、财产损失的，由乙方承担全部赔偿责任，给甲方造成损失的，乙方应赔偿甲方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、乙方在本合同服务期限内，应当免费为甲方相关人员组织高空作业培训，甲方应遵照培训内容予以必要的配合，使服务顺利实施。</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将对其在本协议项下提供的现场操作（包括清洁剂和设施、设备、工具使用）、可能造成的人身伤亡或财产的损失，投保责任保险。保险不足赔偿部分或乙方未投保的，由乙方对相关损失进行赔偿，甲方无需承担任何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、法律法规规定的其他权利与义务。</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w:t>
      </w: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十</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条 违约责任</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1、如发生因乙方本身及其所属员工失职、乙方劳务用工纠纷、乙方劳动争议、群体罢工等相关问题而造成重大事件或被新闻媒体曝光而造成较大社会负面影响事件的以及给甲方引起纠纷的，经甲方查证为乙方责任的</w:t>
      </w:r>
      <w:r>
        <w:rPr>
          <w:rFonts w:hint="eastAsia"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乙方应向甲方支付违约金1000—5000元/件，特别严重情形，甲方有权解除合同并向乙方要求支付违约金为</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合同总价的20%。</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2、乙方发生重大安全责任事故，造成重大人员伤亡或重大财产损失的，乙方应负责处理并赔偿，并向甲方支付违约金5000元/件，特别严重情形，甲方有权解除合同。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3、乙方违反劳动法等国家法律法规，引起员工（个人或群体）上访事件的，乙方应向甲方支付违约金1000—5000元/件；拒不整改或整改不到位的，甲方有权解除合同。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4、乙方对有关涉及安全操作的工作，须提交工作计划明确安全保障措施，甲方检查发现乙方未按计划做好安全保障措施的，或者乙方因安全措施不到位发生安全事故的，乙方无条件接受甲方按1000—5000元/件处罚，乙方损失自负并赔偿甲方损失。</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5、若乙方未按本合同约定全面履行义务或履行义务不符合本合同约定或甲方要求，乙方向甲方支付1000-5000元违约金，同时，甲方有权要求乙方限期进行整改或解除本合同，对甲方造成的损失，乙方应承担赔偿责任。但本合同另有约定除外。</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6、乙方不得擅自将本合同涉及全部或部分服务委托、转包、分包或发包给第三方，一经发现，甲方有权解除本合同，没收履约保证金，并要求乙方支付20000元违约金，给甲方造成损失的，还应承担赔偿责任。</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7、因乙方违约产生的违约金、赔偿金等，甲方有权从应付款项及履约保证金中予以扣除，不足以抵扣的，甲方有权就不足部分向乙方追偿。</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eastAsia="zh-CN"/>
          <w14:textFill>
            <w14:solidFill>
              <w14:schemeClr w14:val="tx1"/>
            </w14:solidFill>
          </w14:textFill>
        </w:rPr>
        <w:t>一</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 xml:space="preserve">条 </w:t>
      </w: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合同解除与终止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1、因不可抗力致使不能实现合同目的，一方可在书面通知对方后，在合理期限内且不损害另一方利益下解除本合同。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2、乙方提供的服务不能满足甲方正常需求的，甲方可解除本合同且不视为违约。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3、乙方违反本合同约定给甲方造成损失，或虽暂未造成损失，经甲方催告拒不改正的，甲方可解除本合同且不视为违约。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4、甲乙双方任何一方不得提前终止本合同，如提前终止本合同，违约方应按照本合同含税总价的</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20%</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向守约方支付违约金。</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二</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不可抗力</w:t>
      </w:r>
    </w:p>
    <w:p>
      <w:pPr>
        <w:pageBreakBefore w:val="0"/>
        <w:widowControl w:val="0"/>
        <w:kinsoku/>
        <w:wordWrap/>
        <w:overflowPunct/>
        <w:topLinePunct w:val="0"/>
        <w:autoSpaceDE/>
        <w:autoSpaceDN/>
        <w:bidi w:val="0"/>
        <w:adjustRightInd/>
        <w:snapToGrid/>
        <w:spacing w:line="560" w:lineRule="exact"/>
        <w:ind w:left="1"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 在本合同履行过程中，如出现不可抗力致使本合同无法继续履行时，甲、乙双方根据具体情况各自承担相应责任，</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其他事宜</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双方另行协商解决。如果不可抗力事件不影响合同继续履行的，双方应继续履行本合同。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不可抗力事件，指双方不能预见、不能防范及不能避免的自然灾害（包括但不限于地震、地陷、海啸、台风、暴雨、水灾、疫情等）及非双方原因造成的意外事件（包括但不限于火灾、辐射、战争、动乱、骚乱、</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群体性事件</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、恐怖袭击、政府禁令、公共卫生事件等）。</w:t>
      </w:r>
    </w:p>
    <w:p>
      <w:pPr>
        <w:spacing w:line="560" w:lineRule="exact"/>
        <w:ind w:firstLine="562" w:firstLineChars="200"/>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三</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反商业贿赂</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（一）基本定义</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1.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2.其中不正当利益是指：乙方或乙方工作人员以乙方或个人名义向甲方工作人员或其指定关系人直接或间接赠送礼金、物品、有价证券或采取其他变相手段提供不正当利益，包括但不限于：1）</w:t>
      </w:r>
      <w:r>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促消费</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、宣传费、赞助费、科研费、劳务费、咨询费、佣金或报销各种费用、含有金额的会员卡、代币卡（</w:t>
      </w:r>
      <w:r>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券</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）、旅游、考察、房屋装修等；2</w:t>
      </w:r>
      <w:r>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（二）协助义务与违约责任</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1.乙方理解并同意，甲方任何工作人员、部门不得以任何名义向乙方或乙方工作人员索取或收受商业贿赂；乙方或乙方工作人员不得以任何名义向甲方工作人员或其指定关系人进行商业贿赂。</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default" w:ascii="Times New Roman" w:hAnsi="Times New Roman" w:eastAsia="方正仿宋_GBK" w:cs="Times New Roman"/>
          <w:color w:val="000000" w:themeColor="text1"/>
          <w:kern w:val="2"/>
          <w:sz w:val="28"/>
          <w:szCs w:val="28"/>
          <w:highlight w:val="none"/>
          <w:u w:val="none"/>
          <w14:textFill>
            <w14:solidFill>
              <w14:schemeClr w14:val="tx1"/>
            </w14:solidFill>
          </w14:textFill>
        </w:rPr>
        <w:t>5万元</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违约金或者支付所涉合同金额的</w:t>
      </w:r>
      <w:r>
        <w:rPr>
          <w:rFonts w:hint="default" w:ascii="Times New Roman" w:hAnsi="Times New Roman" w:eastAsia="方正仿宋_GBK" w:cs="Times New Roman"/>
          <w:color w:val="000000" w:themeColor="text1"/>
          <w:kern w:val="2"/>
          <w:sz w:val="28"/>
          <w:szCs w:val="28"/>
          <w:highlight w:val="none"/>
          <w:u w:val="none"/>
          <w14:textFill>
            <w14:solidFill>
              <w14:schemeClr w14:val="tx1"/>
            </w14:solidFill>
          </w14:textFill>
        </w:rPr>
        <w:t>20%</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作为违约金，以两者中较高者为准。同时，乙方应于甲方发现违约行为之日起5个工作日内支付违约金，如未及时支付，甲方有权从合同款项中直接扣除。</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spacing w:line="560" w:lineRule="exact"/>
        <w:ind w:firstLine="562" w:firstLineChars="200"/>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四</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其他事项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（一）甲乙双方可对本合同的条款进行补充，以书面形式签订补充协议。补充协议与本合同具有同等法律效力。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（二）本合同之附件均为合同有效组成部分，具有同等效力。</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（三）甲乙</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双方在履行合同中产生争议，应协商解决，协</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drawing>
          <wp:anchor distT="0" distB="0" distL="114300" distR="114300" simplePos="0" relativeHeight="251668480"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3" name="Picture 15577"/>
            <wp:cNvGraphicFramePr/>
            <a:graphic xmlns:a="http://schemas.openxmlformats.org/drawingml/2006/main">
              <a:graphicData uri="http://schemas.openxmlformats.org/drawingml/2006/picture">
                <pic:pic xmlns:pic="http://schemas.openxmlformats.org/drawingml/2006/picture">
                  <pic:nvPicPr>
                    <pic:cNvPr id="13" name="Picture 15577"/>
                    <pic:cNvPicPr/>
                  </pic:nvPicPr>
                  <pic:blipFill>
                    <a:blip r:embed="rId11"/>
                    <a:stretch>
                      <a:fillRect/>
                    </a:stretch>
                  </pic:blipFill>
                  <pic:spPr>
                    <a:xfrm>
                      <a:off x="0" y="0"/>
                      <a:ext cx="8890" cy="4445"/>
                    </a:xfrm>
                    <a:prstGeom prst="rect">
                      <a:avLst/>
                    </a:prstGeom>
                    <a:noFill/>
                    <a:ln>
                      <a:noFill/>
                    </a:ln>
                  </pic:spPr>
                </pic:pic>
              </a:graphicData>
            </a:graphic>
          </wp:anchor>
        </w:drawing>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达</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甲方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联系人</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联系地址：</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乙方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联系人：</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联系地址：</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按照该地址送达的，视为当事人签收；受送达人拒收的，不影响送达效力。一方变更地址的应当提前三日书面通知对方，否则按照前述地址送达的视为有效送达。</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（四）本合同</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一式</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陆</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份，甲方执</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伍</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份，乙方执</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份，均具同等法律效力。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（五）本合同经甲乙双方签字并加盖合同专用章生效。</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（六）</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附件</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：外委单位安全管理协议</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实际作业量明细</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：服务质量检查评分表</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附件4：服务质量检查考核表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站点</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作业清单</w:t>
      </w:r>
    </w:p>
    <w:p>
      <w:pPr>
        <w:rPr>
          <w:rFonts w:hint="default" w:ascii="Times New Roman" w:hAnsi="Times New Roman" w:cs="Times New Roman"/>
          <w:color w:val="000000" w:themeColor="text1"/>
          <w:highlight w:val="none"/>
          <w:lang w:val="en-US" w:eastAsia="zh-CN"/>
          <w14:textFill>
            <w14:solidFill>
              <w14:schemeClr w14:val="tx1"/>
            </w14:solidFill>
          </w14:textFill>
        </w:rPr>
      </w:pPr>
    </w:p>
    <w:p>
      <w:pPr>
        <w:rPr>
          <w:rFonts w:hint="default" w:ascii="Times New Roman" w:hAnsi="Times New Roman" w:cs="Times New Roman"/>
          <w:color w:val="000000" w:themeColor="text1"/>
          <w:highlight w:val="none"/>
          <w:lang w:val="en-US" w:eastAsia="zh-CN"/>
          <w14:textFill>
            <w14:solidFill>
              <w14:schemeClr w14:val="tx1"/>
            </w14:solidFill>
          </w14:textFill>
        </w:rPr>
      </w:pPr>
    </w:p>
    <w:p>
      <w:pPr>
        <w:pStyle w:val="2"/>
        <w:rPr>
          <w:rFonts w:hint="default" w:ascii="Times New Roman" w:hAnsi="Times New Roman" w:eastAsia="方正仿宋_GBK" w:cs="Times New Roman"/>
          <w:b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color w:val="000000" w:themeColor="text1"/>
          <w:sz w:val="28"/>
          <w:szCs w:val="28"/>
          <w:highlight w:val="none"/>
          <w14:textFill>
            <w14:solidFill>
              <w14:schemeClr w14:val="tx1"/>
            </w14:solidFill>
          </w14:textFill>
        </w:rPr>
        <w:t>（合同签署页）</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甲 方（盖章）：                   </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法定代表人或代理人：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经办人：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联系电话：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签署时间：     年    月    日           </w:t>
      </w:r>
    </w:p>
    <w:p>
      <w:pPr>
        <w:pStyle w:val="7"/>
        <w:rPr>
          <w:rFonts w:hint="default" w:ascii="Times New Roman" w:hAnsi="Times New Roman" w:cs="Times New Roman"/>
          <w:color w:val="000000" w:themeColor="text1"/>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 方（盖章）：</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法定代表人或代理人：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经办人：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联系电话：</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签署时间：    年    月    日</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spacing w:line="397" w:lineRule="exac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附件 </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spacing w:line="560" w:lineRule="exact"/>
        <w:jc w:val="center"/>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外委单位安全管理协议</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p>
    <w:p>
      <w:pPr>
        <w:pStyle w:val="22"/>
        <w:spacing w:before="156" w:beforeLines="50" w:line="560" w:lineRule="exact"/>
        <w:ind w:firstLine="0" w:firstLineChars="0"/>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甲方</w:t>
      </w:r>
      <w:r>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重庆通邑智慧城市运营管理有限公司</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kern w:val="2"/>
          <w:sz w:val="28"/>
          <w:szCs w:val="28"/>
          <w:highlight w:val="none"/>
          <w:u w:val="singl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乙方</w:t>
      </w:r>
      <w:r>
        <w:rPr>
          <w:rFonts w:hint="eastAsia" w:ascii="Times New Roman" w:hAnsi="Times New Roman" w:eastAsia="方正仿宋_GBK" w:cs="Times New Roman"/>
          <w:color w:val="000000" w:themeColor="text1"/>
          <w:kern w:val="2"/>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28"/>
          <w:szCs w:val="28"/>
          <w:highlight w:val="none"/>
          <w:u w:val="single"/>
          <w:lang w:val="en-US" w:eastAsia="zh-CN"/>
          <w14:textFill>
            <w14:solidFill>
              <w14:schemeClr w14:val="tx1"/>
            </w14:solidFill>
          </w14:textFill>
        </w:rPr>
        <w:t xml:space="preserve">                               </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为预防和减少各类安全风险及隐患，搞好项目的安全管理工作，根据《中华人民共和国民法典》《中华人民共和国安全生产法》，甲乙双方经过协商达成以下协议。</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一、甲方权利与义务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（一）发现违章违纪行为和安全隐患的，甲方有权责令乙方停工并要求限时整改，所造成的一切损失由乙方承担。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（二）对在现场安全工作中不称职的承包人项目经理、安全管理负责人，有权要求更换。</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（三）协助乙方办理进入甲方管理区域的相关手续，并对乙方进行安全交底。</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（四）协助乙方对其作业区域的安全、环境、防火管控措施进行监督检查。</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二、乙方权利与义务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（一）乙方对作业人员的资质进行审查 ，确保作业人员具备相关资质。根据甲方的要求编制作业方案，完善作业手续。</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4144;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（四）乙方进入作业区域前 ，应主动履行登记核验手续，因未履行登记手续带来的一切后果和责任由乙方全部承担。同时，乙方作业人员进入围挡（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隔离设施）后，应保持围挡（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隔离设施）处于锁闭良好状态。作业结束后，乙方作业人员须确认围挡（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隔离设施）处于锁闭良好状态，并主动履行销记手续，因未履行销记手续带来的一切后果和责任由乙方全部承担。</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（五）严格遵守甲方的相关的安全管理规定，承担因违反相关规定造成的损失和罚款。</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（九）自觉接受甲方人员的安全监督，作业期间如发生影响甲方运营和生产安全的情况，需立即报告甲方，并积极采取应急救援措施。</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（十一）负责乙方作业区域内的消防安全管理工作，并按照相关法律法规配备消防安全器材。</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（十二）因乙方作业引起的客伤、投诉、舆情和信访等问题，由乙方及时有效进行处理，并承担全部责任。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（十三）由甲方供电的乙方所属设备，供电设备、线路以及用电安全等，由乙方自行负责，并保证安全用电。</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（十五）乙方在任何时候都应采取各种合理的预防措施，防止其员工发生任何违法、违禁、暴力或妨碍治安的行为。</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（十八）乙方必须按照本项目特点，组织制定安全事故应急救援预案；如果发生安全事故，应按照《国务院关于特大安全事故行政责任追究的规定》</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以及其他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有关规定，及时上报有关部门，并坚持“三不放过”的原则，严肃处理相关责任人。</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（十九）乙方必须积极主动配合甲方的各项防疫规定，严格遵守甲方《防疫防控手册》的各项要求。</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三、违约责任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四、附则</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（一）本合同份数与主合同份数一致。</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（二）本协议自甲乙双方签字盖章之日起生效。</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（三）安全管理交底书作为该协议附件具有同等法律效力。</w:t>
      </w: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此页无正文</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2"/>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p>
    <w:p>
      <w:pPr>
        <w:rPr>
          <w:rFonts w:hint="default" w:ascii="Times New Roman" w:hAnsi="Times New Roman" w:cs="Times New Roman"/>
          <w:color w:val="000000" w:themeColor="text1"/>
          <w:highlight w:val="none"/>
          <w:lang w:eastAsia="zh-CN"/>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重庆通邑智慧城市运营管理有限公司</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经办人：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电话：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年　　月　　日                  </w:t>
      </w:r>
    </w:p>
    <w:p>
      <w:pPr>
        <w:snapToGrid w:val="0"/>
        <w:spacing w:line="560" w:lineRule="exact"/>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经办人：</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电话：</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年　　月　　日                  </w:t>
      </w:r>
    </w:p>
    <w:p>
      <w:pPr>
        <w:snapToGrid w:val="0"/>
        <w:spacing w:line="560" w:lineRule="exact"/>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br w:type="page"/>
      </w:r>
    </w:p>
    <w:p>
      <w:pPr>
        <w:pStyle w:val="22"/>
        <w:spacing w:line="560" w:lineRule="exact"/>
        <w:ind w:firstLine="0" w:firstLineChars="0"/>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附件</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22"/>
        <w:spacing w:line="560" w:lineRule="exact"/>
        <w:ind w:firstLine="0" w:firstLineChars="0"/>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color w:val="000000" w:themeColor="text1"/>
          <w:sz w:val="32"/>
          <w:szCs w:val="32"/>
          <w:highlight w:val="none"/>
          <w14:textFill>
            <w14:solidFill>
              <w14:schemeClr w14:val="tx1"/>
            </w14:solidFill>
          </w14:textFill>
        </w:rPr>
        <w:t>外委单位安全交底书</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85"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项目名称</w:t>
            </w:r>
          </w:p>
        </w:tc>
        <w:tc>
          <w:tcPr>
            <w:tcW w:w="6206" w:type="dxa"/>
            <w:vAlign w:val="top"/>
          </w:tcPr>
          <w:p>
            <w:pPr>
              <w:widowControl/>
              <w:spacing w:line="560" w:lineRule="exact"/>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乙方单位名称</w:t>
            </w:r>
          </w:p>
        </w:tc>
        <w:tc>
          <w:tcPr>
            <w:tcW w:w="6206"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甲方责任业务部门</w:t>
            </w:r>
          </w:p>
        </w:tc>
        <w:tc>
          <w:tcPr>
            <w:tcW w:w="6206"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91" w:type="dxa"/>
            <w:gridSpan w:val="2"/>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安全交底内容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9291" w:type="dxa"/>
            <w:gridSpan w:val="2"/>
          </w:tcPr>
          <w:p>
            <w:pPr>
              <w:pStyle w:val="22"/>
              <w:spacing w:line="560" w:lineRule="exact"/>
              <w:ind w:hanging="18" w:firstLineChars="0"/>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 xml:space="preserve">重庆通邑智慧城市运营管理有限公司 </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（甲方）</w:t>
            </w: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righ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乙方（盖章）</w:t>
            </w: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righ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年    月   日</w:t>
            </w:r>
          </w:p>
        </w:tc>
      </w:tr>
    </w:tbl>
    <w:p>
      <w:pPr>
        <w:pStyle w:val="9"/>
        <w:spacing w:beforeAutospacing="0" w:afterAutospacing="0"/>
        <w:jc w:val="cente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footerReference r:id="rId7" w:type="default"/>
          <w:pgSz w:w="11906" w:h="16838"/>
          <w:pgMar w:top="1440" w:right="1800" w:bottom="1440" w:left="1800" w:header="851" w:footer="992" w:gutter="0"/>
          <w:pgNumType w:fmt="decimal"/>
          <w:cols w:space="425" w:num="1"/>
          <w:docGrid w:type="lines" w:linePitch="312" w:charSpace="0"/>
        </w:sectPr>
      </w:pPr>
    </w:p>
    <w:p>
      <w:pPr>
        <w:spacing w:line="397" w:lineRule="exac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p>
    <w:p>
      <w:pPr>
        <w:spacing w:line="397" w:lineRule="exact"/>
        <w:ind w:firstLine="620"/>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实际作业量明细</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表</w:t>
      </w:r>
    </w:p>
    <w:tbl>
      <w:tblPr>
        <w:tblStyle w:val="10"/>
        <w:tblpPr w:leftFromText="180" w:rightFromText="180" w:vertAnchor="text" w:horzAnchor="page" w:tblpX="1364" w:tblpY="131"/>
        <w:tblOverlap w:val="never"/>
        <w:tblW w:w="9705" w:type="dxa"/>
        <w:tblInd w:w="0" w:type="dxa"/>
        <w:tblLayout w:type="fixed"/>
        <w:tblCellMar>
          <w:top w:w="0" w:type="dxa"/>
          <w:left w:w="108" w:type="dxa"/>
          <w:bottom w:w="0" w:type="dxa"/>
          <w:right w:w="108" w:type="dxa"/>
        </w:tblCellMar>
      </w:tblPr>
      <w:tblGrid>
        <w:gridCol w:w="3116"/>
        <w:gridCol w:w="967"/>
        <w:gridCol w:w="1677"/>
        <w:gridCol w:w="1845"/>
        <w:gridCol w:w="2100"/>
      </w:tblGrid>
      <w:tr>
        <w:tblPrEx>
          <w:tblCellMar>
            <w:top w:w="0" w:type="dxa"/>
            <w:left w:w="108" w:type="dxa"/>
            <w:bottom w:w="0" w:type="dxa"/>
            <w:right w:w="108" w:type="dxa"/>
          </w:tblCellMar>
        </w:tblPrEx>
        <w:trPr>
          <w:trHeight w:val="624" w:hRule="atLeast"/>
        </w:trPr>
        <w:tc>
          <w:tcPr>
            <w:tcW w:w="3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服务内容</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t>实际</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作业量</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w:t>
            </w:r>
            <w:r>
              <w:rPr>
                <w:rFonts w:hint="default" w:ascii="Times New Roman" w:hAnsi="Times New Roman" w:eastAsia="方正仿宋_GBK" w:cs="Times New Roman"/>
                <w:b/>
                <w:bCs/>
                <w:color w:val="000000" w:themeColor="text1"/>
                <w:kern w:val="0"/>
                <w:sz w:val="24"/>
                <w:highlight w:val="none"/>
                <w:lang w:val="en-US" w:eastAsia="zh-CN" w:bidi="ar"/>
                <w14:textFill>
                  <w14:solidFill>
                    <w14:schemeClr w14:val="tx1"/>
                  </w14:solidFill>
                </w14:textFill>
              </w:rPr>
              <w:t>单价（元）</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实际</w:t>
            </w: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作业频次</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不含税总价</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w:t>
            </w:r>
            <w:r>
              <w:rPr>
                <w:rFonts w:hint="default" w:ascii="Times New Roman" w:hAnsi="Times New Roman" w:eastAsia="方正仿宋_GBK" w:cs="Times New Roman"/>
                <w:b/>
                <w:bCs/>
                <w:color w:val="000000" w:themeColor="text1"/>
                <w:kern w:val="0"/>
                <w:sz w:val="24"/>
                <w:highlight w:val="none"/>
                <w:lang w:eastAsia="zh-CN" w:bidi="ar"/>
                <w14:textFill>
                  <w14:solidFill>
                    <w14:schemeClr w14:val="tx1"/>
                  </w14:solidFill>
                </w14:textFill>
              </w:rPr>
              <w:t>元</w:t>
            </w: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w:t>
            </w:r>
          </w:p>
        </w:tc>
      </w:tr>
      <w:tr>
        <w:tblPrEx>
          <w:tblCellMar>
            <w:top w:w="0" w:type="dxa"/>
            <w:left w:w="108" w:type="dxa"/>
            <w:bottom w:w="0" w:type="dxa"/>
            <w:right w:w="108" w:type="dxa"/>
          </w:tblCellMar>
        </w:tblPrEx>
        <w:trPr>
          <w:trHeight w:val="312" w:hRule="atLeast"/>
        </w:trPr>
        <w:tc>
          <w:tcPr>
            <w:tcW w:w="3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09"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1.轨行区清掏冲洗</w:t>
            </w:r>
          </w:p>
        </w:tc>
      </w:tr>
      <w:tr>
        <w:tblPrEx>
          <w:tblCellMar>
            <w:top w:w="0" w:type="dxa"/>
            <w:left w:w="108" w:type="dxa"/>
            <w:bottom w:w="0" w:type="dxa"/>
            <w:right w:w="108" w:type="dxa"/>
          </w:tblCellMar>
        </w:tblPrEx>
        <w:trPr>
          <w:trHeight w:val="283"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车站、隧道排水沟清掏 （含轨行区地面垃圾清扫）</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轨行区垃圾清运</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隧道冲洗</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高架、路基段轨行区清扫</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exac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边坡清洁卫生及杂草清除</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54"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2.外墙清洗</w:t>
            </w:r>
          </w:p>
        </w:tc>
      </w:tr>
      <w:tr>
        <w:tblPrEx>
          <w:tblCellMar>
            <w:top w:w="0" w:type="dxa"/>
            <w:left w:w="108" w:type="dxa"/>
            <w:bottom w:w="0" w:type="dxa"/>
            <w:right w:w="108" w:type="dxa"/>
          </w:tblCellMar>
        </w:tblPrEx>
        <w:trPr>
          <w:trHeight w:val="479"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479"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23"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3.</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b/>
                <w:bCs/>
                <w:color w:val="000000" w:themeColor="text1"/>
                <w:sz w:val="24"/>
                <w:highlight w:val="none"/>
                <w14:textFill>
                  <w14:solidFill>
                    <w14:schemeClr w14:val="tx1"/>
                  </w14:solidFill>
                </w14:textFill>
              </w:rPr>
              <w:t>清掏</w:t>
            </w:r>
          </w:p>
        </w:tc>
      </w:tr>
      <w:tr>
        <w:tblPrEx>
          <w:tblCellMar>
            <w:top w:w="0" w:type="dxa"/>
            <w:left w:w="108" w:type="dxa"/>
            <w:bottom w:w="0" w:type="dxa"/>
            <w:right w:w="108" w:type="dxa"/>
          </w:tblCellMar>
        </w:tblPrEx>
        <w:trPr>
          <w:trHeight w:val="434"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生化池、污水井处理池、隔油池清掏</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生化池、污水井抽排</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区间隧道集水井、废水池清掏</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车站隧道集水井、废水池清掏</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keepLines/>
              <w:pageBreakBefore w:val="0"/>
              <w:widowControl w:val="0"/>
              <w:kinsoku/>
              <w:wordWrap/>
              <w:overflowPunct/>
              <w:topLinePunct w:val="0"/>
              <w:autoSpaceDE/>
              <w:autoSpaceDN/>
              <w:bidi w:val="0"/>
              <w:adjustRightInd/>
              <w:snapToGrid/>
              <w:spacing w:before="0" w:after="0" w:line="400" w:lineRule="exact"/>
              <w:textAlignment w:val="auto"/>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t>合计：</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不含税总价：</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 xml:space="preserve"> 元；含税总价：</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 xml:space="preserve"> 元，（大写：人民币</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元），</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增值税专用发票</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税率</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备注：不含税单价须保留至小数点后4位，不含税总价和含税总价须保留至小数点后2位，小数点后无数字时填写0。）</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headerReference r:id="rId8" w:type="default"/>
          <w:footerReference r:id="rId9" w:type="default"/>
          <w:pgSz w:w="11906" w:h="16838"/>
          <w:pgMar w:top="1440" w:right="1134" w:bottom="1440" w:left="1134" w:header="851" w:footer="992" w:gutter="0"/>
          <w:pgNumType w:fmt="decimal"/>
          <w:cols w:space="720" w:num="1"/>
          <w:docGrid w:type="lines" w:linePitch="312" w:charSpace="0"/>
        </w:sectPr>
      </w:pPr>
    </w:p>
    <w:p>
      <w:pPr>
        <w:jc w:val="left"/>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服务质量检查评分表</w:t>
      </w:r>
    </w:p>
    <w:tbl>
      <w:tblPr>
        <w:tblStyle w:val="10"/>
        <w:tblpPr w:leftFromText="180" w:rightFromText="180" w:vertAnchor="text" w:horzAnchor="page" w:tblpX="878" w:tblpY="889"/>
        <w:tblOverlap w:val="never"/>
        <w:tblW w:w="10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4144"/>
        <w:gridCol w:w="761"/>
        <w:gridCol w:w="1958"/>
        <w:gridCol w:w="806"/>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613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项目名称：</w:t>
            </w: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检查时间：  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序号</w:t>
            </w:r>
          </w:p>
        </w:tc>
        <w:tc>
          <w:tcPr>
            <w:tcW w:w="11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检查类别</w:t>
            </w:r>
          </w:p>
        </w:tc>
        <w:tc>
          <w:tcPr>
            <w:tcW w:w="414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检查标准</w:t>
            </w:r>
          </w:p>
        </w:tc>
        <w:tc>
          <w:tcPr>
            <w:tcW w:w="76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分值</w:t>
            </w:r>
          </w:p>
        </w:tc>
        <w:tc>
          <w:tcPr>
            <w:tcW w:w="195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扣分标准</w:t>
            </w:r>
          </w:p>
        </w:tc>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扣分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通用类</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一线高空作业人员年龄不</w:t>
            </w:r>
            <w:r>
              <w:rPr>
                <w:rFonts w:hint="eastAsia"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超过</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50岁且持相应上岗证件，身</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体健康、工作服穿戴整齐、穿戴安全帽和安全绳等安全防护工具和具备专项职业能力证书，严禁酒后作业</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作业前，按照甲方要求办理相关作业手续，准备作业材料和作业机具并放置指定位置</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5"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作业时，现场必须设置现场负责人，对全作业过程指挥并负责。现场负责人对作业人员进行安全技术交底，并严格执行交底书内容；作业现场设置有效安全防护和警示标识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作业后，及时恢复设备和清理现场，人员和机具的撤离符合甲方规定；确保现场无污水、杂物、垃圾等，不得影响甲方和轨道站方正常运营</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iCs w:val="0"/>
                <w:color w:val="000000" w:themeColor="text1"/>
                <w:sz w:val="22"/>
                <w:szCs w:val="22"/>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有完整的作业方案和应急处置措施，不得出现工伤事故、不得出现对甲方和轨道站方造成负面影响的事件；不得出现违章指挥、违章作业、违反劳动纪律的“三违”现象；不得与轨道站方工作人员发生争吵、打架斗殴等恶意事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各项作业记录完整，内容清晰，每次作业须甲方人员签字确认</w:t>
            </w:r>
          </w:p>
        </w:tc>
        <w:tc>
          <w:tcPr>
            <w:tcW w:w="7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9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作业期间不得对甲方和站点轨行区任何设施设备造成损坏</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及时完成甲方和轨道站方交办的工作任务</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和其他</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临时性工作，作业完成后的现场质量和效果符合甲方和轨道站方要求</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11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按时到场且保质保量开展现场作业，不得迟到和早退</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一处不合格扣2分，无法到场等情节严重扣5分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181"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专业类</w:t>
            </w: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轨行区清掏冲洗：工作完成后仍存在杂物、垃圾以及1厘米厚的淤泥或钙化物，车装袋垃圾按要求及时清运出轨行区</w:t>
            </w:r>
          </w:p>
        </w:tc>
        <w:tc>
          <w:tcPr>
            <w:tcW w:w="76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外墙清洗：避免造成地面交通拥堵，并提前与交通管理部门进行协调，不得合同约定范围外区域二次污染</w:t>
            </w:r>
          </w:p>
        </w:tc>
        <w:tc>
          <w:tcPr>
            <w:tcW w:w="761"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沟渠池清掏：采用气体检测仪现场检测有毒气体、可燃气体浓度；严禁在池子周围吸烟和出现明火，在池内只能用手电照明，避免发生甲烷爆炸等事故</w:t>
            </w:r>
          </w:p>
        </w:tc>
        <w:tc>
          <w:tcPr>
            <w:tcW w:w="76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一处不合格扣10分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合计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100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9" w:hRule="atLeast"/>
        </w:trPr>
        <w:tc>
          <w:tcPr>
            <w:tcW w:w="105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此表由甲方对乙方服务质量进行考核，由双方确认人签字确认。</w:t>
            </w:r>
          </w:p>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2、检查评定得分在95分及以上，不扣除服务费；90-94分，每低1分扣除200元；89分及以下，每低1分扣除当次服务费用的1%，以此类推。</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spacing w:line="560" w:lineRule="exact"/>
        <w:rPr>
          <w:rFonts w:hint="default" w:ascii="Times New Roman" w:hAnsi="Times New Roman" w:eastAsia="方正仿宋_GBK" w:cs="Times New Roman"/>
          <w:bCs/>
          <w:color w:val="000000" w:themeColor="text1"/>
          <w:sz w:val="28"/>
          <w:szCs w:val="28"/>
          <w:highlight w:val="none"/>
          <w:lang w:eastAsia="zh-CN"/>
          <w14:textFill>
            <w14:solidFill>
              <w14:schemeClr w14:val="tx1"/>
            </w14:solidFill>
          </w14:textFill>
        </w:rPr>
        <w:sectPr>
          <w:pgSz w:w="11906" w:h="16838"/>
          <w:pgMar w:top="1440" w:right="1134" w:bottom="1440" w:left="1134" w:header="851" w:footer="992" w:gutter="0"/>
          <w:pgNumType w:fmt="decimal"/>
          <w:cols w:space="720" w:num="1"/>
          <w:docGrid w:type="lines" w:linePitch="312" w:charSpace="0"/>
        </w:sect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 xml:space="preserve"> </w:t>
      </w:r>
    </w:p>
    <w:p>
      <w:pPr>
        <w:jc w:val="left"/>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p>
    <w:p>
      <w:pPr>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服务质量检查</w:t>
      </w: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考核</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表</w:t>
      </w:r>
    </w:p>
    <w:tbl>
      <w:tblPr>
        <w:tblStyle w:val="10"/>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4571"/>
        <w:gridCol w:w="3084"/>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789"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项目名称：</w:t>
            </w:r>
          </w:p>
        </w:tc>
        <w:tc>
          <w:tcPr>
            <w:tcW w:w="4406"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检查时间：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检查</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类别</w:t>
            </w:r>
          </w:p>
        </w:tc>
        <w:tc>
          <w:tcPr>
            <w:tcW w:w="457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考核内容</w:t>
            </w:r>
          </w:p>
        </w:tc>
        <w:tc>
          <w:tcPr>
            <w:tcW w:w="3084"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考核</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标准</w:t>
            </w:r>
          </w:p>
        </w:tc>
        <w:tc>
          <w:tcPr>
            <w:tcW w:w="1322"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考核金额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通用类</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一线高空作业人员年龄不超50岁且持相应上岗证件、</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精</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神饱满、着装整齐，穿戴安全绳、安全帽等安全防护措施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作业人员需持证上岗，不得饮酒上岗</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作业人员不得以任何理由和他人发生侮辱、谩骂、诽谤、造谣中伤、恐吓、威胁、吵架、打架等事件；不得在工作区域内拍照、摄像及在网络媒体上发布与甲方和轨道站方相关的帖子</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一处不合格扣200-500元；情节严重，甲方有权终止服务合同，并保留追究法律责任的权利</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作业前，按照甲方要求办理相关作业手续，准备作业材料和作业机具并放置指定位置，不得随意摆放</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作业时，现场必须设置现场负责人，对全作业过程指挥并负责，不得对甲方和站点轨行区任何设施设备造成损坏</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一处不合格扣200元，造成设备损坏的原价赔偿</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作业完成后，及</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时恢复设备和清理现场，人员和机具的撤离符合甲方规定；确保现场无污水、杂物、垃圾等，不得对现场造成二次污染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及时响应并完成甲方和轨道方交办的工作任务</w:t>
            </w:r>
            <w:r>
              <w:rPr>
                <w:rFonts w:hint="eastAsia" w:ascii="Times New Roman" w:hAnsi="Times New Roman" w:eastAsia="方正仿宋_GBK" w:cs="Times New Roman"/>
                <w:color w:val="000000" w:themeColor="text1"/>
                <w:sz w:val="24"/>
                <w:szCs w:val="24"/>
                <w:highlight w:val="none"/>
                <w:lang w:val="en-US" w:eastAsia="zh-CN"/>
                <w14:textFill>
                  <w14:solidFill>
                    <w14:schemeClr w14:val="tx1"/>
                  </w14:solidFill>
                </w14:textFill>
              </w:rPr>
              <w:t>和其他</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临时性工作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按时到场且保质保量开展现场作业，不得迟到和早退。</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迟到、早退30分钟及以内，一次扣50-100元；迟到、早退30分钟以上，一次扣100-500元；无法到场的，一次扣200-1000元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现场作业人员连续作业时长不超过8个小时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不得与轨道站方工作人员发生争吵、打架斗殴等恶意事件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1" w:firstLineChars="100"/>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一处不合格扣200-1000元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专业类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轨行区清掏冲洗：根据清掏、清洗作业现场实际情况配置人员、工具、设备、物资</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轨行区清掏冲洗：未经现场工作人员同意，不得擅自操作使用轨行区设施、设备</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轨行区清掏冲洗：排水设施清掏工作完成后仍不存在杂物、垃圾以及2cm厚的淤泥或钙化物；轨行区可见垃圾、装袋垃圾未按要求及时清运出轨行区</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外墙清洗</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：避免造成地面交通拥堵，并提前进行协调</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外墙清洗：更换外墙清洗负责人应征得甲方同意，以确保清洗负责人的工作水平维持在同一标准</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外墙清洗：不得对造成的合同约定范围外区域二次污染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一处不合格扣200元，并自行清理</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沟渠池清掏：清掏前必须采用气体检测仪现场检测有毒气体、可燃气体浓度，合格后开展清掏工作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沟渠池清掏：作业人员不得在清掏过程前中后抽烟不得出现明火，进入沟渠池清掏采用手电筒照明并做好防毒安全措施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沟渠池清掏：清掏结束后，不得出现污水溢出的情况，抽排后生化池内应无污水、杂物、粪渣存在，不得影响正常运营，及时将抽取物的外运弃倒和盖板复原</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5</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站点作业清单</w:t>
      </w:r>
    </w:p>
    <w:p>
      <w:pPr>
        <w:tabs>
          <w:tab w:val="left" w:pos="312"/>
          <w:tab w:val="left" w:pos="1985"/>
        </w:tabs>
        <w:ind w:firstLine="0" w:firstLineChars="0"/>
        <w:jc w:val="left"/>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1、</w:t>
      </w:r>
      <w:r>
        <w:rPr>
          <w:rFonts w:hint="default" w:ascii="Times New Roman" w:hAnsi="Times New Roman" w:eastAsia="方正仿宋_GBK" w:cs="Times New Roman"/>
          <w:b/>
          <w:bCs/>
          <w:color w:val="000000" w:themeColor="text1"/>
          <w:kern w:val="0"/>
          <w:sz w:val="24"/>
          <w:szCs w:val="24"/>
          <w:highlight w:val="none"/>
          <w:lang w:val="en-US" w:eastAsia="zh-CN"/>
          <w14:textFill>
            <w14:solidFill>
              <w14:schemeClr w14:val="tx1"/>
            </w14:solidFill>
          </w14:textFill>
        </w:rPr>
        <w:t>轨行区清洁</w:t>
      </w:r>
    </w:p>
    <w:tbl>
      <w:tblPr>
        <w:tblStyle w:val="10"/>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3102"/>
        <w:gridCol w:w="1843"/>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46" w:type="dxa"/>
            <w:vMerge w:val="restart"/>
            <w:vAlign w:val="center"/>
          </w:tcPr>
          <w:p>
            <w:pPr>
              <w:widowControl/>
              <w:ind w:firstLine="0" w:firstLineChars="0"/>
              <w:jc w:val="center"/>
              <w:textAlignment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轨行区清洁</w:t>
            </w:r>
          </w:p>
        </w:tc>
        <w:tc>
          <w:tcPr>
            <w:tcW w:w="31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项目</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数量</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46" w:type="dxa"/>
            <w:vMerge w:val="continue"/>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p>
        </w:tc>
        <w:tc>
          <w:tcPr>
            <w:tcW w:w="31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隧道排水沟清掏</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133438</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46" w:type="dxa"/>
            <w:vMerge w:val="continue"/>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p>
        </w:tc>
        <w:tc>
          <w:tcPr>
            <w:tcW w:w="31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隧道冲洗</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548800</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46" w:type="dxa"/>
            <w:vMerge w:val="continue"/>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p>
        </w:tc>
        <w:tc>
          <w:tcPr>
            <w:tcW w:w="31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高架、路基段轨行区清扫</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65535</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046" w:type="dxa"/>
            <w:vMerge w:val="continue"/>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p>
        </w:tc>
        <w:tc>
          <w:tcPr>
            <w:tcW w:w="31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边坡清洁卫生及杂草清除</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3000</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046" w:type="dxa"/>
            <w:vMerge w:val="continue"/>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p>
        </w:tc>
        <w:tc>
          <w:tcPr>
            <w:tcW w:w="31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垃圾二次转运及处置</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lang w:val="en-US" w:eastAsia="zh-CN"/>
                <w14:textFill>
                  <w14:solidFill>
                    <w14:schemeClr w14:val="tx1"/>
                  </w14:solidFill>
                </w14:textFill>
              </w:rPr>
              <w:t>100</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车（</w:t>
            </w:r>
            <w:r>
              <w:rPr>
                <w:rFonts w:hint="default" w:ascii="Times New Roman" w:hAnsi="Times New Roman" w:eastAsia="方正仿宋_GBK" w:cs="Times New Roman"/>
                <w:color w:val="000000" w:themeColor="text1"/>
                <w:kern w:val="0"/>
                <w:sz w:val="24"/>
                <w:szCs w:val="24"/>
                <w:highlight w:val="none"/>
                <w:lang w:val="en-US" w:eastAsia="zh-CN"/>
                <w14:textFill>
                  <w14:solidFill>
                    <w14:schemeClr w14:val="tx1"/>
                  </w14:solidFill>
                </w14:textFill>
              </w:rPr>
              <w:t>10t</w:t>
            </w: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w:t>
            </w:r>
          </w:p>
        </w:tc>
      </w:tr>
    </w:tbl>
    <w:p>
      <w:pPr>
        <w:tabs>
          <w:tab w:val="left" w:pos="312"/>
          <w:tab w:val="left" w:pos="1985"/>
        </w:tabs>
        <w:ind w:firstLine="0" w:firstLineChars="0"/>
        <w:jc w:val="left"/>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2、外墙清洗</w:t>
      </w:r>
    </w:p>
    <w:tbl>
      <w:tblPr>
        <w:tblStyle w:val="10"/>
        <w:tblW w:w="9120"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36"/>
        <w:gridCol w:w="3876"/>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0" w:hRule="atLeast"/>
        </w:trPr>
        <w:tc>
          <w:tcPr>
            <w:tcW w:w="1936" w:type="dxa"/>
            <w:vAlign w:val="top"/>
          </w:tcPr>
          <w:p>
            <w:pPr>
              <w:widowControl/>
              <w:ind w:firstLine="0" w:firstLineChars="0"/>
              <w:jc w:val="center"/>
              <w:textAlignment w:val="center"/>
              <w:rPr>
                <w:rFonts w:hint="default" w:ascii="Times New Roman" w:hAnsi="Times New Roman" w:eastAsia="方正仿宋_GBK" w:cs="Times New Roman"/>
                <w:b/>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4"/>
                <w:szCs w:val="24"/>
                <w:highlight w:val="none"/>
                <w14:textFill>
                  <w14:solidFill>
                    <w14:schemeClr w14:val="tx1"/>
                  </w14:solidFill>
                </w14:textFill>
              </w:rPr>
              <w:t>序号</w:t>
            </w:r>
          </w:p>
        </w:tc>
        <w:tc>
          <w:tcPr>
            <w:tcW w:w="3876" w:type="dxa"/>
            <w:vAlign w:val="top"/>
          </w:tcPr>
          <w:p>
            <w:pPr>
              <w:widowControl/>
              <w:ind w:firstLine="0" w:firstLineChars="0"/>
              <w:jc w:val="center"/>
              <w:textAlignment w:val="center"/>
              <w:rPr>
                <w:rFonts w:hint="default" w:ascii="Times New Roman" w:hAnsi="Times New Roman" w:eastAsia="方正仿宋_GBK" w:cs="Times New Roman"/>
                <w:b/>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4"/>
                <w:szCs w:val="24"/>
                <w:highlight w:val="none"/>
                <w:lang w:eastAsia="zh-CN"/>
                <w14:textFill>
                  <w14:solidFill>
                    <w14:schemeClr w14:val="tx1"/>
                  </w14:solidFill>
                </w14:textFill>
              </w:rPr>
              <w:t>外墙</w:t>
            </w:r>
            <w:r>
              <w:rPr>
                <w:rFonts w:hint="default" w:ascii="Times New Roman" w:hAnsi="Times New Roman" w:eastAsia="方正仿宋_GBK" w:cs="Times New Roman"/>
                <w:b/>
                <w:color w:val="000000" w:themeColor="text1"/>
                <w:kern w:val="0"/>
                <w:sz w:val="24"/>
                <w:szCs w:val="24"/>
                <w:highlight w:val="none"/>
                <w14:textFill>
                  <w14:solidFill>
                    <w14:schemeClr w14:val="tx1"/>
                  </w14:solidFill>
                </w14:textFill>
              </w:rPr>
              <w:t>清洗范围</w:t>
            </w:r>
          </w:p>
        </w:tc>
        <w:tc>
          <w:tcPr>
            <w:tcW w:w="3308" w:type="dxa"/>
            <w:vAlign w:val="top"/>
          </w:tcPr>
          <w:p>
            <w:pPr>
              <w:widowControl/>
              <w:ind w:firstLine="0" w:firstLineChars="0"/>
              <w:jc w:val="center"/>
              <w:textAlignment w:val="center"/>
              <w:rPr>
                <w:rFonts w:hint="default" w:ascii="Times New Roman" w:hAnsi="Times New Roman" w:eastAsia="方正仿宋_GBK" w:cs="Times New Roman"/>
                <w:b/>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4"/>
                <w:szCs w:val="24"/>
                <w:highlight w:val="none"/>
                <w14:textFill>
                  <w14:solidFill>
                    <w14:schemeClr w14:val="tx1"/>
                  </w14:solidFill>
                </w14:textFill>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0" w:hRule="atLeast"/>
        </w:trPr>
        <w:tc>
          <w:tcPr>
            <w:tcW w:w="1936" w:type="dxa"/>
            <w:vAlign w:val="top"/>
          </w:tcPr>
          <w:p>
            <w:pPr>
              <w:widowControl/>
              <w:ind w:firstLine="0" w:firstLineChars="0"/>
              <w:jc w:val="center"/>
              <w:textAlignment w:val="cente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1</w:t>
            </w:r>
          </w:p>
        </w:tc>
        <w:tc>
          <w:tcPr>
            <w:tcW w:w="3876" w:type="dxa"/>
            <w:vAlign w:val="top"/>
          </w:tcPr>
          <w:p>
            <w:pPr>
              <w:widowControl/>
              <w:ind w:firstLine="0" w:firstLineChars="0"/>
              <w:jc w:val="center"/>
              <w:textAlignment w:val="cente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长河车站外墙</w:t>
            </w:r>
          </w:p>
        </w:tc>
        <w:tc>
          <w:tcPr>
            <w:tcW w:w="3308" w:type="dxa"/>
            <w:vAlign w:val="top"/>
          </w:tcPr>
          <w:p>
            <w:pPr>
              <w:widowControl/>
              <w:ind w:firstLine="0" w:firstLineChars="0"/>
              <w:jc w:val="center"/>
              <w:textAlignment w:val="cente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15430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0" w:hRule="atLeast"/>
        </w:trPr>
        <w:tc>
          <w:tcPr>
            <w:tcW w:w="1936" w:type="dxa"/>
            <w:vAlign w:val="top"/>
          </w:tcPr>
          <w:p>
            <w:pPr>
              <w:widowControl/>
              <w:ind w:firstLine="0" w:firstLineChars="0"/>
              <w:jc w:val="center"/>
              <w:textAlignment w:val="center"/>
              <w:rPr>
                <w:rFonts w:hint="default" w:ascii="Times New Roman" w:hAnsi="Times New Roman" w:eastAsia="方正仿宋_GBK"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lang w:val="en-US" w:eastAsia="zh-CN"/>
                <w14:textFill>
                  <w14:solidFill>
                    <w14:schemeClr w14:val="tx1"/>
                  </w14:solidFill>
                </w14:textFill>
              </w:rPr>
              <w:t>2</w:t>
            </w:r>
          </w:p>
        </w:tc>
        <w:tc>
          <w:tcPr>
            <w:tcW w:w="3876" w:type="dxa"/>
            <w:vAlign w:val="center"/>
          </w:tcPr>
          <w:p>
            <w:pPr>
              <w:widowControl/>
              <w:ind w:firstLine="0" w:firstLineChars="0"/>
              <w:jc w:val="center"/>
              <w:textAlignment w:val="center"/>
              <w:rPr>
                <w:rFonts w:hint="default" w:ascii="Times New Roman" w:hAnsi="Times New Roman" w:eastAsia="方正仿宋_GBK" w:cs="Times New Roman"/>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大坝寺主变电所外墙</w:t>
            </w:r>
          </w:p>
        </w:tc>
        <w:tc>
          <w:tcPr>
            <w:tcW w:w="3308" w:type="dxa"/>
            <w:vAlign w:val="center"/>
          </w:tcPr>
          <w:p>
            <w:pPr>
              <w:widowControl/>
              <w:ind w:firstLine="0" w:firstLineChars="0"/>
              <w:jc w:val="center"/>
              <w:textAlignment w:val="center"/>
              <w:rPr>
                <w:rFonts w:hint="default" w:ascii="Times New Roman" w:hAnsi="Times New Roman" w:eastAsia="方正仿宋_GBK"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433.7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0" w:hRule="atLeast"/>
        </w:trPr>
        <w:tc>
          <w:tcPr>
            <w:tcW w:w="1936" w:type="dxa"/>
            <w:vAlign w:val="top"/>
          </w:tcPr>
          <w:p>
            <w:pPr>
              <w:widowControl/>
              <w:ind w:firstLine="0" w:firstLineChars="0"/>
              <w:jc w:val="center"/>
              <w:textAlignment w:val="center"/>
              <w:rPr>
                <w:rFonts w:hint="default" w:ascii="Times New Roman" w:hAnsi="Times New Roman" w:eastAsia="方正仿宋_GBK"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lang w:val="en-US" w:eastAsia="zh-CN"/>
                <w14:textFill>
                  <w14:solidFill>
                    <w14:schemeClr w14:val="tx1"/>
                  </w14:solidFill>
                </w14:textFill>
              </w:rPr>
              <w:t>3</w:t>
            </w:r>
          </w:p>
        </w:tc>
        <w:tc>
          <w:tcPr>
            <w:tcW w:w="3876" w:type="dxa"/>
            <w:vAlign w:val="center"/>
          </w:tcPr>
          <w:p>
            <w:pPr>
              <w:widowControl/>
              <w:ind w:firstLine="0" w:firstLineChars="0"/>
              <w:jc w:val="center"/>
              <w:textAlignment w:val="center"/>
              <w:rPr>
                <w:rFonts w:hint="default" w:ascii="Times New Roman" w:hAnsi="Times New Roman" w:eastAsia="方正仿宋_GBK" w:cs="Times New Roman"/>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长河牵引所外墙</w:t>
            </w:r>
          </w:p>
        </w:tc>
        <w:tc>
          <w:tcPr>
            <w:tcW w:w="3308" w:type="dxa"/>
            <w:vAlign w:val="center"/>
          </w:tcPr>
          <w:p>
            <w:pPr>
              <w:widowControl/>
              <w:ind w:firstLine="0" w:firstLineChars="0"/>
              <w:jc w:val="center"/>
              <w:textAlignment w:val="center"/>
              <w:rPr>
                <w:rFonts w:hint="default" w:ascii="Times New Roman" w:hAnsi="Times New Roman" w:eastAsia="方正仿宋_GBK"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9" w:hRule="atLeast"/>
        </w:trPr>
        <w:tc>
          <w:tcPr>
            <w:tcW w:w="1936" w:type="dxa"/>
            <w:vAlign w:val="top"/>
          </w:tcPr>
          <w:p>
            <w:pPr>
              <w:widowControl/>
              <w:ind w:firstLine="0" w:firstLineChars="0"/>
              <w:jc w:val="center"/>
              <w:textAlignment w:val="center"/>
              <w:rPr>
                <w:rFonts w:hint="default" w:ascii="Times New Roman" w:hAnsi="Times New Roman" w:eastAsia="方正仿宋_GBK"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lang w:val="en-US" w:eastAsia="zh-CN"/>
                <w14:textFill>
                  <w14:solidFill>
                    <w14:schemeClr w14:val="tx1"/>
                  </w14:solidFill>
                </w14:textFill>
              </w:rPr>
              <w:t>4</w:t>
            </w:r>
          </w:p>
        </w:tc>
        <w:tc>
          <w:tcPr>
            <w:tcW w:w="3876" w:type="dxa"/>
            <w:vAlign w:val="center"/>
          </w:tcPr>
          <w:p>
            <w:pPr>
              <w:widowControl/>
              <w:ind w:firstLine="0" w:firstLineChars="0"/>
              <w:jc w:val="center"/>
              <w:textAlignment w:val="center"/>
              <w:rPr>
                <w:rFonts w:hint="default" w:ascii="Times New Roman" w:hAnsi="Times New Roman" w:eastAsia="方正仿宋_GBK" w:cs="Times New Roman"/>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长航区间牵引所外墙</w:t>
            </w:r>
          </w:p>
        </w:tc>
        <w:tc>
          <w:tcPr>
            <w:tcW w:w="3308" w:type="dxa"/>
            <w:vAlign w:val="center"/>
          </w:tcPr>
          <w:p>
            <w:pPr>
              <w:widowControl/>
              <w:ind w:firstLine="0" w:firstLineChars="0"/>
              <w:jc w:val="center"/>
              <w:textAlignment w:val="center"/>
              <w:rPr>
                <w:rFonts w:hint="default" w:ascii="Times New Roman" w:hAnsi="Times New Roman" w:eastAsia="方正仿宋_GBK" w:cs="Times New Roman"/>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128</w:t>
            </w:r>
          </w:p>
        </w:tc>
      </w:tr>
    </w:tbl>
    <w:p>
      <w:pPr>
        <w:tabs>
          <w:tab w:val="left" w:pos="312"/>
          <w:tab w:val="left" w:pos="1985"/>
        </w:tabs>
        <w:ind w:firstLine="0" w:firstLineChars="0"/>
        <w:jc w:val="left"/>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3、沟渠池清掏</w:t>
      </w:r>
    </w:p>
    <w:p>
      <w:pPr>
        <w:tabs>
          <w:tab w:val="left" w:pos="312"/>
          <w:tab w:val="left" w:pos="1985"/>
        </w:tabs>
        <w:ind w:firstLine="0" w:firstLineChars="0"/>
        <w:jc w:val="left"/>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（1）污水池、生化池</w:t>
      </w:r>
    </w:p>
    <w:tbl>
      <w:tblPr>
        <w:tblStyle w:val="10"/>
        <w:tblW w:w="9198" w:type="dxa"/>
        <w:tblInd w:w="-3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0"/>
        <w:gridCol w:w="1930"/>
        <w:gridCol w:w="1896"/>
        <w:gridCol w:w="1752"/>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exact"/>
        </w:trPr>
        <w:tc>
          <w:tcPr>
            <w:tcW w:w="1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t>10号线一期</w:t>
            </w:r>
          </w:p>
        </w:tc>
        <w:tc>
          <w:tcPr>
            <w:tcW w:w="1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t>污水池体积m³</w:t>
            </w:r>
          </w:p>
        </w:tc>
        <w:tc>
          <w:tcPr>
            <w:tcW w:w="18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t>生化池体积m³</w:t>
            </w:r>
          </w:p>
        </w:tc>
        <w:tc>
          <w:tcPr>
            <w:tcW w:w="17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t>污水池量（个）</w:t>
            </w:r>
          </w:p>
        </w:tc>
        <w:tc>
          <w:tcPr>
            <w:tcW w:w="1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val="0"/>
                <w:snapToGrid w:val="0"/>
                <w:color w:val="000000" w:themeColor="text1"/>
                <w:kern w:val="0"/>
                <w:sz w:val="24"/>
                <w:szCs w:val="24"/>
                <w:highlight w:val="none"/>
                <w14:textFill>
                  <w14:solidFill>
                    <w14:schemeClr w14:val="tx1"/>
                  </w14:solidFill>
                </w14:textFill>
              </w:rPr>
              <w:t>生化池量（个）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鲤鱼池站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20.09</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12</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红土地站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21.6</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12</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龙头寺公园站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24.6</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12</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重庆北站南广场站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45</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9.4</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重庆北站北广场站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54</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4</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民心佳园站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35.95</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29.2</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三亚湾站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12.1</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上湾路站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47.94</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13.23</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环山公园站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46.8</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12</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长河站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12</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T3航站楼站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227.32</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4</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T2航站楼站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65.5</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11.7</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渝北广场站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25.7</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11.7</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鹿山站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34.88</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40</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大坝寺主所</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14.8</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中央公园东站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45.1</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20</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中央公园站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40</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21</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中央公园西站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25.17</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21</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悦来站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20.52</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17.1</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exact"/>
        </w:trPr>
        <w:tc>
          <w:tcPr>
            <w:tcW w:w="190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王家庄站</w:t>
            </w:r>
          </w:p>
        </w:tc>
        <w:tc>
          <w:tcPr>
            <w:tcW w:w="19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38</w:t>
            </w:r>
          </w:p>
        </w:tc>
        <w:tc>
          <w:tcPr>
            <w:tcW w:w="18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41</w:t>
            </w:r>
          </w:p>
        </w:tc>
        <w:tc>
          <w:tcPr>
            <w:tcW w:w="17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w:t>
            </w:r>
          </w:p>
        </w:tc>
        <w:tc>
          <w:tcPr>
            <w:tcW w:w="1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w:t>
            </w:r>
          </w:p>
        </w:tc>
      </w:tr>
    </w:tbl>
    <w:p>
      <w:pPr>
        <w:tabs>
          <w:tab w:val="left" w:pos="312"/>
          <w:tab w:val="left" w:pos="1985"/>
        </w:tabs>
        <w:ind w:firstLine="0" w:firstLineChars="0"/>
        <w:jc w:val="left"/>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w:t>
      </w: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2</w:t>
      </w:r>
      <w:r>
        <w:rPr>
          <w:rFonts w:hint="eastAsia"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w:t>
      </w: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集水井、废水池</w:t>
      </w:r>
    </w:p>
    <w:tbl>
      <w:tblPr>
        <w:tblStyle w:val="10"/>
        <w:tblW w:w="9138" w:type="dxa"/>
        <w:tblInd w:w="-4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2"/>
        <w:gridCol w:w="5077"/>
        <w:gridCol w:w="1045"/>
        <w:gridCol w:w="2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7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序号</w:t>
            </w:r>
          </w:p>
        </w:tc>
        <w:tc>
          <w:tcPr>
            <w:tcW w:w="5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项目名称</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单位</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b/>
                <w:bCs/>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7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1</w:t>
            </w:r>
          </w:p>
        </w:tc>
        <w:tc>
          <w:tcPr>
            <w:tcW w:w="5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区间隧道</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集水井、废水池</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清掏</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m³</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lang w:val="en-US" w:eastAsia="zh-CN"/>
                <w14:textFill>
                  <w14:solidFill>
                    <w14:schemeClr w14:val="tx1"/>
                  </w14:solidFill>
                </w14:textFill>
              </w:rPr>
              <w:t>328.06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7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t>2</w:t>
            </w:r>
          </w:p>
        </w:tc>
        <w:tc>
          <w:tcPr>
            <w:tcW w:w="50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车站集水井</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废水池</w:t>
            </w:r>
            <w:r>
              <w:rPr>
                <w:rFonts w:hint="eastAsia" w:ascii="Times New Roman" w:hAnsi="Times New Roman" w:eastAsia="方正仿宋_GBK" w:cs="Times New Roman"/>
                <w:color w:val="000000" w:themeColor="text1"/>
                <w:sz w:val="24"/>
                <w:szCs w:val="24"/>
                <w:highlight w:val="none"/>
                <w:lang w:val="en-US" w:eastAsia="zh-CN"/>
                <w14:textFill>
                  <w14:solidFill>
                    <w14:schemeClr w14:val="tx1"/>
                  </w14:solidFill>
                </w14:textFill>
              </w:rPr>
              <w:t>清</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掏</w:t>
            </w:r>
          </w:p>
        </w:tc>
        <w:tc>
          <w:tcPr>
            <w:tcW w:w="10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14:textFill>
                  <w14:solidFill>
                    <w14:schemeClr w14:val="tx1"/>
                  </w14:solidFill>
                </w14:textFill>
              </w:rPr>
              <w:t>m³</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240" w:after="240" w:line="240" w:lineRule="exact"/>
              <w:ind w:right="-73" w:rightChars="-35" w:firstLine="0" w:firstLineChars="0"/>
              <w:jc w:val="center"/>
              <w:rPr>
                <w:rFonts w:hint="default" w:ascii="Times New Roman" w:hAnsi="Times New Roman" w:eastAsia="方正仿宋_GBK"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snapToGrid w:val="0"/>
                <w:color w:val="000000" w:themeColor="text1"/>
                <w:kern w:val="0"/>
                <w:sz w:val="24"/>
                <w:szCs w:val="24"/>
                <w:highlight w:val="none"/>
                <w:lang w:val="en-US" w:eastAsia="zh-CN"/>
                <w14:textFill>
                  <w14:solidFill>
                    <w14:schemeClr w14:val="tx1"/>
                  </w14:solidFill>
                </w14:textFill>
              </w:rPr>
              <w:t>2686</w:t>
            </w:r>
          </w:p>
        </w:tc>
      </w:tr>
    </w:tbl>
    <w:p>
      <w:pPr>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24"/>
          <w:szCs w:val="24"/>
          <w:highlight w:val="none"/>
          <w14:textFill>
            <w14:solidFill>
              <w14:schemeClr w14:val="tx1"/>
            </w14:solidFill>
          </w14:textFill>
        </w:rPr>
        <w:t>备注：</w:t>
      </w:r>
      <w:r>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t>以上</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表格</w:t>
      </w:r>
      <w:r>
        <w:rPr>
          <w:rFonts w:hint="default" w:ascii="Times New Roman" w:hAnsi="Times New Roman" w:eastAsia="方正仿宋_GBK" w:cs="Times New Roman"/>
          <w:b/>
          <w:bCs/>
          <w:color w:val="000000" w:themeColor="text1"/>
          <w:kern w:val="0"/>
          <w:sz w:val="24"/>
          <w:szCs w:val="24"/>
          <w:highlight w:val="none"/>
          <w:lang w:val="en-US" w:eastAsia="zh-CN"/>
          <w14:textFill>
            <w14:solidFill>
              <w14:schemeClr w14:val="tx1"/>
            </w14:solidFill>
          </w14:textFill>
        </w:rPr>
        <w:t>中</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作业量均为预估，</w:t>
      </w:r>
      <w:r>
        <w:rPr>
          <w:rFonts w:hint="default" w:ascii="Times New Roman" w:hAnsi="Times New Roman" w:eastAsia="方正仿宋_GBK" w:cs="Times New Roman"/>
          <w:b/>
          <w:bCs/>
          <w:color w:val="000000" w:themeColor="text1"/>
          <w:kern w:val="0"/>
          <w:sz w:val="24"/>
          <w:szCs w:val="24"/>
          <w:highlight w:val="none"/>
          <w:lang w:val="en-US" w:eastAsia="zh-CN"/>
          <w14:textFill>
            <w14:solidFill>
              <w14:schemeClr w14:val="tx1"/>
            </w14:solidFill>
          </w14:textFill>
        </w:rPr>
        <w:t>实际</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作业量以现场实际</w:t>
      </w:r>
      <w:r>
        <w:rPr>
          <w:rFonts w:hint="default" w:ascii="Times New Roman" w:hAnsi="Times New Roman" w:eastAsia="方正仿宋_GBK" w:cs="Times New Roman"/>
          <w:b/>
          <w:bCs/>
          <w:color w:val="000000" w:themeColor="text1"/>
          <w:kern w:val="0"/>
          <w:sz w:val="24"/>
          <w:szCs w:val="24"/>
          <w:highlight w:val="none"/>
          <w:lang w:val="en-US" w:eastAsia="zh-CN"/>
          <w14:textFill>
            <w14:solidFill>
              <w14:schemeClr w14:val="tx1"/>
            </w14:solidFill>
          </w14:textFill>
        </w:rPr>
        <w:t>需求</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为准。</w:t>
      </w:r>
      <w:r>
        <w:rPr>
          <w:rFonts w:hint="default" w:ascii="Times New Roman" w:hAnsi="Times New Roman" w:eastAsia="方正仿宋_GBK" w:cs="Times New Roman"/>
          <w:b/>
          <w:bCs/>
          <w:color w:val="000000" w:themeColor="text1"/>
          <w:sz w:val="24"/>
          <w:szCs w:val="24"/>
          <w:highlight w:val="none"/>
          <w:lang w:val="en-US" w:eastAsia="zh-CN"/>
          <w14:textFill>
            <w14:solidFill>
              <w14:schemeClr w14:val="tx1"/>
            </w14:solidFill>
          </w14:textFill>
        </w:rPr>
        <w:t>）</w:t>
      </w:r>
    </w:p>
    <w:p>
      <w:pPr>
        <w:rPr>
          <w:rFonts w:hint="default" w:ascii="Times New Roman" w:hAnsi="Times New Roman" w:cs="Times New Roman"/>
          <w:color w:val="000000" w:themeColor="text1"/>
          <w:highlight w:val="none"/>
          <w:lang w:val="en-US" w:eastAsia="zh-CN"/>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D930398E-68D7-4A9F-87F8-D7E0E05C601A}"/>
  </w:font>
  <w:font w:name="仿宋_GB2312">
    <w:panose1 w:val="02010609030101010101"/>
    <w:charset w:val="86"/>
    <w:family w:val="modern"/>
    <w:pitch w:val="default"/>
    <w:sig w:usb0="00000001" w:usb1="080E0000" w:usb2="00000000" w:usb3="00000000" w:csb0="00040000" w:csb1="00000000"/>
    <w:embedRegular r:id="rId2" w:fontKey="{9A3277DD-516B-4638-B968-A90338105049}"/>
  </w:font>
  <w:font w:name="方正小标宋_GBK">
    <w:panose1 w:val="03000509000000000000"/>
    <w:charset w:val="86"/>
    <w:family w:val="auto"/>
    <w:pitch w:val="default"/>
    <w:sig w:usb0="00000001" w:usb1="080E0000" w:usb2="00000000" w:usb3="00000000" w:csb0="00040000" w:csb1="00000000"/>
    <w:embedRegular r:id="rId3" w:fontKey="{3628DADE-9DA1-4903-BF8E-CFE984997059}"/>
  </w:font>
  <w:font w:name="仿宋">
    <w:panose1 w:val="02010609060101010101"/>
    <w:charset w:val="86"/>
    <w:family w:val="modern"/>
    <w:pitch w:val="default"/>
    <w:sig w:usb0="800002BF" w:usb1="38CF7CFA" w:usb2="00000016" w:usb3="00000000" w:csb0="00040001" w:csb1="00000000"/>
    <w:embedRegular r:id="rId4" w:fontKey="{869C2842-3728-4D22-8AE7-28DA6A9E38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7456" behindDoc="0" locked="0" layoutInCell="1" allowOverlap="1">
              <wp:simplePos x="0" y="0"/>
              <wp:positionH relativeFrom="margin">
                <wp:posOffset>2472690</wp:posOffset>
              </wp:positionH>
              <wp:positionV relativeFrom="paragraph">
                <wp:posOffset>-539750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4.7pt;margin-top:-42.5pt;height:144pt;width:144pt;mso-position-horizontal-relative:margin;mso-wrap-style:none;z-index:251667456;mso-width-relative:page;mso-height-relative:page;" filled="f" stroked="f" coordsize="21600,21600" o:gfxdata="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VhS4rjFiV9+&#10;/rj8+nP5/Z2gDwXqA9SYdx8wMw3v/IDJsx/QmXkPKtr8RUYE4yjv+SqvHBIR+dF6tV5XGBIYmy+I&#10;zx6ehwjpvfSWZKOhEedXZOWnj5DG1DklV3P+ThtTZmjcPw7EzB6Wex97zFYa9sNEaO/bM/LpcfQN&#10;dbjplJgPDpXNWzIbcTb2s3EMUR+6ska5HoTbY8ImSm+5wgg7FcaZFXbTfuWleHwvWQ//1P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boB9tgAAAALAQAADwAAAAAAAAABACAAAAAiAAAAZHJzL2Rv&#10;d25yZXYueG1sUEsBAhQAFAAAAAgAh07iQBcY3ZLIAQAAmwMAAA4AAAAAAAAAAQAgAAAAJwEAAGRy&#10;cy9lMm9Eb2MueG1sUEsFBgAAAAAGAAYAWQEAAGEFA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jH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Me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9DEC2140"/>
    <w:multiLevelType w:val="singleLevel"/>
    <w:tmpl w:val="9DEC2140"/>
    <w:lvl w:ilvl="0" w:tentative="0">
      <w:start w:val="1"/>
      <w:numFmt w:val="decimal"/>
      <w:suff w:val="nothing"/>
      <w:lvlText w:val="（%1）"/>
      <w:lvlJc w:val="left"/>
    </w:lvl>
  </w:abstractNum>
  <w:abstractNum w:abstractNumId="2">
    <w:nsid w:val="F38DCAAC"/>
    <w:multiLevelType w:val="singleLevel"/>
    <w:tmpl w:val="F38DCAAC"/>
    <w:lvl w:ilvl="0" w:tentative="0">
      <w:start w:val="1"/>
      <w:numFmt w:val="decimal"/>
      <w:suff w:val="nothing"/>
      <w:lvlText w:val="%1、"/>
      <w:lvlJc w:val="left"/>
    </w:lvl>
  </w:abstractNum>
  <w:abstractNum w:abstractNumId="3">
    <w:nsid w:val="19D399B2"/>
    <w:multiLevelType w:val="singleLevel"/>
    <w:tmpl w:val="19D399B2"/>
    <w:lvl w:ilvl="0" w:tentative="0">
      <w:start w:val="1"/>
      <w:numFmt w:val="decimal"/>
      <w:lvlText w:val="%1."/>
      <w:lvlJc w:val="left"/>
      <w:pPr>
        <w:tabs>
          <w:tab w:val="left" w:pos="312"/>
        </w:tabs>
      </w:pPr>
    </w:lvl>
  </w:abstractNum>
  <w:abstractNum w:abstractNumId="4">
    <w:nsid w:val="202E57E8"/>
    <w:multiLevelType w:val="singleLevel"/>
    <w:tmpl w:val="202E57E8"/>
    <w:lvl w:ilvl="0" w:tentative="0">
      <w:start w:val="2"/>
      <w:numFmt w:val="decimal"/>
      <w:suff w:val="nothing"/>
      <w:lvlText w:val="%1、"/>
      <w:lvlJc w:val="left"/>
    </w:lvl>
  </w:abstractNum>
  <w:abstractNum w:abstractNumId="5">
    <w:nsid w:val="2AF526F6"/>
    <w:multiLevelType w:val="singleLevel"/>
    <w:tmpl w:val="2AF526F6"/>
    <w:lvl w:ilvl="0" w:tentative="0">
      <w:start w:val="1"/>
      <w:numFmt w:val="decimal"/>
      <w:suff w:val="nothing"/>
      <w:lvlText w:val="%1、"/>
      <w:lvlJc w:val="left"/>
    </w:lvl>
  </w:abstractNum>
  <w:abstractNum w:abstractNumId="6">
    <w:nsid w:val="385FE189"/>
    <w:multiLevelType w:val="singleLevel"/>
    <w:tmpl w:val="385FE189"/>
    <w:lvl w:ilvl="0" w:tentative="0">
      <w:start w:val="1"/>
      <w:numFmt w:val="decimal"/>
      <w:suff w:val="nothing"/>
      <w:lvlText w:val="%1、"/>
      <w:lvlJc w:val="left"/>
    </w:lvl>
  </w:abstractNum>
  <w:abstractNum w:abstractNumId="7">
    <w:nsid w:val="4343D8FF"/>
    <w:multiLevelType w:val="singleLevel"/>
    <w:tmpl w:val="4343D8FF"/>
    <w:lvl w:ilvl="0" w:tentative="0">
      <w:start w:val="1"/>
      <w:numFmt w:val="decimal"/>
      <w:suff w:val="nothing"/>
      <w:lvlText w:val="（%1）"/>
      <w:lvlJc w:val="left"/>
    </w:lvl>
  </w:abstractNum>
  <w:abstractNum w:abstractNumId="8">
    <w:nsid w:val="4CBEEF54"/>
    <w:multiLevelType w:val="singleLevel"/>
    <w:tmpl w:val="4CBEEF54"/>
    <w:lvl w:ilvl="0" w:tentative="0">
      <w:start w:val="2"/>
      <w:numFmt w:val="decimal"/>
      <w:suff w:val="nothing"/>
      <w:lvlText w:val="（%1）"/>
      <w:lvlJc w:val="left"/>
    </w:lvl>
  </w:abstractNum>
  <w:abstractNum w:abstractNumId="9">
    <w:nsid w:val="53B511E8"/>
    <w:multiLevelType w:val="singleLevel"/>
    <w:tmpl w:val="53B511E8"/>
    <w:lvl w:ilvl="0" w:tentative="0">
      <w:start w:val="5"/>
      <w:numFmt w:val="decimal"/>
      <w:suff w:val="nothing"/>
      <w:lvlText w:val="%1、"/>
      <w:lvlJc w:val="left"/>
    </w:lvl>
  </w:abstractNum>
  <w:abstractNum w:abstractNumId="10">
    <w:nsid w:val="7092BF8C"/>
    <w:multiLevelType w:val="singleLevel"/>
    <w:tmpl w:val="7092BF8C"/>
    <w:lvl w:ilvl="0" w:tentative="0">
      <w:start w:val="5"/>
      <w:numFmt w:val="chineseCounting"/>
      <w:suff w:val="space"/>
      <w:lvlText w:val="第%1条"/>
      <w:lvlJc w:val="left"/>
      <w:rPr>
        <w:rFonts w:hint="eastAsia"/>
      </w:rPr>
    </w:lvl>
  </w:abstractNum>
  <w:abstractNum w:abstractNumId="11">
    <w:nsid w:val="75A8BBD5"/>
    <w:multiLevelType w:val="singleLevel"/>
    <w:tmpl w:val="75A8BBD5"/>
    <w:lvl w:ilvl="0" w:tentative="0">
      <w:start w:val="1"/>
      <w:numFmt w:val="decimal"/>
      <w:suff w:val="nothing"/>
      <w:lvlText w:val="（%1）"/>
      <w:lvlJc w:val="left"/>
    </w:lvl>
  </w:abstractNum>
  <w:abstractNum w:abstractNumId="12">
    <w:nsid w:val="786BBCE0"/>
    <w:multiLevelType w:val="singleLevel"/>
    <w:tmpl w:val="786BBCE0"/>
    <w:lvl w:ilvl="0" w:tentative="0">
      <w:start w:val="1"/>
      <w:numFmt w:val="decimal"/>
      <w:suff w:val="nothing"/>
      <w:lvlText w:val="%1、"/>
      <w:lvlJc w:val="left"/>
    </w:lvl>
  </w:abstractNum>
  <w:num w:numId="1">
    <w:abstractNumId w:val="5"/>
  </w:num>
  <w:num w:numId="2">
    <w:abstractNumId w:val="12"/>
  </w:num>
  <w:num w:numId="3">
    <w:abstractNumId w:val="7"/>
  </w:num>
  <w:num w:numId="4">
    <w:abstractNumId w:val="6"/>
  </w:num>
  <w:num w:numId="5">
    <w:abstractNumId w:val="1"/>
  </w:num>
  <w:num w:numId="6">
    <w:abstractNumId w:val="3"/>
  </w:num>
  <w:num w:numId="7">
    <w:abstractNumId w:val="11"/>
  </w:num>
  <w:num w:numId="8">
    <w:abstractNumId w:val="0"/>
  </w:num>
  <w:num w:numId="9">
    <w:abstractNumId w:val="9"/>
  </w:num>
  <w:num w:numId="10">
    <w:abstractNumId w:val="8"/>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26CE1"/>
    <w:rsid w:val="0043316F"/>
    <w:rsid w:val="00444F53"/>
    <w:rsid w:val="0047777E"/>
    <w:rsid w:val="004903BA"/>
    <w:rsid w:val="004C1A1E"/>
    <w:rsid w:val="004C65DD"/>
    <w:rsid w:val="004E21AB"/>
    <w:rsid w:val="00514717"/>
    <w:rsid w:val="00520318"/>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7167F"/>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3477B"/>
    <w:rsid w:val="00D461EF"/>
    <w:rsid w:val="00D5315D"/>
    <w:rsid w:val="00D671F1"/>
    <w:rsid w:val="00DA4EC7"/>
    <w:rsid w:val="00DE10AB"/>
    <w:rsid w:val="00E0770D"/>
    <w:rsid w:val="00E16F1E"/>
    <w:rsid w:val="00E2048E"/>
    <w:rsid w:val="00E245CA"/>
    <w:rsid w:val="00E36596"/>
    <w:rsid w:val="00E37EEA"/>
    <w:rsid w:val="00E42192"/>
    <w:rsid w:val="00E74126"/>
    <w:rsid w:val="00EC648F"/>
    <w:rsid w:val="00EE235A"/>
    <w:rsid w:val="00F016C9"/>
    <w:rsid w:val="00F711E0"/>
    <w:rsid w:val="00F76B58"/>
    <w:rsid w:val="00F80689"/>
    <w:rsid w:val="00F80C4F"/>
    <w:rsid w:val="00F87B63"/>
    <w:rsid w:val="00FB184A"/>
    <w:rsid w:val="00FE5412"/>
    <w:rsid w:val="014A4869"/>
    <w:rsid w:val="015B6D94"/>
    <w:rsid w:val="018F785C"/>
    <w:rsid w:val="019B62D0"/>
    <w:rsid w:val="01C532E9"/>
    <w:rsid w:val="02300221"/>
    <w:rsid w:val="023460A6"/>
    <w:rsid w:val="02536887"/>
    <w:rsid w:val="025C1772"/>
    <w:rsid w:val="026779BA"/>
    <w:rsid w:val="028216FF"/>
    <w:rsid w:val="028A507F"/>
    <w:rsid w:val="029F53A6"/>
    <w:rsid w:val="02B74D65"/>
    <w:rsid w:val="02BB6AD5"/>
    <w:rsid w:val="02DA490A"/>
    <w:rsid w:val="02E470A8"/>
    <w:rsid w:val="02E628A1"/>
    <w:rsid w:val="02EA04EB"/>
    <w:rsid w:val="02EB59EF"/>
    <w:rsid w:val="032C15CE"/>
    <w:rsid w:val="03462539"/>
    <w:rsid w:val="034C6B09"/>
    <w:rsid w:val="03537505"/>
    <w:rsid w:val="039B4242"/>
    <w:rsid w:val="03C749B1"/>
    <w:rsid w:val="03D814FB"/>
    <w:rsid w:val="03DA68A8"/>
    <w:rsid w:val="03F37758"/>
    <w:rsid w:val="03F83330"/>
    <w:rsid w:val="03F90456"/>
    <w:rsid w:val="03FC6E79"/>
    <w:rsid w:val="03FD515B"/>
    <w:rsid w:val="04093748"/>
    <w:rsid w:val="041A320C"/>
    <w:rsid w:val="045D4C41"/>
    <w:rsid w:val="04675A50"/>
    <w:rsid w:val="04690990"/>
    <w:rsid w:val="047A3D7F"/>
    <w:rsid w:val="048339CF"/>
    <w:rsid w:val="049820AD"/>
    <w:rsid w:val="049E7AE4"/>
    <w:rsid w:val="049F6CCF"/>
    <w:rsid w:val="04AA055C"/>
    <w:rsid w:val="04D255BF"/>
    <w:rsid w:val="04FF7EFB"/>
    <w:rsid w:val="05072E5A"/>
    <w:rsid w:val="050A6429"/>
    <w:rsid w:val="05112DC1"/>
    <w:rsid w:val="05894B19"/>
    <w:rsid w:val="059203FB"/>
    <w:rsid w:val="05A23DEA"/>
    <w:rsid w:val="05A6089F"/>
    <w:rsid w:val="05B2504B"/>
    <w:rsid w:val="05B44CC5"/>
    <w:rsid w:val="05C25634"/>
    <w:rsid w:val="05DC49B6"/>
    <w:rsid w:val="05E749E3"/>
    <w:rsid w:val="06176A42"/>
    <w:rsid w:val="062E1B85"/>
    <w:rsid w:val="063F6C84"/>
    <w:rsid w:val="06615263"/>
    <w:rsid w:val="06826771"/>
    <w:rsid w:val="06863D99"/>
    <w:rsid w:val="069C40D7"/>
    <w:rsid w:val="06B917F9"/>
    <w:rsid w:val="06EA6F3C"/>
    <w:rsid w:val="072B545A"/>
    <w:rsid w:val="07433EB8"/>
    <w:rsid w:val="0757624F"/>
    <w:rsid w:val="075D751E"/>
    <w:rsid w:val="07E32CEB"/>
    <w:rsid w:val="07E47603"/>
    <w:rsid w:val="07E775D3"/>
    <w:rsid w:val="07EF601C"/>
    <w:rsid w:val="0808754A"/>
    <w:rsid w:val="081F7AE1"/>
    <w:rsid w:val="08517452"/>
    <w:rsid w:val="08566507"/>
    <w:rsid w:val="086E3851"/>
    <w:rsid w:val="08733722"/>
    <w:rsid w:val="08A41020"/>
    <w:rsid w:val="08E958CE"/>
    <w:rsid w:val="09055E29"/>
    <w:rsid w:val="09297778"/>
    <w:rsid w:val="092A7C70"/>
    <w:rsid w:val="0946657C"/>
    <w:rsid w:val="098B3F8E"/>
    <w:rsid w:val="09AC5CCE"/>
    <w:rsid w:val="09B92DAF"/>
    <w:rsid w:val="09C01B05"/>
    <w:rsid w:val="09C6000F"/>
    <w:rsid w:val="09D33507"/>
    <w:rsid w:val="0A326FC1"/>
    <w:rsid w:val="0A3D4649"/>
    <w:rsid w:val="0A582E67"/>
    <w:rsid w:val="0A6C3DC0"/>
    <w:rsid w:val="0A997300"/>
    <w:rsid w:val="0ACB2A8C"/>
    <w:rsid w:val="0AF53DB5"/>
    <w:rsid w:val="0B187AA4"/>
    <w:rsid w:val="0B256EDB"/>
    <w:rsid w:val="0B3476FB"/>
    <w:rsid w:val="0B36585D"/>
    <w:rsid w:val="0B5E4734"/>
    <w:rsid w:val="0B62538F"/>
    <w:rsid w:val="0B670BE4"/>
    <w:rsid w:val="0B680A2B"/>
    <w:rsid w:val="0B952CD5"/>
    <w:rsid w:val="0BA737DB"/>
    <w:rsid w:val="0BC916A9"/>
    <w:rsid w:val="0BCE544D"/>
    <w:rsid w:val="0C0100DB"/>
    <w:rsid w:val="0C062AE9"/>
    <w:rsid w:val="0C1F4E62"/>
    <w:rsid w:val="0C2846F9"/>
    <w:rsid w:val="0C381612"/>
    <w:rsid w:val="0C4B5C57"/>
    <w:rsid w:val="0C5823BF"/>
    <w:rsid w:val="0C7E2224"/>
    <w:rsid w:val="0CA41DB2"/>
    <w:rsid w:val="0CA74127"/>
    <w:rsid w:val="0CC30E22"/>
    <w:rsid w:val="0CCD48BE"/>
    <w:rsid w:val="0CD42F59"/>
    <w:rsid w:val="0CF22471"/>
    <w:rsid w:val="0CF87CA9"/>
    <w:rsid w:val="0D223A98"/>
    <w:rsid w:val="0D7370A6"/>
    <w:rsid w:val="0D744E7D"/>
    <w:rsid w:val="0D830E03"/>
    <w:rsid w:val="0D866AD9"/>
    <w:rsid w:val="0D9413FC"/>
    <w:rsid w:val="0DC83A03"/>
    <w:rsid w:val="0DCE553E"/>
    <w:rsid w:val="0DE21252"/>
    <w:rsid w:val="0DF11F32"/>
    <w:rsid w:val="0E4B0190"/>
    <w:rsid w:val="0E5406AA"/>
    <w:rsid w:val="0EBA3DB7"/>
    <w:rsid w:val="0ECA63D1"/>
    <w:rsid w:val="0ED4568F"/>
    <w:rsid w:val="0EEE57A9"/>
    <w:rsid w:val="0F026AA1"/>
    <w:rsid w:val="0F0334AB"/>
    <w:rsid w:val="0F2B4570"/>
    <w:rsid w:val="0F384BB8"/>
    <w:rsid w:val="0F400A83"/>
    <w:rsid w:val="0FBF6F8D"/>
    <w:rsid w:val="0FC20898"/>
    <w:rsid w:val="0FCB0EB9"/>
    <w:rsid w:val="0FD77F2D"/>
    <w:rsid w:val="103E7E00"/>
    <w:rsid w:val="10441637"/>
    <w:rsid w:val="105D7FFC"/>
    <w:rsid w:val="106851C6"/>
    <w:rsid w:val="106E21D5"/>
    <w:rsid w:val="107057B6"/>
    <w:rsid w:val="107E484D"/>
    <w:rsid w:val="10B83C29"/>
    <w:rsid w:val="10F15212"/>
    <w:rsid w:val="11072B7B"/>
    <w:rsid w:val="11077A75"/>
    <w:rsid w:val="111C022D"/>
    <w:rsid w:val="112B2B23"/>
    <w:rsid w:val="112D2031"/>
    <w:rsid w:val="11513A1F"/>
    <w:rsid w:val="115A6F60"/>
    <w:rsid w:val="11627186"/>
    <w:rsid w:val="119B1453"/>
    <w:rsid w:val="11A4434D"/>
    <w:rsid w:val="11A976A8"/>
    <w:rsid w:val="11CD31BE"/>
    <w:rsid w:val="11DA3D05"/>
    <w:rsid w:val="11DB2B2B"/>
    <w:rsid w:val="11FE0830"/>
    <w:rsid w:val="11FF551A"/>
    <w:rsid w:val="1212349F"/>
    <w:rsid w:val="121D1A18"/>
    <w:rsid w:val="1222745A"/>
    <w:rsid w:val="12371157"/>
    <w:rsid w:val="1237792A"/>
    <w:rsid w:val="12573F56"/>
    <w:rsid w:val="12953ACD"/>
    <w:rsid w:val="129C545E"/>
    <w:rsid w:val="12A55EF3"/>
    <w:rsid w:val="12C56763"/>
    <w:rsid w:val="12F35CBE"/>
    <w:rsid w:val="12F9132B"/>
    <w:rsid w:val="1323348A"/>
    <w:rsid w:val="1359615B"/>
    <w:rsid w:val="135D55D5"/>
    <w:rsid w:val="137609B5"/>
    <w:rsid w:val="13977D36"/>
    <w:rsid w:val="13DE0982"/>
    <w:rsid w:val="13FA129B"/>
    <w:rsid w:val="14140B44"/>
    <w:rsid w:val="141A2ADF"/>
    <w:rsid w:val="143B4AAE"/>
    <w:rsid w:val="14556B66"/>
    <w:rsid w:val="145D29CB"/>
    <w:rsid w:val="14935774"/>
    <w:rsid w:val="14A95694"/>
    <w:rsid w:val="14B00D4D"/>
    <w:rsid w:val="14BA5FD3"/>
    <w:rsid w:val="14C948EB"/>
    <w:rsid w:val="14E65D3F"/>
    <w:rsid w:val="14EB7FD7"/>
    <w:rsid w:val="15453B8B"/>
    <w:rsid w:val="15744EC4"/>
    <w:rsid w:val="157D3325"/>
    <w:rsid w:val="15932B49"/>
    <w:rsid w:val="159857DA"/>
    <w:rsid w:val="15C81239"/>
    <w:rsid w:val="15CE3B81"/>
    <w:rsid w:val="161D47F6"/>
    <w:rsid w:val="1631651A"/>
    <w:rsid w:val="16391231"/>
    <w:rsid w:val="16556273"/>
    <w:rsid w:val="165F4FF8"/>
    <w:rsid w:val="1664363B"/>
    <w:rsid w:val="16664C4C"/>
    <w:rsid w:val="1675508F"/>
    <w:rsid w:val="167E347B"/>
    <w:rsid w:val="168A1F83"/>
    <w:rsid w:val="169346DC"/>
    <w:rsid w:val="16AE0866"/>
    <w:rsid w:val="16B10C01"/>
    <w:rsid w:val="16B207CA"/>
    <w:rsid w:val="16C83452"/>
    <w:rsid w:val="16CF1E69"/>
    <w:rsid w:val="16F74D42"/>
    <w:rsid w:val="170D5685"/>
    <w:rsid w:val="17391CF9"/>
    <w:rsid w:val="1789285E"/>
    <w:rsid w:val="17920C3F"/>
    <w:rsid w:val="17C74D2B"/>
    <w:rsid w:val="17D14087"/>
    <w:rsid w:val="17DB3084"/>
    <w:rsid w:val="17DC7D4F"/>
    <w:rsid w:val="181F5AD8"/>
    <w:rsid w:val="18307450"/>
    <w:rsid w:val="184D3EF1"/>
    <w:rsid w:val="1875761C"/>
    <w:rsid w:val="188A6F19"/>
    <w:rsid w:val="18A250E7"/>
    <w:rsid w:val="19161AB9"/>
    <w:rsid w:val="192D2D5A"/>
    <w:rsid w:val="19682DA5"/>
    <w:rsid w:val="199826D4"/>
    <w:rsid w:val="19A2414E"/>
    <w:rsid w:val="19BC6F4C"/>
    <w:rsid w:val="19BE5749"/>
    <w:rsid w:val="19DE0AF8"/>
    <w:rsid w:val="19F57841"/>
    <w:rsid w:val="1A114340"/>
    <w:rsid w:val="1A165AF6"/>
    <w:rsid w:val="1A3E0861"/>
    <w:rsid w:val="1A465E04"/>
    <w:rsid w:val="1A8B2F57"/>
    <w:rsid w:val="1AB70F3D"/>
    <w:rsid w:val="1B187CCE"/>
    <w:rsid w:val="1B9F38C9"/>
    <w:rsid w:val="1BF02BE4"/>
    <w:rsid w:val="1C2C2879"/>
    <w:rsid w:val="1C367650"/>
    <w:rsid w:val="1CB34617"/>
    <w:rsid w:val="1CB7247E"/>
    <w:rsid w:val="1CBA4E5F"/>
    <w:rsid w:val="1CC97F51"/>
    <w:rsid w:val="1CD362C0"/>
    <w:rsid w:val="1CD85960"/>
    <w:rsid w:val="1D143C38"/>
    <w:rsid w:val="1D523CEF"/>
    <w:rsid w:val="1DA62689"/>
    <w:rsid w:val="1DCB6E46"/>
    <w:rsid w:val="1DE1074A"/>
    <w:rsid w:val="1E0E6E6F"/>
    <w:rsid w:val="1E186628"/>
    <w:rsid w:val="1EBB45E5"/>
    <w:rsid w:val="1EBB548D"/>
    <w:rsid w:val="1EC0236C"/>
    <w:rsid w:val="1EE2244B"/>
    <w:rsid w:val="1EE43BB1"/>
    <w:rsid w:val="1EEE6D0E"/>
    <w:rsid w:val="1EF8115B"/>
    <w:rsid w:val="1EF86E9C"/>
    <w:rsid w:val="1F0B2466"/>
    <w:rsid w:val="1F187AFC"/>
    <w:rsid w:val="1F282554"/>
    <w:rsid w:val="1F3F3FEC"/>
    <w:rsid w:val="1F7F6794"/>
    <w:rsid w:val="1F85103B"/>
    <w:rsid w:val="1F9A2D26"/>
    <w:rsid w:val="1F9A4A89"/>
    <w:rsid w:val="1FA55DB1"/>
    <w:rsid w:val="1FA87ADA"/>
    <w:rsid w:val="1FC65DC4"/>
    <w:rsid w:val="20142AD8"/>
    <w:rsid w:val="201C35AB"/>
    <w:rsid w:val="202F16C0"/>
    <w:rsid w:val="20517888"/>
    <w:rsid w:val="20665917"/>
    <w:rsid w:val="206F2019"/>
    <w:rsid w:val="20700A81"/>
    <w:rsid w:val="20840398"/>
    <w:rsid w:val="20991071"/>
    <w:rsid w:val="20AE2C55"/>
    <w:rsid w:val="21103460"/>
    <w:rsid w:val="212C3E51"/>
    <w:rsid w:val="215313DE"/>
    <w:rsid w:val="21867A05"/>
    <w:rsid w:val="21997739"/>
    <w:rsid w:val="21D11DED"/>
    <w:rsid w:val="21E87D78"/>
    <w:rsid w:val="21ED538F"/>
    <w:rsid w:val="21F842F8"/>
    <w:rsid w:val="21F9443D"/>
    <w:rsid w:val="22092E8E"/>
    <w:rsid w:val="22396B4F"/>
    <w:rsid w:val="223B434C"/>
    <w:rsid w:val="228E2238"/>
    <w:rsid w:val="22BD7FE2"/>
    <w:rsid w:val="23706277"/>
    <w:rsid w:val="238B30B1"/>
    <w:rsid w:val="23AE6E2F"/>
    <w:rsid w:val="23C44815"/>
    <w:rsid w:val="23DA2C45"/>
    <w:rsid w:val="23DA5DE6"/>
    <w:rsid w:val="23E70713"/>
    <w:rsid w:val="23FE3883"/>
    <w:rsid w:val="240A1E8A"/>
    <w:rsid w:val="243701FA"/>
    <w:rsid w:val="244669C2"/>
    <w:rsid w:val="24561ED1"/>
    <w:rsid w:val="245F009A"/>
    <w:rsid w:val="24637A54"/>
    <w:rsid w:val="247B7807"/>
    <w:rsid w:val="24AB2A1F"/>
    <w:rsid w:val="24D3190F"/>
    <w:rsid w:val="253523E4"/>
    <w:rsid w:val="258535E4"/>
    <w:rsid w:val="25A13AD9"/>
    <w:rsid w:val="25B53CA1"/>
    <w:rsid w:val="25C40AFC"/>
    <w:rsid w:val="25D37972"/>
    <w:rsid w:val="25E847EB"/>
    <w:rsid w:val="25EE2BEE"/>
    <w:rsid w:val="260375B1"/>
    <w:rsid w:val="26047715"/>
    <w:rsid w:val="264D28A0"/>
    <w:rsid w:val="26926505"/>
    <w:rsid w:val="2699044B"/>
    <w:rsid w:val="26D03AD3"/>
    <w:rsid w:val="26D37BDA"/>
    <w:rsid w:val="26E869F9"/>
    <w:rsid w:val="270F224B"/>
    <w:rsid w:val="271E72F7"/>
    <w:rsid w:val="27695189"/>
    <w:rsid w:val="27851763"/>
    <w:rsid w:val="27882C4F"/>
    <w:rsid w:val="27B71B44"/>
    <w:rsid w:val="27CE0083"/>
    <w:rsid w:val="27D532E6"/>
    <w:rsid w:val="27DC0E40"/>
    <w:rsid w:val="27E3149F"/>
    <w:rsid w:val="27EC4E11"/>
    <w:rsid w:val="27ED115A"/>
    <w:rsid w:val="2880658D"/>
    <w:rsid w:val="28812CD5"/>
    <w:rsid w:val="288A3B37"/>
    <w:rsid w:val="2898677D"/>
    <w:rsid w:val="28A36794"/>
    <w:rsid w:val="28BD4603"/>
    <w:rsid w:val="28C50CE2"/>
    <w:rsid w:val="28CE5EEB"/>
    <w:rsid w:val="29001E4B"/>
    <w:rsid w:val="29472C62"/>
    <w:rsid w:val="295C1403"/>
    <w:rsid w:val="29602110"/>
    <w:rsid w:val="29BE456F"/>
    <w:rsid w:val="2A0E767C"/>
    <w:rsid w:val="2A6117FF"/>
    <w:rsid w:val="2A6B366E"/>
    <w:rsid w:val="2A731ED7"/>
    <w:rsid w:val="2A8A7353"/>
    <w:rsid w:val="2A8C3D3A"/>
    <w:rsid w:val="2ABC2E32"/>
    <w:rsid w:val="2ABF6EDE"/>
    <w:rsid w:val="2AF71C8B"/>
    <w:rsid w:val="2B0640B7"/>
    <w:rsid w:val="2B1E5499"/>
    <w:rsid w:val="2B2D2CA0"/>
    <w:rsid w:val="2B395AE8"/>
    <w:rsid w:val="2B6D7540"/>
    <w:rsid w:val="2B764F60"/>
    <w:rsid w:val="2BA524BA"/>
    <w:rsid w:val="2BBD471E"/>
    <w:rsid w:val="2BDF5999"/>
    <w:rsid w:val="2BE23A8A"/>
    <w:rsid w:val="2BF832AE"/>
    <w:rsid w:val="2C211938"/>
    <w:rsid w:val="2C291181"/>
    <w:rsid w:val="2C4209CD"/>
    <w:rsid w:val="2C4E7372"/>
    <w:rsid w:val="2CEE42F3"/>
    <w:rsid w:val="2D172FF6"/>
    <w:rsid w:val="2D2D4261"/>
    <w:rsid w:val="2D4D2C4B"/>
    <w:rsid w:val="2D621327"/>
    <w:rsid w:val="2D856DA1"/>
    <w:rsid w:val="2D8C6D98"/>
    <w:rsid w:val="2D914B0D"/>
    <w:rsid w:val="2D99286E"/>
    <w:rsid w:val="2DD52E33"/>
    <w:rsid w:val="2DD613CD"/>
    <w:rsid w:val="2E0E4B42"/>
    <w:rsid w:val="2E5642BC"/>
    <w:rsid w:val="2E9A689E"/>
    <w:rsid w:val="2EA41244"/>
    <w:rsid w:val="2ECB4A29"/>
    <w:rsid w:val="2EF706EB"/>
    <w:rsid w:val="2EF76980"/>
    <w:rsid w:val="2EFD2C10"/>
    <w:rsid w:val="2F0A3A24"/>
    <w:rsid w:val="2F0D52C2"/>
    <w:rsid w:val="2F4410AB"/>
    <w:rsid w:val="2F506DA5"/>
    <w:rsid w:val="2F81580D"/>
    <w:rsid w:val="2F894BD6"/>
    <w:rsid w:val="2F971030"/>
    <w:rsid w:val="2F9A34A9"/>
    <w:rsid w:val="2FD15DDB"/>
    <w:rsid w:val="2FF53F42"/>
    <w:rsid w:val="30156655"/>
    <w:rsid w:val="30191A45"/>
    <w:rsid w:val="303E3AC7"/>
    <w:rsid w:val="304C19DC"/>
    <w:rsid w:val="30534B6F"/>
    <w:rsid w:val="3082581B"/>
    <w:rsid w:val="308A7A18"/>
    <w:rsid w:val="30B84BA1"/>
    <w:rsid w:val="30BE39AD"/>
    <w:rsid w:val="30C8474C"/>
    <w:rsid w:val="30F027A5"/>
    <w:rsid w:val="30F75572"/>
    <w:rsid w:val="30F975CF"/>
    <w:rsid w:val="31271D22"/>
    <w:rsid w:val="317C0D70"/>
    <w:rsid w:val="319770C5"/>
    <w:rsid w:val="31A13C71"/>
    <w:rsid w:val="31AA11CD"/>
    <w:rsid w:val="31AD353E"/>
    <w:rsid w:val="31C66DCA"/>
    <w:rsid w:val="31CD6F8B"/>
    <w:rsid w:val="322A29BE"/>
    <w:rsid w:val="32755B3F"/>
    <w:rsid w:val="327A2C6E"/>
    <w:rsid w:val="32910BFC"/>
    <w:rsid w:val="329A6E6D"/>
    <w:rsid w:val="32D63637"/>
    <w:rsid w:val="32F6606D"/>
    <w:rsid w:val="33584D17"/>
    <w:rsid w:val="336770DA"/>
    <w:rsid w:val="338D077F"/>
    <w:rsid w:val="33B10912"/>
    <w:rsid w:val="33C61216"/>
    <w:rsid w:val="33D95773"/>
    <w:rsid w:val="33E05883"/>
    <w:rsid w:val="34277A89"/>
    <w:rsid w:val="34502B3C"/>
    <w:rsid w:val="34875B58"/>
    <w:rsid w:val="34AA5361"/>
    <w:rsid w:val="34B34216"/>
    <w:rsid w:val="34EC697D"/>
    <w:rsid w:val="352041F6"/>
    <w:rsid w:val="355C48AD"/>
    <w:rsid w:val="356467EB"/>
    <w:rsid w:val="35675CD8"/>
    <w:rsid w:val="357C62C0"/>
    <w:rsid w:val="358362DE"/>
    <w:rsid w:val="358F7495"/>
    <w:rsid w:val="35C808B1"/>
    <w:rsid w:val="35EE5151"/>
    <w:rsid w:val="361433EF"/>
    <w:rsid w:val="36286B73"/>
    <w:rsid w:val="36290B2F"/>
    <w:rsid w:val="362D13B0"/>
    <w:rsid w:val="36783969"/>
    <w:rsid w:val="368608FD"/>
    <w:rsid w:val="36892348"/>
    <w:rsid w:val="36F86858"/>
    <w:rsid w:val="370451FC"/>
    <w:rsid w:val="373652E3"/>
    <w:rsid w:val="375546D0"/>
    <w:rsid w:val="377C3731"/>
    <w:rsid w:val="37863E63"/>
    <w:rsid w:val="37916446"/>
    <w:rsid w:val="37992BB5"/>
    <w:rsid w:val="37B0227B"/>
    <w:rsid w:val="38390CFC"/>
    <w:rsid w:val="3855231E"/>
    <w:rsid w:val="385D4C77"/>
    <w:rsid w:val="38672589"/>
    <w:rsid w:val="38A60A12"/>
    <w:rsid w:val="38BF2886"/>
    <w:rsid w:val="38DB01DF"/>
    <w:rsid w:val="38FD1534"/>
    <w:rsid w:val="390F240C"/>
    <w:rsid w:val="39232344"/>
    <w:rsid w:val="392568B6"/>
    <w:rsid w:val="392D763B"/>
    <w:rsid w:val="393161C0"/>
    <w:rsid w:val="39AC56D7"/>
    <w:rsid w:val="39AD405B"/>
    <w:rsid w:val="39D70512"/>
    <w:rsid w:val="39E712A5"/>
    <w:rsid w:val="39F95713"/>
    <w:rsid w:val="3A0E0B1B"/>
    <w:rsid w:val="3A1F234D"/>
    <w:rsid w:val="3A5F1FCB"/>
    <w:rsid w:val="3A6A6801"/>
    <w:rsid w:val="3AA028C2"/>
    <w:rsid w:val="3AAF36D1"/>
    <w:rsid w:val="3AB74334"/>
    <w:rsid w:val="3B190B4B"/>
    <w:rsid w:val="3B2339FD"/>
    <w:rsid w:val="3B240146"/>
    <w:rsid w:val="3B4F37E8"/>
    <w:rsid w:val="3B5F4080"/>
    <w:rsid w:val="3B6F6B01"/>
    <w:rsid w:val="3B913177"/>
    <w:rsid w:val="3B981F47"/>
    <w:rsid w:val="3BAB0C87"/>
    <w:rsid w:val="3BB05953"/>
    <w:rsid w:val="3BB96DB6"/>
    <w:rsid w:val="3BBB2C26"/>
    <w:rsid w:val="3BBE2083"/>
    <w:rsid w:val="3BC42600"/>
    <w:rsid w:val="3BD74C8E"/>
    <w:rsid w:val="3BE857DC"/>
    <w:rsid w:val="3C33049F"/>
    <w:rsid w:val="3C423D71"/>
    <w:rsid w:val="3C487939"/>
    <w:rsid w:val="3C5A766D"/>
    <w:rsid w:val="3CC019CB"/>
    <w:rsid w:val="3CCA5F9E"/>
    <w:rsid w:val="3CD270D8"/>
    <w:rsid w:val="3CDC2262"/>
    <w:rsid w:val="3CE53F8F"/>
    <w:rsid w:val="3CF9616C"/>
    <w:rsid w:val="3CFE449C"/>
    <w:rsid w:val="3D23633B"/>
    <w:rsid w:val="3D4A148F"/>
    <w:rsid w:val="3D5642D8"/>
    <w:rsid w:val="3D622C7D"/>
    <w:rsid w:val="3D633DAF"/>
    <w:rsid w:val="3D650176"/>
    <w:rsid w:val="3D6513A4"/>
    <w:rsid w:val="3D7719D5"/>
    <w:rsid w:val="3D804F37"/>
    <w:rsid w:val="3D81441A"/>
    <w:rsid w:val="3D8817CF"/>
    <w:rsid w:val="3D8E5820"/>
    <w:rsid w:val="3DBF3C2B"/>
    <w:rsid w:val="3DF37D79"/>
    <w:rsid w:val="3DF76C7F"/>
    <w:rsid w:val="3E032EB7"/>
    <w:rsid w:val="3E287A22"/>
    <w:rsid w:val="3E293407"/>
    <w:rsid w:val="3E2D64A7"/>
    <w:rsid w:val="3E71651A"/>
    <w:rsid w:val="3E952BDE"/>
    <w:rsid w:val="3EB72B54"/>
    <w:rsid w:val="3ECA56C6"/>
    <w:rsid w:val="3EDC306B"/>
    <w:rsid w:val="3EE31D23"/>
    <w:rsid w:val="3F035D9A"/>
    <w:rsid w:val="3F156858"/>
    <w:rsid w:val="3F1D290D"/>
    <w:rsid w:val="3F20694C"/>
    <w:rsid w:val="3F4907B2"/>
    <w:rsid w:val="3F4F5483"/>
    <w:rsid w:val="3F607C2D"/>
    <w:rsid w:val="3F68453B"/>
    <w:rsid w:val="3F88308A"/>
    <w:rsid w:val="3F995312"/>
    <w:rsid w:val="3F9966FE"/>
    <w:rsid w:val="3FDC7C1A"/>
    <w:rsid w:val="40061D9E"/>
    <w:rsid w:val="400D1685"/>
    <w:rsid w:val="4083757B"/>
    <w:rsid w:val="408C635B"/>
    <w:rsid w:val="40A32B51"/>
    <w:rsid w:val="40D00267"/>
    <w:rsid w:val="40F33A82"/>
    <w:rsid w:val="414D62D4"/>
    <w:rsid w:val="417040E6"/>
    <w:rsid w:val="41D55520"/>
    <w:rsid w:val="41E6476F"/>
    <w:rsid w:val="41E95468"/>
    <w:rsid w:val="41ED56F3"/>
    <w:rsid w:val="41F40ADF"/>
    <w:rsid w:val="41F7683F"/>
    <w:rsid w:val="41F8770C"/>
    <w:rsid w:val="41FC6E26"/>
    <w:rsid w:val="420E4DBD"/>
    <w:rsid w:val="421A11A9"/>
    <w:rsid w:val="422468A6"/>
    <w:rsid w:val="427964C9"/>
    <w:rsid w:val="428B3D01"/>
    <w:rsid w:val="429C0645"/>
    <w:rsid w:val="42CA4F2A"/>
    <w:rsid w:val="42D9753D"/>
    <w:rsid w:val="42DE2DA6"/>
    <w:rsid w:val="42F1180C"/>
    <w:rsid w:val="42FC5CEE"/>
    <w:rsid w:val="4318549D"/>
    <w:rsid w:val="433B572E"/>
    <w:rsid w:val="43C27497"/>
    <w:rsid w:val="43C5008B"/>
    <w:rsid w:val="44071575"/>
    <w:rsid w:val="441D16AC"/>
    <w:rsid w:val="443F1DF1"/>
    <w:rsid w:val="444A5A66"/>
    <w:rsid w:val="445157F9"/>
    <w:rsid w:val="445269C3"/>
    <w:rsid w:val="446948F1"/>
    <w:rsid w:val="447A6BAC"/>
    <w:rsid w:val="44842B9E"/>
    <w:rsid w:val="4498644C"/>
    <w:rsid w:val="44AD459D"/>
    <w:rsid w:val="44BA58C3"/>
    <w:rsid w:val="44DB35DF"/>
    <w:rsid w:val="44DF1057"/>
    <w:rsid w:val="44F504EC"/>
    <w:rsid w:val="45041475"/>
    <w:rsid w:val="451A1C4E"/>
    <w:rsid w:val="45207AE0"/>
    <w:rsid w:val="4531649B"/>
    <w:rsid w:val="453364FC"/>
    <w:rsid w:val="4545625B"/>
    <w:rsid w:val="4589599E"/>
    <w:rsid w:val="45E83F1B"/>
    <w:rsid w:val="45F428E0"/>
    <w:rsid w:val="46004DE1"/>
    <w:rsid w:val="46006015"/>
    <w:rsid w:val="46265402"/>
    <w:rsid w:val="463C386B"/>
    <w:rsid w:val="4645313C"/>
    <w:rsid w:val="46476E9C"/>
    <w:rsid w:val="465D3E2D"/>
    <w:rsid w:val="46847833"/>
    <w:rsid w:val="46900AC4"/>
    <w:rsid w:val="46920B5E"/>
    <w:rsid w:val="46AC535B"/>
    <w:rsid w:val="46CF0993"/>
    <w:rsid w:val="46E01EF3"/>
    <w:rsid w:val="46F65488"/>
    <w:rsid w:val="471A1242"/>
    <w:rsid w:val="471F2A33"/>
    <w:rsid w:val="471F573B"/>
    <w:rsid w:val="475B5461"/>
    <w:rsid w:val="475D032F"/>
    <w:rsid w:val="47A619B8"/>
    <w:rsid w:val="47CB0DD4"/>
    <w:rsid w:val="47D876FB"/>
    <w:rsid w:val="480F7E14"/>
    <w:rsid w:val="48741AB6"/>
    <w:rsid w:val="48742B93"/>
    <w:rsid w:val="48A95C04"/>
    <w:rsid w:val="48AC50AC"/>
    <w:rsid w:val="48B0513B"/>
    <w:rsid w:val="48F646F7"/>
    <w:rsid w:val="491A58FE"/>
    <w:rsid w:val="49305F90"/>
    <w:rsid w:val="49773C28"/>
    <w:rsid w:val="497756A4"/>
    <w:rsid w:val="49802A32"/>
    <w:rsid w:val="49B1539B"/>
    <w:rsid w:val="49B4697B"/>
    <w:rsid w:val="49C55ED9"/>
    <w:rsid w:val="49CF1E7A"/>
    <w:rsid w:val="4A071078"/>
    <w:rsid w:val="4A2A2120"/>
    <w:rsid w:val="4A464097"/>
    <w:rsid w:val="4A591CA0"/>
    <w:rsid w:val="4A611BAC"/>
    <w:rsid w:val="4A805CB0"/>
    <w:rsid w:val="4ACF2C1E"/>
    <w:rsid w:val="4ADE3681"/>
    <w:rsid w:val="4AEB42B2"/>
    <w:rsid w:val="4B2348BD"/>
    <w:rsid w:val="4B3814C1"/>
    <w:rsid w:val="4B3C0FDC"/>
    <w:rsid w:val="4B3D6FC9"/>
    <w:rsid w:val="4B6C2A28"/>
    <w:rsid w:val="4B6C4CC7"/>
    <w:rsid w:val="4B8464B4"/>
    <w:rsid w:val="4B9422CC"/>
    <w:rsid w:val="4B9B025F"/>
    <w:rsid w:val="4BB94972"/>
    <w:rsid w:val="4BD304AC"/>
    <w:rsid w:val="4BE13F29"/>
    <w:rsid w:val="4BE60F1D"/>
    <w:rsid w:val="4BF13D91"/>
    <w:rsid w:val="4C0731BC"/>
    <w:rsid w:val="4C0C0983"/>
    <w:rsid w:val="4C145AF5"/>
    <w:rsid w:val="4C2537F3"/>
    <w:rsid w:val="4C373527"/>
    <w:rsid w:val="4C396AAB"/>
    <w:rsid w:val="4C6065D9"/>
    <w:rsid w:val="4CA36F96"/>
    <w:rsid w:val="4CB70DEF"/>
    <w:rsid w:val="4CC0252A"/>
    <w:rsid w:val="4CC1587A"/>
    <w:rsid w:val="4CFD651E"/>
    <w:rsid w:val="4D155D71"/>
    <w:rsid w:val="4D2C6E03"/>
    <w:rsid w:val="4D37534E"/>
    <w:rsid w:val="4D53092F"/>
    <w:rsid w:val="4D587981"/>
    <w:rsid w:val="4D7A29D4"/>
    <w:rsid w:val="4D7E7F7E"/>
    <w:rsid w:val="4DBB4542"/>
    <w:rsid w:val="4DBD1CC1"/>
    <w:rsid w:val="4DC44B6E"/>
    <w:rsid w:val="4DCD4142"/>
    <w:rsid w:val="4DD1180C"/>
    <w:rsid w:val="4DDA685F"/>
    <w:rsid w:val="4DDC4EFC"/>
    <w:rsid w:val="4DEB5934"/>
    <w:rsid w:val="4E0631B0"/>
    <w:rsid w:val="4E197388"/>
    <w:rsid w:val="4E1D0A20"/>
    <w:rsid w:val="4E2F710D"/>
    <w:rsid w:val="4E320449"/>
    <w:rsid w:val="4E3450A1"/>
    <w:rsid w:val="4E592873"/>
    <w:rsid w:val="4E8862BB"/>
    <w:rsid w:val="4E9C4EF1"/>
    <w:rsid w:val="4EA35B07"/>
    <w:rsid w:val="4F061E56"/>
    <w:rsid w:val="4F251D5C"/>
    <w:rsid w:val="4F281AC6"/>
    <w:rsid w:val="4F4334DF"/>
    <w:rsid w:val="4F5C0152"/>
    <w:rsid w:val="4F5D32A4"/>
    <w:rsid w:val="4F657A1A"/>
    <w:rsid w:val="4F750D72"/>
    <w:rsid w:val="4F8E345D"/>
    <w:rsid w:val="4F9842DC"/>
    <w:rsid w:val="4FD07F1A"/>
    <w:rsid w:val="4FD35689"/>
    <w:rsid w:val="500B0F52"/>
    <w:rsid w:val="500D7441"/>
    <w:rsid w:val="501E557D"/>
    <w:rsid w:val="50255C33"/>
    <w:rsid w:val="502D0EC8"/>
    <w:rsid w:val="5038161B"/>
    <w:rsid w:val="504D1F7F"/>
    <w:rsid w:val="50724B2D"/>
    <w:rsid w:val="50BF20D0"/>
    <w:rsid w:val="50CF6052"/>
    <w:rsid w:val="50E2102C"/>
    <w:rsid w:val="50FE5415"/>
    <w:rsid w:val="51063B27"/>
    <w:rsid w:val="51081910"/>
    <w:rsid w:val="511503E1"/>
    <w:rsid w:val="51204589"/>
    <w:rsid w:val="515C3A4F"/>
    <w:rsid w:val="51680684"/>
    <w:rsid w:val="518D1C42"/>
    <w:rsid w:val="51932FAD"/>
    <w:rsid w:val="51BC2CCE"/>
    <w:rsid w:val="51D13AD5"/>
    <w:rsid w:val="51E533A2"/>
    <w:rsid w:val="51F45C15"/>
    <w:rsid w:val="51F55A16"/>
    <w:rsid w:val="52075749"/>
    <w:rsid w:val="520A1843"/>
    <w:rsid w:val="521340EE"/>
    <w:rsid w:val="521C370F"/>
    <w:rsid w:val="522527EE"/>
    <w:rsid w:val="524D3E83"/>
    <w:rsid w:val="525E35BB"/>
    <w:rsid w:val="52964205"/>
    <w:rsid w:val="529A3098"/>
    <w:rsid w:val="52A2637D"/>
    <w:rsid w:val="52B137B9"/>
    <w:rsid w:val="52F61A46"/>
    <w:rsid w:val="536C1D08"/>
    <w:rsid w:val="53781719"/>
    <w:rsid w:val="53804D80"/>
    <w:rsid w:val="53981898"/>
    <w:rsid w:val="53B46CF8"/>
    <w:rsid w:val="53C75190"/>
    <w:rsid w:val="53C84107"/>
    <w:rsid w:val="53FC3DBB"/>
    <w:rsid w:val="540939FA"/>
    <w:rsid w:val="541B540A"/>
    <w:rsid w:val="54401249"/>
    <w:rsid w:val="544438A0"/>
    <w:rsid w:val="544E765F"/>
    <w:rsid w:val="54535AEF"/>
    <w:rsid w:val="54556C40"/>
    <w:rsid w:val="546B6463"/>
    <w:rsid w:val="547E7FB3"/>
    <w:rsid w:val="54C87412"/>
    <w:rsid w:val="54FC75D0"/>
    <w:rsid w:val="5501496A"/>
    <w:rsid w:val="5502036B"/>
    <w:rsid w:val="550366C9"/>
    <w:rsid w:val="550F625D"/>
    <w:rsid w:val="5526220B"/>
    <w:rsid w:val="554B1941"/>
    <w:rsid w:val="556736CB"/>
    <w:rsid w:val="556D4F91"/>
    <w:rsid w:val="55DD513F"/>
    <w:rsid w:val="561D0A69"/>
    <w:rsid w:val="562C010C"/>
    <w:rsid w:val="56552F27"/>
    <w:rsid w:val="56720A17"/>
    <w:rsid w:val="567468D3"/>
    <w:rsid w:val="568832FC"/>
    <w:rsid w:val="56A45C5C"/>
    <w:rsid w:val="56A8491C"/>
    <w:rsid w:val="56B365F2"/>
    <w:rsid w:val="571F7091"/>
    <w:rsid w:val="57230D60"/>
    <w:rsid w:val="57280417"/>
    <w:rsid w:val="573C6644"/>
    <w:rsid w:val="574B60D8"/>
    <w:rsid w:val="57551807"/>
    <w:rsid w:val="575B7984"/>
    <w:rsid w:val="57662666"/>
    <w:rsid w:val="57725A42"/>
    <w:rsid w:val="57AD15A0"/>
    <w:rsid w:val="57C9597B"/>
    <w:rsid w:val="583E2EB7"/>
    <w:rsid w:val="584E7C2E"/>
    <w:rsid w:val="58615BB3"/>
    <w:rsid w:val="58722AC6"/>
    <w:rsid w:val="58727C79"/>
    <w:rsid w:val="587950DA"/>
    <w:rsid w:val="588418A2"/>
    <w:rsid w:val="588B70D4"/>
    <w:rsid w:val="58BB6F2F"/>
    <w:rsid w:val="58C0021D"/>
    <w:rsid w:val="58C209CB"/>
    <w:rsid w:val="58C3123D"/>
    <w:rsid w:val="58C75B45"/>
    <w:rsid w:val="590029F6"/>
    <w:rsid w:val="59094D1F"/>
    <w:rsid w:val="590F7712"/>
    <w:rsid w:val="591666E5"/>
    <w:rsid w:val="59480B21"/>
    <w:rsid w:val="594A2AEB"/>
    <w:rsid w:val="59842292"/>
    <w:rsid w:val="598B2199"/>
    <w:rsid w:val="59A2059F"/>
    <w:rsid w:val="59AF0BA0"/>
    <w:rsid w:val="59CB1CFB"/>
    <w:rsid w:val="59F64A21"/>
    <w:rsid w:val="5A1739EC"/>
    <w:rsid w:val="5A28633E"/>
    <w:rsid w:val="5A2F315C"/>
    <w:rsid w:val="5A607209"/>
    <w:rsid w:val="5A736BFA"/>
    <w:rsid w:val="5A7F0572"/>
    <w:rsid w:val="5A8C157E"/>
    <w:rsid w:val="5AAE0CBC"/>
    <w:rsid w:val="5AC97A40"/>
    <w:rsid w:val="5AD43EF3"/>
    <w:rsid w:val="5AEA1AAB"/>
    <w:rsid w:val="5AEB61C6"/>
    <w:rsid w:val="5AF213C3"/>
    <w:rsid w:val="5AFB3F4B"/>
    <w:rsid w:val="5AFD2B4C"/>
    <w:rsid w:val="5B153E68"/>
    <w:rsid w:val="5B851289"/>
    <w:rsid w:val="5B8F2A37"/>
    <w:rsid w:val="5BD57899"/>
    <w:rsid w:val="5BD668B8"/>
    <w:rsid w:val="5BE8603E"/>
    <w:rsid w:val="5BFD7D84"/>
    <w:rsid w:val="5C2A4CC2"/>
    <w:rsid w:val="5C450E55"/>
    <w:rsid w:val="5C556A5F"/>
    <w:rsid w:val="5C954DB9"/>
    <w:rsid w:val="5CA22C3E"/>
    <w:rsid w:val="5CA8471C"/>
    <w:rsid w:val="5CAC586B"/>
    <w:rsid w:val="5CC6692D"/>
    <w:rsid w:val="5CE43E71"/>
    <w:rsid w:val="5D0B6EBE"/>
    <w:rsid w:val="5D221242"/>
    <w:rsid w:val="5D2F2193"/>
    <w:rsid w:val="5D3C274B"/>
    <w:rsid w:val="5D6F3EAF"/>
    <w:rsid w:val="5D7B64BE"/>
    <w:rsid w:val="5D8B722E"/>
    <w:rsid w:val="5DA25B09"/>
    <w:rsid w:val="5DA327CA"/>
    <w:rsid w:val="5DAD79EC"/>
    <w:rsid w:val="5DC00542"/>
    <w:rsid w:val="5DC93865"/>
    <w:rsid w:val="5DCD4123"/>
    <w:rsid w:val="5E194D96"/>
    <w:rsid w:val="5E7E2B8A"/>
    <w:rsid w:val="5E7E3D05"/>
    <w:rsid w:val="5E815819"/>
    <w:rsid w:val="5EA00E2F"/>
    <w:rsid w:val="5EA74983"/>
    <w:rsid w:val="5EB677B0"/>
    <w:rsid w:val="5F0039DE"/>
    <w:rsid w:val="5F4D2B10"/>
    <w:rsid w:val="5F5322EC"/>
    <w:rsid w:val="5F7A57AC"/>
    <w:rsid w:val="5F99367F"/>
    <w:rsid w:val="5F9F3465"/>
    <w:rsid w:val="5FA168CF"/>
    <w:rsid w:val="5FBE331A"/>
    <w:rsid w:val="5FCD244A"/>
    <w:rsid w:val="5FD21EE2"/>
    <w:rsid w:val="5FFD1B5F"/>
    <w:rsid w:val="602A6BFE"/>
    <w:rsid w:val="605814A9"/>
    <w:rsid w:val="60E530F9"/>
    <w:rsid w:val="614A2CE1"/>
    <w:rsid w:val="616B35FF"/>
    <w:rsid w:val="61771F9D"/>
    <w:rsid w:val="617A1A94"/>
    <w:rsid w:val="61834DEC"/>
    <w:rsid w:val="61EB7224"/>
    <w:rsid w:val="61EE4B9B"/>
    <w:rsid w:val="623460E6"/>
    <w:rsid w:val="62475BAC"/>
    <w:rsid w:val="62655A4A"/>
    <w:rsid w:val="626A4F39"/>
    <w:rsid w:val="62832BCA"/>
    <w:rsid w:val="629D1EDE"/>
    <w:rsid w:val="62D037D0"/>
    <w:rsid w:val="630D51AB"/>
    <w:rsid w:val="6322733A"/>
    <w:rsid w:val="63754B89"/>
    <w:rsid w:val="63B70D7D"/>
    <w:rsid w:val="63CD48DA"/>
    <w:rsid w:val="64083BDD"/>
    <w:rsid w:val="641872CF"/>
    <w:rsid w:val="64624165"/>
    <w:rsid w:val="648275DD"/>
    <w:rsid w:val="64995780"/>
    <w:rsid w:val="649E1F3D"/>
    <w:rsid w:val="64AD03EB"/>
    <w:rsid w:val="64B41760"/>
    <w:rsid w:val="64D23C9D"/>
    <w:rsid w:val="64D911C7"/>
    <w:rsid w:val="64E1547D"/>
    <w:rsid w:val="64F8621A"/>
    <w:rsid w:val="64FF62E8"/>
    <w:rsid w:val="65030AD7"/>
    <w:rsid w:val="65041975"/>
    <w:rsid w:val="65102E3B"/>
    <w:rsid w:val="651B617E"/>
    <w:rsid w:val="65935A74"/>
    <w:rsid w:val="65984BDE"/>
    <w:rsid w:val="65A768AA"/>
    <w:rsid w:val="65B6655E"/>
    <w:rsid w:val="65D93FDD"/>
    <w:rsid w:val="65E038BC"/>
    <w:rsid w:val="662326FA"/>
    <w:rsid w:val="665E40FC"/>
    <w:rsid w:val="66606927"/>
    <w:rsid w:val="669D0591"/>
    <w:rsid w:val="66C86594"/>
    <w:rsid w:val="671B7875"/>
    <w:rsid w:val="67251F61"/>
    <w:rsid w:val="67444D56"/>
    <w:rsid w:val="675207F5"/>
    <w:rsid w:val="67595122"/>
    <w:rsid w:val="67700F1C"/>
    <w:rsid w:val="67705445"/>
    <w:rsid w:val="678D7C38"/>
    <w:rsid w:val="679078F8"/>
    <w:rsid w:val="67A67140"/>
    <w:rsid w:val="67A91325"/>
    <w:rsid w:val="67BF267F"/>
    <w:rsid w:val="6835318E"/>
    <w:rsid w:val="68721717"/>
    <w:rsid w:val="687D31D3"/>
    <w:rsid w:val="68B24B39"/>
    <w:rsid w:val="69064A9A"/>
    <w:rsid w:val="69224EEB"/>
    <w:rsid w:val="692E7D33"/>
    <w:rsid w:val="693B0729"/>
    <w:rsid w:val="69714EBB"/>
    <w:rsid w:val="698135C6"/>
    <w:rsid w:val="69833262"/>
    <w:rsid w:val="6997469A"/>
    <w:rsid w:val="69A12525"/>
    <w:rsid w:val="69AF3E41"/>
    <w:rsid w:val="69CC74F2"/>
    <w:rsid w:val="6A1102F9"/>
    <w:rsid w:val="6A242EE4"/>
    <w:rsid w:val="6A347FFD"/>
    <w:rsid w:val="6A543B60"/>
    <w:rsid w:val="6A5512F0"/>
    <w:rsid w:val="6A68225A"/>
    <w:rsid w:val="6A771266"/>
    <w:rsid w:val="6A773860"/>
    <w:rsid w:val="6A825A16"/>
    <w:rsid w:val="6A8F432A"/>
    <w:rsid w:val="6AA02886"/>
    <w:rsid w:val="6AA70ABD"/>
    <w:rsid w:val="6AD46C1B"/>
    <w:rsid w:val="6ADF6062"/>
    <w:rsid w:val="6B0E19CD"/>
    <w:rsid w:val="6B186BFE"/>
    <w:rsid w:val="6B2F1B41"/>
    <w:rsid w:val="6B40549D"/>
    <w:rsid w:val="6B431148"/>
    <w:rsid w:val="6BBF09B4"/>
    <w:rsid w:val="6BFB0CF9"/>
    <w:rsid w:val="6C0D5CDC"/>
    <w:rsid w:val="6C2C7E2E"/>
    <w:rsid w:val="6C3D64DF"/>
    <w:rsid w:val="6C3E6CF8"/>
    <w:rsid w:val="6C691DB1"/>
    <w:rsid w:val="6C74510B"/>
    <w:rsid w:val="6C803AAC"/>
    <w:rsid w:val="6CBC6B37"/>
    <w:rsid w:val="6CDF30F3"/>
    <w:rsid w:val="6D5238C5"/>
    <w:rsid w:val="6D811791"/>
    <w:rsid w:val="6D9D726E"/>
    <w:rsid w:val="6DC12DE8"/>
    <w:rsid w:val="6DD52747"/>
    <w:rsid w:val="6DF54E64"/>
    <w:rsid w:val="6E1A3D90"/>
    <w:rsid w:val="6E731D44"/>
    <w:rsid w:val="6E75594B"/>
    <w:rsid w:val="6EA11741"/>
    <w:rsid w:val="6EAE2FFB"/>
    <w:rsid w:val="6F010FCF"/>
    <w:rsid w:val="6F16554D"/>
    <w:rsid w:val="6F452166"/>
    <w:rsid w:val="6F460600"/>
    <w:rsid w:val="6F5F0EF2"/>
    <w:rsid w:val="6FC63D40"/>
    <w:rsid w:val="6FE54450"/>
    <w:rsid w:val="6FF1412A"/>
    <w:rsid w:val="70291255"/>
    <w:rsid w:val="703C61FB"/>
    <w:rsid w:val="705803FB"/>
    <w:rsid w:val="708F0E3B"/>
    <w:rsid w:val="70AC2C1B"/>
    <w:rsid w:val="70B53AD2"/>
    <w:rsid w:val="70BD0F64"/>
    <w:rsid w:val="715045BF"/>
    <w:rsid w:val="71883F4B"/>
    <w:rsid w:val="71B7463E"/>
    <w:rsid w:val="71CA11ED"/>
    <w:rsid w:val="71F2645B"/>
    <w:rsid w:val="723E6ED1"/>
    <w:rsid w:val="725400DF"/>
    <w:rsid w:val="725B321B"/>
    <w:rsid w:val="72697ED9"/>
    <w:rsid w:val="728C471B"/>
    <w:rsid w:val="72B548D5"/>
    <w:rsid w:val="72EC2202"/>
    <w:rsid w:val="72F8142E"/>
    <w:rsid w:val="73127C2B"/>
    <w:rsid w:val="73171D36"/>
    <w:rsid w:val="73196B42"/>
    <w:rsid w:val="7338355D"/>
    <w:rsid w:val="736E6F7E"/>
    <w:rsid w:val="73820D07"/>
    <w:rsid w:val="73995238"/>
    <w:rsid w:val="739B6B02"/>
    <w:rsid w:val="73A9530B"/>
    <w:rsid w:val="73BE1CB4"/>
    <w:rsid w:val="73CA0659"/>
    <w:rsid w:val="73D019E7"/>
    <w:rsid w:val="73EA5BC6"/>
    <w:rsid w:val="73FC1B7C"/>
    <w:rsid w:val="743B6FD2"/>
    <w:rsid w:val="743C0E2B"/>
    <w:rsid w:val="74606D62"/>
    <w:rsid w:val="74C432FA"/>
    <w:rsid w:val="74D27954"/>
    <w:rsid w:val="75321D4A"/>
    <w:rsid w:val="75397D84"/>
    <w:rsid w:val="754C45F9"/>
    <w:rsid w:val="75580825"/>
    <w:rsid w:val="75625061"/>
    <w:rsid w:val="75B613A7"/>
    <w:rsid w:val="75BC66C7"/>
    <w:rsid w:val="75D6455E"/>
    <w:rsid w:val="75E23F25"/>
    <w:rsid w:val="75E44C7A"/>
    <w:rsid w:val="75EC19CA"/>
    <w:rsid w:val="75F61BD9"/>
    <w:rsid w:val="75F76EA1"/>
    <w:rsid w:val="763E3AFC"/>
    <w:rsid w:val="765D5D80"/>
    <w:rsid w:val="767D2092"/>
    <w:rsid w:val="76932AB3"/>
    <w:rsid w:val="769514B8"/>
    <w:rsid w:val="76A14D31"/>
    <w:rsid w:val="76BF5F6B"/>
    <w:rsid w:val="76C842B2"/>
    <w:rsid w:val="77302687"/>
    <w:rsid w:val="773F4EBA"/>
    <w:rsid w:val="7765083A"/>
    <w:rsid w:val="7775650A"/>
    <w:rsid w:val="7785787E"/>
    <w:rsid w:val="7795357A"/>
    <w:rsid w:val="77AC04D3"/>
    <w:rsid w:val="77B21B30"/>
    <w:rsid w:val="77CA5B08"/>
    <w:rsid w:val="77D91C05"/>
    <w:rsid w:val="77E36ED7"/>
    <w:rsid w:val="77E872FF"/>
    <w:rsid w:val="77F50BF2"/>
    <w:rsid w:val="788334CC"/>
    <w:rsid w:val="78A04DB7"/>
    <w:rsid w:val="78A93939"/>
    <w:rsid w:val="78B11DE7"/>
    <w:rsid w:val="78DB5DD4"/>
    <w:rsid w:val="78FA736A"/>
    <w:rsid w:val="79127F47"/>
    <w:rsid w:val="79132AA2"/>
    <w:rsid w:val="79505710"/>
    <w:rsid w:val="796E5F2A"/>
    <w:rsid w:val="79E166FC"/>
    <w:rsid w:val="7A5769BE"/>
    <w:rsid w:val="7A717937"/>
    <w:rsid w:val="7A73769A"/>
    <w:rsid w:val="7A8507F7"/>
    <w:rsid w:val="7A907CEC"/>
    <w:rsid w:val="7AB14F4C"/>
    <w:rsid w:val="7ABE04E2"/>
    <w:rsid w:val="7ADD5115"/>
    <w:rsid w:val="7AEA15E0"/>
    <w:rsid w:val="7AFD5860"/>
    <w:rsid w:val="7AFF419C"/>
    <w:rsid w:val="7B024B7C"/>
    <w:rsid w:val="7B430CE9"/>
    <w:rsid w:val="7B455BC8"/>
    <w:rsid w:val="7B4E79AB"/>
    <w:rsid w:val="7B7503B1"/>
    <w:rsid w:val="7B9F23CB"/>
    <w:rsid w:val="7BA25DD3"/>
    <w:rsid w:val="7BA34BEE"/>
    <w:rsid w:val="7BB65D27"/>
    <w:rsid w:val="7BBC7867"/>
    <w:rsid w:val="7BD60EEC"/>
    <w:rsid w:val="7BD9185E"/>
    <w:rsid w:val="7BEF3F13"/>
    <w:rsid w:val="7C0001D6"/>
    <w:rsid w:val="7C1057C9"/>
    <w:rsid w:val="7C1542B5"/>
    <w:rsid w:val="7C35301B"/>
    <w:rsid w:val="7C5C6C22"/>
    <w:rsid w:val="7C6158D2"/>
    <w:rsid w:val="7C7711EA"/>
    <w:rsid w:val="7C7B6659"/>
    <w:rsid w:val="7CB62D95"/>
    <w:rsid w:val="7CCD4D16"/>
    <w:rsid w:val="7D3603E5"/>
    <w:rsid w:val="7D3700C6"/>
    <w:rsid w:val="7D397A50"/>
    <w:rsid w:val="7D484F3D"/>
    <w:rsid w:val="7D617346"/>
    <w:rsid w:val="7D693F8A"/>
    <w:rsid w:val="7D8345B4"/>
    <w:rsid w:val="7DCC1471"/>
    <w:rsid w:val="7DD02CA3"/>
    <w:rsid w:val="7E03200E"/>
    <w:rsid w:val="7E097600"/>
    <w:rsid w:val="7E2557E8"/>
    <w:rsid w:val="7E2B20AE"/>
    <w:rsid w:val="7E2D1B69"/>
    <w:rsid w:val="7E420EFD"/>
    <w:rsid w:val="7E5566A4"/>
    <w:rsid w:val="7E5A082B"/>
    <w:rsid w:val="7E7D25E2"/>
    <w:rsid w:val="7E8D3F4D"/>
    <w:rsid w:val="7EA5419C"/>
    <w:rsid w:val="7ED06D3F"/>
    <w:rsid w:val="7ED94380"/>
    <w:rsid w:val="7EF55B3A"/>
    <w:rsid w:val="7EFF3FD4"/>
    <w:rsid w:val="7F0D4DC1"/>
    <w:rsid w:val="7F3B222A"/>
    <w:rsid w:val="7F8C710A"/>
    <w:rsid w:val="7FC65583"/>
    <w:rsid w:val="7FCA0B15"/>
    <w:rsid w:val="7FCC5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8"/>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6"/>
    <w:autoRedefine/>
    <w:semiHidden/>
    <w:unhideWhenUsed/>
    <w:qFormat/>
    <w:uiPriority w:val="0"/>
    <w:pPr>
      <w:jc w:val="left"/>
    </w:pPr>
    <w:rPr>
      <w:rFonts w:ascii="Calibri" w:hAnsi="Calibri" w:eastAsia="宋体" w:cs="Times New Roman"/>
    </w:rPr>
  </w:style>
  <w:style w:type="paragraph" w:styleId="4">
    <w:name w:val="Body Text"/>
    <w:basedOn w:val="1"/>
    <w:next w:val="5"/>
    <w:autoRedefine/>
    <w:qFormat/>
    <w:uiPriority w:val="0"/>
    <w:rPr>
      <w:rFonts w:ascii="Times New Roman" w:hAnsi="Times New Roman" w:cs="Times New Roman"/>
      <w:kern w:val="0"/>
    </w:rPr>
  </w:style>
  <w:style w:type="paragraph" w:customStyle="1" w:styleId="5">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6">
    <w:name w:val="Balloon Text"/>
    <w:basedOn w:val="1"/>
    <w:link w:val="17"/>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Autospacing="1" w:afterAutospacing="1"/>
      <w:jc w:val="left"/>
    </w:pPr>
    <w:rPr>
      <w:rFonts w:cs="Times New Roman"/>
      <w:kern w:val="0"/>
      <w:sz w:val="24"/>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autoRedefine/>
    <w:qFormat/>
    <w:uiPriority w:val="0"/>
    <w:rPr>
      <w:rFonts w:asciiTheme="minorHAnsi" w:hAnsiTheme="minorHAnsi" w:eastAsiaTheme="minorEastAsia" w:cstheme="minorBidi"/>
      <w:kern w:val="2"/>
      <w:sz w:val="18"/>
      <w:szCs w:val="18"/>
    </w:rPr>
  </w:style>
  <w:style w:type="character" w:customStyle="1" w:styleId="14">
    <w:name w:val="font31"/>
    <w:basedOn w:val="12"/>
    <w:autoRedefine/>
    <w:qFormat/>
    <w:uiPriority w:val="0"/>
    <w:rPr>
      <w:rFonts w:hint="eastAsia" w:ascii="宋体" w:hAnsi="宋体" w:eastAsia="宋体" w:cs="宋体"/>
      <w:b/>
      <w:color w:val="000000"/>
      <w:sz w:val="18"/>
      <w:szCs w:val="18"/>
      <w:u w:val="none"/>
    </w:rPr>
  </w:style>
  <w:style w:type="character" w:customStyle="1" w:styleId="15">
    <w:name w:val="font11"/>
    <w:basedOn w:val="12"/>
    <w:autoRedefine/>
    <w:qFormat/>
    <w:uiPriority w:val="0"/>
    <w:rPr>
      <w:rFonts w:hint="eastAsia" w:ascii="宋体" w:hAnsi="宋体" w:eastAsia="宋体" w:cs="宋体"/>
      <w:color w:val="000000"/>
      <w:sz w:val="21"/>
      <w:szCs w:val="21"/>
      <w:u w:val="none"/>
    </w:rPr>
  </w:style>
  <w:style w:type="character" w:customStyle="1" w:styleId="16">
    <w:name w:val="批注文字 字符"/>
    <w:basedOn w:val="12"/>
    <w:link w:val="3"/>
    <w:autoRedefine/>
    <w:qFormat/>
    <w:uiPriority w:val="0"/>
    <w:rPr>
      <w:rFonts w:hint="default" w:ascii="Calibri" w:hAnsi="Calibri" w:eastAsia="宋体" w:cs="Times New Roman"/>
      <w:kern w:val="2"/>
      <w:sz w:val="21"/>
      <w:szCs w:val="24"/>
    </w:rPr>
  </w:style>
  <w:style w:type="character" w:customStyle="1" w:styleId="17">
    <w:name w:val="批注框文本 字符"/>
    <w:basedOn w:val="12"/>
    <w:link w:val="6"/>
    <w:autoRedefine/>
    <w:qFormat/>
    <w:uiPriority w:val="0"/>
    <w:rPr>
      <w:rFonts w:asciiTheme="minorHAnsi" w:hAnsiTheme="minorHAnsi" w:eastAsiaTheme="minorEastAsia" w:cstheme="minorBidi"/>
      <w:kern w:val="2"/>
      <w:sz w:val="18"/>
      <w:szCs w:val="18"/>
    </w:rPr>
  </w:style>
  <w:style w:type="character" w:customStyle="1" w:styleId="18">
    <w:name w:val="标题 3 字符"/>
    <w:basedOn w:val="12"/>
    <w:link w:val="2"/>
    <w:autoRedefine/>
    <w:qFormat/>
    <w:uiPriority w:val="0"/>
    <w:rPr>
      <w:rFonts w:hint="default" w:ascii="Calibri" w:hAnsi="Calibri" w:eastAsia="宋体" w:cs="Times New Roman"/>
      <w:b/>
      <w:kern w:val="2"/>
      <w:sz w:val="32"/>
      <w:szCs w:val="32"/>
    </w:rPr>
  </w:style>
  <w:style w:type="character" w:customStyle="1" w:styleId="19">
    <w:name w:val="font41"/>
    <w:basedOn w:val="12"/>
    <w:autoRedefine/>
    <w:qFormat/>
    <w:uiPriority w:val="0"/>
    <w:rPr>
      <w:rFonts w:hint="eastAsia" w:ascii="方正仿宋_GBK" w:hAnsi="方正仿宋_GBK" w:eastAsia="方正仿宋_GBK" w:cs="方正仿宋_GBK"/>
      <w:b/>
      <w:bCs/>
      <w:color w:val="000000"/>
      <w:sz w:val="20"/>
      <w:szCs w:val="20"/>
      <w:u w:val="none"/>
    </w:rPr>
  </w:style>
  <w:style w:type="character" w:customStyle="1" w:styleId="20">
    <w:name w:val="font51"/>
    <w:basedOn w:val="12"/>
    <w:autoRedefine/>
    <w:qFormat/>
    <w:uiPriority w:val="0"/>
    <w:rPr>
      <w:rFonts w:ascii="Symbol" w:hAnsi="Symbol" w:cs="Symbol"/>
      <w:color w:val="000000"/>
      <w:sz w:val="20"/>
      <w:szCs w:val="20"/>
      <w:u w:val="none"/>
    </w:rPr>
  </w:style>
  <w:style w:type="character" w:customStyle="1" w:styleId="21">
    <w:name w:val="font01"/>
    <w:basedOn w:val="12"/>
    <w:autoRedefine/>
    <w:qFormat/>
    <w:uiPriority w:val="0"/>
    <w:rPr>
      <w:rFonts w:hint="eastAsia" w:ascii="方正仿宋_GBK" w:hAnsi="方正仿宋_GBK" w:eastAsia="方正仿宋_GBK" w:cs="方正仿宋_GBK"/>
      <w:color w:val="000000"/>
      <w:sz w:val="20"/>
      <w:szCs w:val="20"/>
      <w:u w:val="none"/>
    </w:rPr>
  </w:style>
  <w:style w:type="paragraph" w:customStyle="1" w:styleId="22">
    <w:name w:val="列出段落1"/>
    <w:basedOn w:val="1"/>
    <w:autoRedefine/>
    <w:unhideWhenUsed/>
    <w:qFormat/>
    <w:uiPriority w:val="99"/>
    <w:pPr>
      <w:ind w:firstLine="420" w:firstLineChars="200"/>
    </w:pPr>
  </w:style>
  <w:style w:type="paragraph" w:customStyle="1" w:styleId="23">
    <w:name w:val="BodyText"/>
    <w:basedOn w:val="1"/>
    <w:autoRedefine/>
    <w:qFormat/>
    <w:uiPriority w:val="99"/>
    <w:pPr>
      <w:textAlignment w:val="baseline"/>
    </w:pPr>
    <w:rPr>
      <w:rFonts w:asci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20269</Words>
  <Characters>21250</Characters>
  <Lines>115</Lines>
  <Paragraphs>32</Paragraphs>
  <TotalTime>3</TotalTime>
  <ScaleCrop>false</ScaleCrop>
  <LinksUpToDate>false</LinksUpToDate>
  <CharactersWithSpaces>22609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五月的威士忌</cp:lastModifiedBy>
  <cp:lastPrinted>2022-11-02T05:51:00Z</cp:lastPrinted>
  <dcterms:modified xsi:type="dcterms:W3CDTF">2024-02-07T03:54:01Z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1146097076_btnclosed</vt:lpwstr>
  </property>
  <property fmtid="{D5CDD505-2E9C-101B-9397-08002B2CF9AE}" pid="4" name="ICV">
    <vt:lpwstr>5AC796CF10D9414A81D47E81C7B71ADD</vt:lpwstr>
  </property>
</Properties>
</file>