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3362" w:lineRule="exact"/>
        <w:rPr/>
      </w:pPr>
      <w:r>
        <w:rPr>
          <w:position w:val="-67"/>
        </w:rPr>
        <w:pict>
          <v:shape id="_x0000_s2" style="mso-position-vertical-relative:line;mso-position-horizontal-relative:char;width:780pt;height:168.15pt;" fillcolor="#416AA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8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spacing w:line="28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spacing w:line="28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050"/>
                    <w:spacing w:before="378" w:line="182" w:lineRule="auto"/>
                    <w:outlineLvl w:val="0"/>
                    <w:rPr>
                      <w:rFonts w:ascii="Microsoft YaHei" w:hAnsi="Microsoft YaHei" w:eastAsia="Microsoft YaHei" w:cs="Microsoft YaHei"/>
                      <w:sz w:val="88"/>
                      <w:szCs w:val="88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88"/>
                      <w:szCs w:val="88"/>
                      <w:b/>
                      <w:bCs/>
                      <w:color w:val="FFFFFF"/>
                      <w:spacing w:val="-3"/>
                    </w:rPr>
                    <w:t>项目概况</w:t>
                  </w:r>
                </w:p>
              </w:txbxContent>
            </v:textbox>
          </v:shape>
        </w:pict>
      </w:r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5751"/>
        <w:spacing w:before="94" w:line="411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spacing w:val="7"/>
          <w:position w:val="14"/>
        </w:rPr>
        <w:t>重庆城市综合交通枢纽开发投资有限公司</w:t>
      </w:r>
    </w:p>
    <w:p>
      <w:pPr>
        <w:ind w:left="7160"/>
        <w:spacing w:before="1" w:line="18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spacing w:val="4"/>
        </w:rPr>
        <w:t>2024年01月</w:t>
      </w:r>
    </w:p>
    <w:p>
      <w:pPr>
        <w:spacing w:line="187" w:lineRule="auto"/>
        <w:sectPr>
          <w:pgSz w:w="15600" w:h="10800"/>
          <w:pgMar w:top="918" w:right="0" w:bottom="0" w:left="0" w:header="0" w:footer="0" w:gutter="0"/>
        </w:sectPr>
        <w:rPr>
          <w:rFonts w:ascii="Microsoft YaHei" w:hAnsi="Microsoft YaHei" w:eastAsia="Microsoft YaHei" w:cs="Microsoft YaHei"/>
          <w:sz w:val="22"/>
          <w:szCs w:val="22"/>
        </w:rPr>
      </w:pPr>
    </w:p>
    <w:p>
      <w:pPr>
        <w:pStyle w:val="BodyText"/>
        <w:ind w:left="78"/>
        <w:spacing w:before="180" w:line="1130" w:lineRule="exact"/>
        <w:rPr>
          <w:rFonts w:ascii="Microsoft YaHei" w:hAnsi="Microsoft YaHei" w:eastAsia="Microsoft YaHei" w:cs="Microsoft YaHei"/>
          <w:sz w:val="47"/>
          <w:szCs w:val="47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792480</wp:posOffset>
            </wp:positionH>
            <wp:positionV relativeFrom="page">
              <wp:posOffset>2339340</wp:posOffset>
            </wp:positionV>
            <wp:extent cx="7344156" cy="439521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44156" cy="439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4"/>
          <w:szCs w:val="94"/>
          <w:color w:val="416AAF"/>
          <w:position w:val="2"/>
        </w:rPr>
        <w:t>II</w:t>
      </w:r>
      <w:r>
        <w:rPr>
          <w:sz w:val="94"/>
          <w:szCs w:val="94"/>
          <w:color w:val="416AAF"/>
          <w:spacing w:val="-7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47"/>
          <w:szCs w:val="47"/>
          <w:b/>
          <w:bCs/>
          <w:spacing w:val="15"/>
          <w:position w:val="6"/>
        </w:rPr>
        <w:t>九里片区基本情况</w:t>
      </w:r>
    </w:p>
    <w:p>
      <w:pPr>
        <w:spacing w:line="30" w:lineRule="exact"/>
        <w:rPr/>
      </w:pPr>
      <w:r>
        <w:rPr/>
        <w:drawing>
          <wp:inline distT="0" distB="0" distL="0" distR="0">
            <wp:extent cx="9886950" cy="1905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8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38" w:right="979" w:hanging="385"/>
        <w:spacing w:before="216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drawing>
          <wp:inline distT="0" distB="0" distL="0" distR="0">
            <wp:extent cx="163469" cy="14868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469" cy="1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九里片区项目位于西部（重庆）科学城核心区金凤中心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，土地面积5287亩（352.46公顷）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目规划总建筑规模约270万㎡ ，其中居住170万㎡ ，科技产业园60万㎡ ，配套商业服务设施10万</w:t>
      </w:r>
    </w:p>
    <w:p>
      <w:pPr>
        <w:ind w:left="1227"/>
        <w:spacing w:before="1" w:line="23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㎡ ，学校10万㎡ ，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医院20万㎡。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firstLine="7335"/>
        <w:spacing w:line="574" w:lineRule="exact"/>
        <w:rPr/>
      </w:pPr>
      <w:r>
        <w:rPr>
          <w:position w:val="-11"/>
        </w:rPr>
        <w:pict>
          <v:shape id="_x0000_s4" style="mso-position-vertical-relative:line;mso-position-horizontal-relative:char;width:51pt;height:28.7pt;" fillcolor="#FFFFFF" filled="true" stroked="false" type="#_x0000_t202">
            <v:fill opacity="0.968627"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52"/>
                    <w:spacing w:before="100" w:line="193" w:lineRule="auto"/>
                    <w:rPr>
                      <w:rFonts w:ascii="DengXian" w:hAnsi="DengXian" w:eastAsia="DengXian" w:cs="DengXian"/>
                      <w:sz w:val="18"/>
                      <w:szCs w:val="18"/>
                    </w:rPr>
                  </w:pPr>
                  <w:r>
                    <w:rPr>
                      <w:rFonts w:ascii="DengXian" w:hAnsi="DengXian" w:eastAsia="DengXian" w:cs="DengXian"/>
                      <w:sz w:val="18"/>
                      <w:szCs w:val="18"/>
                      <w:b/>
                      <w:bCs/>
                      <w:spacing w:val="-1"/>
                    </w:rPr>
                    <w:t>九里片区</w:t>
                  </w:r>
                </w:p>
                <w:p>
                  <w:pPr>
                    <w:ind w:left="139"/>
                    <w:spacing w:line="228" w:lineRule="exact"/>
                    <w:rPr>
                      <w:rFonts w:ascii="DengXian" w:hAnsi="DengXian" w:eastAsia="DengXian" w:cs="DengXian"/>
                      <w:sz w:val="16"/>
                      <w:szCs w:val="16"/>
                    </w:rPr>
                  </w:pPr>
                  <w:r>
                    <w:rPr>
                      <w:rFonts w:ascii="DengXian" w:hAnsi="DengXian" w:eastAsia="DengXian" w:cs="DengXian"/>
                      <w:sz w:val="16"/>
                      <w:szCs w:val="16"/>
                      <w:spacing w:val="-5"/>
                      <w:position w:val="2"/>
                    </w:rPr>
                    <w:t>（</w:t>
                  </w:r>
                  <w:r>
                    <w:rPr>
                      <w:rFonts w:ascii="Calibri" w:hAnsi="Calibri" w:eastAsia="Calibri" w:cs="Calibri"/>
                      <w:sz w:val="16"/>
                      <w:szCs w:val="16"/>
                      <w:spacing w:val="-5"/>
                      <w:position w:val="2"/>
                    </w:rPr>
                    <w:t>5287</w:t>
                  </w:r>
                  <w:r>
                    <w:rPr>
                      <w:rFonts w:ascii="DengXian" w:hAnsi="DengXian" w:eastAsia="DengXian" w:cs="DengXian"/>
                      <w:sz w:val="16"/>
                      <w:szCs w:val="16"/>
                      <w:spacing w:val="-5"/>
                      <w:position w:val="2"/>
                    </w:rPr>
                    <w:t>亩）</w:t>
                  </w:r>
                </w:p>
              </w:txbxContent>
            </v:textbox>
          </v:shape>
        </w:pict>
      </w:r>
    </w:p>
    <w:p>
      <w:pPr>
        <w:pStyle w:val="BodyText"/>
        <w:spacing w:line="258" w:lineRule="auto"/>
        <w:rPr/>
      </w:pPr>
      <w:r/>
    </w:p>
    <w:p>
      <w:pPr>
        <w:ind w:left="14681"/>
        <w:spacing w:before="73" w:line="181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color w:val="898989"/>
        </w:rPr>
        <w:t>2</w:t>
      </w:r>
    </w:p>
    <w:p>
      <w:pPr>
        <w:spacing w:line="181" w:lineRule="auto"/>
        <w:sectPr>
          <w:headerReference w:type="default" r:id="rId1"/>
          <w:pgSz w:w="15600" w:h="10800"/>
          <w:pgMar w:top="400" w:right="0" w:bottom="0" w:left="30" w:header="0" w:footer="0" w:gutter="0"/>
        </w:sectPr>
        <w:rPr>
          <w:rFonts w:ascii="Calibri" w:hAnsi="Calibri" w:eastAsia="Calibri" w:cs="Calibri"/>
          <w:sz w:val="24"/>
          <w:szCs w:val="24"/>
        </w:rPr>
      </w:pPr>
    </w:p>
    <w:p>
      <w:pPr>
        <w:ind w:left="78"/>
        <w:spacing w:before="180"/>
        <w:rPr>
          <w:rFonts w:ascii="Microsoft YaHei" w:hAnsi="Microsoft YaHei" w:eastAsia="Microsoft YaHei" w:cs="Microsoft YaHei"/>
          <w:sz w:val="47"/>
          <w:szCs w:val="47"/>
        </w:rPr>
      </w:pPr>
      <w:r>
        <w:pict>
          <v:rect id="_x0000_s6" style="position:absolute;margin-left:385.076pt;margin-top:401.88pt;mso-position-vertical-relative:page;mso-position-horizontal-relative:page;width:39.25pt;height:10.25pt;z-index:251662336;" o:allowincell="f" fillcolor="#FFFFFF" filled="true" stroked="false">
            <v:fill opacity="0.600000"/>
          </v:rect>
        </w:pict>
      </w:r>
      <w:r>
        <w:pict>
          <v:shape id="_x0000_s8" style="position:absolute;margin-left:268.56pt;margin-top:103.08pt;mso-position-vertical-relative:page;mso-position-horizontal-relative:page;width:487.45pt;height:166.45pt;z-index:251659264;" o:allowincell="f" fillcolor="#F2F2F2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spacing w:line="308" w:lineRule="auto"/>
                    <w:rPr/>
                  </w:pPr>
                  <w:r/>
                </w:p>
                <w:p>
                  <w:pPr>
                    <w:ind w:left="148"/>
                    <w:spacing w:before="167" w:line="218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9"/>
                      <w:szCs w:val="39"/>
                      <w:b/>
                      <w:bCs/>
                      <w:color w:val="0070C0"/>
                    </w:rPr>
                    <w:t>资源优势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  <w:t>九里片区配套2条轨道线路：轨道7号线、与城际C4线融合的轨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1"/>
                    </w:rPr>
                    <w:t>道26号线，</w:t>
                  </w:r>
                </w:p>
                <w:p>
                  <w:pPr>
                    <w:ind w:left="147"/>
                    <w:spacing w:line="183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</w:rPr>
                    <w:t>预计2028年建成投运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0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</w:rPr>
                    <w:t>，设有西城公园站和九里站两个站点。</w:t>
                  </w:r>
                </w:p>
                <w:p>
                  <w:pPr>
                    <w:ind w:left="643"/>
                    <w:spacing w:before="116" w:line="433" w:lineRule="exact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  <w:position w:val="14"/>
                    </w:rPr>
                    <w:t>九里片区北临科学会堂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4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  <w:position w:val="14"/>
                    </w:rPr>
                    <w:t>，科学会堂计划2025年投入使用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4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  <w:position w:val="14"/>
                    </w:rPr>
                    <w:t>，是科学城的重要门户形象。</w:t>
                  </w:r>
                </w:p>
                <w:p>
                  <w:pPr>
                    <w:ind w:left="146"/>
                    <w:spacing w:line="183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1"/>
                    </w:rPr>
                    <w:t>九里片区坐拥玉龙湖、青果湖、燕子湖以及白鹭湿地公园，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9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1"/>
                    </w:rPr>
                    <w:t>自然生态环境条件优越。</w:t>
                  </w:r>
                </w:p>
                <w:p>
                  <w:pPr>
                    <w:ind w:left="646"/>
                    <w:spacing w:before="117" w:line="431" w:lineRule="exact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  <w:position w:val="14"/>
                    </w:rPr>
                    <w:t>虽然房地产市场下行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0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  <w:position w:val="14"/>
                    </w:rPr>
                    <w:t>，但九里片区区位优势突出、交通便利、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42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  <w:position w:val="14"/>
                    </w:rPr>
                    <w:t>自然资源禀赋较好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5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  <w:position w:val="14"/>
                    </w:rPr>
                    <w:t>，且</w:t>
                  </w:r>
                </w:p>
                <w:p>
                  <w:pPr>
                    <w:spacing w:line="184" w:lineRule="auto"/>
                    <w:jc w:val="right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位于双城经济圈建设重庆向西桥头堡—科学城核心区，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43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区域能级较高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5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，具有极大升值潜力。</w:t>
                  </w:r>
                </w:p>
              </w:txbxContent>
            </v:textbox>
          </v:shape>
        </w:pict>
      </w:r>
      <w:r>
        <w:pict>
          <v:group id="_x0000_s10" style="position:absolute;margin-left:339.48pt;margin-top:348.36pt;mso-position-vertical-relative:page;mso-position-horizontal-relative:page;width:35.05pt;height:16.1pt;z-index:251663360;" o:allowincell="f" filled="false" stroked="false" coordsize="700,322" coordorigin="0,0">
            <v:shape id="_x0000_s12" style="position:absolute;left:0;top:0;width:700;height:322;" filled="false" stroked="false" type="#_x0000_t75">
              <v:imagedata o:title="" r:id="rId7"/>
            </v:shape>
            <v:shape id="_x0000_s14" style="position:absolute;left:-20;top:-20;width:740;height:38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30"/>
                      <w:spacing w:before="49" w:line="211" w:lineRule="auto"/>
                      <w:rPr>
                        <w:rFonts w:ascii="DengXian" w:hAnsi="DengXian" w:eastAsia="DengXian" w:cs="DengXian"/>
                        <w:sz w:val="16"/>
                        <w:szCs w:val="16"/>
                      </w:rPr>
                    </w:pPr>
                    <w:r>
                      <w:rPr>
                        <w:rFonts w:ascii="DengXian" w:hAnsi="DengXian" w:eastAsia="DengXian" w:cs="DengXian"/>
                        <w:sz w:val="16"/>
                        <w:szCs w:val="16"/>
                        <w:color w:val="FFFFFF"/>
                        <w:spacing w:val="1"/>
                      </w:rPr>
                      <w:t>金融街</w:t>
                    </w:r>
                  </w:p>
                  <w:p>
                    <w:pPr>
                      <w:ind w:left="119"/>
                      <w:spacing w:before="10" w:line="192" w:lineRule="auto"/>
                      <w:rPr>
                        <w:rFonts w:ascii="Calibri" w:hAnsi="Calibri" w:eastAsia="Calibri" w:cs="Calibri"/>
                        <w:sz w:val="8"/>
                        <w:szCs w:val="8"/>
                      </w:rPr>
                    </w:pPr>
                    <w:r>
                      <w:rPr>
                        <w:rFonts w:ascii="Calibri" w:hAnsi="Calibri" w:eastAsia="Calibri" w:cs="Calibri"/>
                        <w:sz w:val="8"/>
                        <w:szCs w:val="8"/>
                        <w:color w:val="FFFFFF"/>
                      </w:rPr>
                      <w:t>Financial Street</w:t>
                    </w:r>
                  </w:p>
                </w:txbxContent>
              </v:textbox>
            </v:shape>
          </v:group>
        </w:pict>
      </w:r>
      <w:r>
        <w:pict>
          <v:shape id="_x0000_s16" style="position:absolute;margin-left:387.387pt;margin-top:401.94pt;mso-position-vertical-relative:page;mso-position-horizontal-relative:page;width:34.65pt;height:12.6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4" w:lineRule="auto"/>
                    <w:rPr>
                      <w:rFonts w:ascii="Microsoft YaHei" w:hAnsi="Microsoft YaHei" w:eastAsia="Microsoft YaHei" w:cs="Microsoft YaHei"/>
                      <w:sz w:val="16"/>
                      <w:szCs w:val="16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6"/>
                      <w:szCs w:val="16"/>
                      <w:b/>
                      <w:bCs/>
                      <w:spacing w:val="3"/>
                    </w:rPr>
                    <w:t>九里片区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205740</wp:posOffset>
            </wp:positionH>
            <wp:positionV relativeFrom="page">
              <wp:posOffset>3564635</wp:posOffset>
            </wp:positionV>
            <wp:extent cx="2938272" cy="3006852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38272" cy="300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4726461</wp:posOffset>
            </wp:positionH>
            <wp:positionV relativeFrom="page">
              <wp:posOffset>5101148</wp:posOffset>
            </wp:positionV>
            <wp:extent cx="161992" cy="165073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92" cy="16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4434852</wp:posOffset>
            </wp:positionH>
            <wp:positionV relativeFrom="page">
              <wp:posOffset>4631931</wp:posOffset>
            </wp:positionV>
            <wp:extent cx="199427" cy="271183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9427" cy="27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3410711</wp:posOffset>
            </wp:positionH>
            <wp:positionV relativeFrom="page">
              <wp:posOffset>3534879</wp:posOffset>
            </wp:positionV>
            <wp:extent cx="2813304" cy="3013748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13304" cy="301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z w:val="47"/>
          <w:szCs w:val="47"/>
          <w:position w:val="-27"/>
        </w:rPr>
        <w:drawing>
          <wp:inline distT="0" distB="0" distL="0" distR="0">
            <wp:extent cx="365760" cy="656844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5760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47"/>
          <w:szCs w:val="47"/>
          <w:b/>
          <w:bCs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47"/>
          <w:szCs w:val="47"/>
          <w:b/>
          <w:bCs/>
          <w:spacing w:val="9"/>
        </w:rPr>
        <w:t>片区优势分析</w:t>
      </w:r>
    </w:p>
    <w:p>
      <w:pPr>
        <w:spacing w:before="94" w:line="30" w:lineRule="exact"/>
        <w:rPr/>
      </w:pPr>
      <w:r>
        <w:rPr/>
        <w:drawing>
          <wp:inline distT="0" distB="0" distL="0" distR="0">
            <wp:extent cx="9886950" cy="19050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8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50" w:lineRule="auto"/>
        <w:rPr/>
      </w:pPr>
      <w:r/>
    </w:p>
    <w:p>
      <w:pPr>
        <w:pStyle w:val="BodyText"/>
        <w:ind w:firstLine="305"/>
        <w:spacing w:line="3307" w:lineRule="exact"/>
        <w:rPr/>
      </w:pPr>
      <w:r>
        <w:rPr>
          <w:position w:val="-66"/>
        </w:rPr>
        <w:pict>
          <v:shape id="_x0000_s18" style="mso-position-vertical-relative:line;mso-position-horizontal-relative:char;width:230.05pt;height:165.4pt;" fillcolor="#F2F2F2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9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45" w:right="257" w:firstLine="17"/>
                    <w:spacing w:before="167" w:line="237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9"/>
                      <w:szCs w:val="39"/>
                      <w:b/>
                      <w:bCs/>
                      <w:color w:val="0070C0"/>
                      <w:spacing w:val="-2"/>
                    </w:rPr>
                    <w:t>战略优势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"/>
                    </w:rPr>
                    <w:t>西部（重庆）科学城是国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9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家西部地区科技创新策源地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0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，是国家科 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技强国战略的重要支点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，也是成渝地区</w:t>
                  </w:r>
                </w:p>
                <w:p>
                  <w:pPr>
                    <w:ind w:left="145"/>
                    <w:spacing w:line="183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1"/>
                    </w:rPr>
                    <w:t>双城经济圈协同发展的主要空间载体，</w:t>
                  </w:r>
                </w:p>
                <w:p>
                  <w:pPr>
                    <w:ind w:left="161"/>
                    <w:spacing w:before="116" w:line="432" w:lineRule="exact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4"/>
                      <w:position w:val="14"/>
                    </w:rPr>
                    <w:t>已纳入市委“一号工程”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23"/>
                      <w:position w:val="14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4"/>
                      <w:position w:val="14"/>
                    </w:rPr>
                    <w:t>，九里片区可</w:t>
                  </w:r>
                </w:p>
                <w:p>
                  <w:pPr>
                    <w:ind w:left="147"/>
                    <w:spacing w:before="1" w:line="183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1"/>
                    </w:rPr>
                    <w:t>享受重庆向西发展的政策红利。</w:t>
                  </w:r>
                </w:p>
              </w:txbxContent>
            </v:textbox>
          </v:shape>
        </w:pict>
      </w:r>
    </w:p>
    <w:p>
      <w:pPr>
        <w:pStyle w:val="BodyText"/>
        <w:ind w:firstLine="10057"/>
        <w:spacing w:before="170" w:line="4748" w:lineRule="exact"/>
        <w:rPr/>
      </w:pPr>
      <w:r>
        <w:rPr>
          <w:position w:val="-94"/>
        </w:rPr>
        <w:pict>
          <v:group id="_x0000_s20" style="mso-position-vertical-relative:line;mso-position-horizontal-relative:char;width:251.65pt;height:237.4pt;" filled="false" stroked="false" coordsize="5032,4747" coordorigin="0,0">
            <v:shape id="_x0000_s22" style="position:absolute;left:0;top:0;width:5032;height:4747;" filled="false" stroked="false" type="#_x0000_t75">
              <v:imagedata o:title="" r:id="rId14"/>
            </v:shape>
            <v:shape id="_x0000_s24" style="position:absolute;left:-20;top:-20;width:5072;height:478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549"/>
                      <w:spacing w:before="77" w:line="225" w:lineRule="auto"/>
                      <w:rPr>
                        <w:rFonts w:ascii="Microsoft YaHei" w:hAnsi="Microsoft YaHei" w:eastAsia="Microsoft YaHei" w:cs="Microsoft YaHei"/>
                        <w:sz w:val="18"/>
                        <w:szCs w:val="18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18"/>
                        <w:szCs w:val="18"/>
                        <w:b/>
                        <w:bCs/>
                        <w:spacing w:val="-1"/>
                      </w:rPr>
                      <w:t>轨道线网规划方案（在编）</w:t>
                    </w:r>
                  </w:p>
                </w:txbxContent>
              </v:textbox>
            </v:shape>
          </v:group>
        </w:pict>
      </w:r>
    </w:p>
    <w:p>
      <w:pPr>
        <w:spacing w:line="4748" w:lineRule="exact"/>
        <w:sectPr>
          <w:headerReference w:type="default" r:id="rId5"/>
          <w:footerReference w:type="default" r:id="rId6"/>
          <w:pgSz w:w="15600" w:h="10800"/>
          <w:pgMar w:top="400" w:right="0" w:bottom="414" w:left="30" w:header="0" w:footer="194" w:gutter="0"/>
        </w:sectPr>
        <w:rPr/>
      </w:pPr>
    </w:p>
    <w:p>
      <w:pPr>
        <w:pStyle w:val="BodyText"/>
        <w:ind w:left="78"/>
        <w:spacing w:before="180" w:line="1208" w:lineRule="exact"/>
        <w:rPr>
          <w:rFonts w:ascii="Microsoft YaHei" w:hAnsi="Microsoft YaHei" w:eastAsia="Microsoft YaHei" w:cs="Microsoft YaHei"/>
          <w:sz w:val="47"/>
          <w:szCs w:val="47"/>
        </w:rPr>
      </w:pPr>
      <w:r>
        <w:pict>
          <v:rect id="_x0000_s26" style="position:absolute;margin-left:1.5pt;margin-top:85.5pt;mso-position-vertical-relative:page;mso-position-horizontal-relative:page;width:778.5pt;height:1.5pt;z-index:251667456;" o:allowincell="f" fillcolor="#5B9BD5" filled="true" stroked="false"/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3944111</wp:posOffset>
            </wp:positionH>
            <wp:positionV relativeFrom="page">
              <wp:posOffset>147827</wp:posOffset>
            </wp:positionV>
            <wp:extent cx="5961888" cy="6710172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61888" cy="67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4"/>
          <w:szCs w:val="94"/>
          <w:color w:val="416AAF"/>
          <w:position w:val="4"/>
        </w:rPr>
        <w:t>II</w:t>
      </w:r>
      <w:r>
        <w:rPr>
          <w:sz w:val="94"/>
          <w:szCs w:val="94"/>
          <w:color w:val="416AAF"/>
          <w:spacing w:val="-76"/>
          <w:position w:val="4"/>
        </w:rPr>
        <w:t xml:space="preserve"> </w:t>
      </w:r>
      <w:r>
        <w:rPr>
          <w:rFonts w:ascii="Microsoft YaHei" w:hAnsi="Microsoft YaHei" w:eastAsia="Microsoft YaHei" w:cs="Microsoft YaHei"/>
          <w:sz w:val="47"/>
          <w:szCs w:val="47"/>
          <w:b/>
          <w:bCs/>
          <w:spacing w:val="14"/>
          <w:position w:val="8"/>
        </w:rPr>
        <w:t>片区详细规划用地布局</w:t>
      </w:r>
    </w:p>
    <w:p>
      <w:pPr>
        <w:pStyle w:val="BodyText"/>
        <w:spacing w:line="344" w:lineRule="auto"/>
        <w:rPr/>
      </w:pPr>
      <w:r/>
    </w:p>
    <w:p>
      <w:pPr>
        <w:pStyle w:val="BodyText"/>
        <w:spacing w:line="345" w:lineRule="auto"/>
        <w:rPr/>
      </w:pPr>
      <w:r/>
    </w:p>
    <w:p>
      <w:pPr>
        <w:ind w:left="853"/>
        <w:spacing w:before="133" w:line="576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15"/>
        </w:rPr>
        <w:drawing>
          <wp:inline distT="0" distB="0" distL="0" distR="0">
            <wp:extent cx="163469" cy="148682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469" cy="1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15"/>
        </w:rPr>
        <w:t>项目规划总建筑规模约270万㎡，</w:t>
      </w:r>
    </w:p>
    <w:p>
      <w:pPr>
        <w:ind w:left="1196"/>
        <w:spacing w:before="1" w:line="23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其中居住170万㎡ ，科技产业园</w:t>
      </w:r>
    </w:p>
    <w:p>
      <w:pPr>
        <w:ind w:left="1210"/>
        <w:spacing w:before="63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60万㎡ ，配套商业服务设施10万</w:t>
      </w:r>
    </w:p>
    <w:p>
      <w:pPr>
        <w:ind w:left="1228"/>
        <w:spacing w:before="64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㎡ ，学校10万㎡ ，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医院20万㎡。</w:t>
      </w:r>
    </w:p>
    <w:p>
      <w:pPr>
        <w:spacing w:line="231" w:lineRule="auto"/>
        <w:sectPr>
          <w:footerReference w:type="default" r:id="rId15"/>
          <w:pgSz w:w="15600" w:h="10800"/>
          <w:pgMar w:top="400" w:right="0" w:bottom="400" w:left="30" w:header="0" w:footer="0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ind w:left="108"/>
        <w:spacing w:before="180" w:line="1209" w:lineRule="exact"/>
        <w:rPr>
          <w:rFonts w:ascii="Microsoft YaHei" w:hAnsi="Microsoft YaHei" w:eastAsia="Microsoft YaHei" w:cs="Microsoft YaHei"/>
          <w:sz w:val="47"/>
          <w:szCs w:val="47"/>
        </w:rPr>
      </w:pPr>
      <w:r>
        <w:pict>
          <v:rect id="_x0000_s28" style="position:absolute;margin-left:1.5pt;margin-top:85.5pt;mso-position-vertical-relative:page;mso-position-horizontal-relative:page;width:778.5pt;height:1.5pt;z-index:251675648;" o:allowincell="f" fillcolor="#5B9BD5" filled="true" stroked="false"/>
        </w:pict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4169663</wp:posOffset>
            </wp:positionH>
            <wp:positionV relativeFrom="page">
              <wp:posOffset>911352</wp:posOffset>
            </wp:positionV>
            <wp:extent cx="5411723" cy="5465063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11723" cy="546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4"/>
          <w:szCs w:val="94"/>
          <w:color w:val="416AAF"/>
          <w:position w:val="4"/>
        </w:rPr>
        <w:t>II</w:t>
      </w:r>
      <w:r>
        <w:rPr>
          <w:sz w:val="94"/>
          <w:szCs w:val="94"/>
          <w:color w:val="416AAF"/>
          <w:spacing w:val="-76"/>
          <w:position w:val="4"/>
        </w:rPr>
        <w:t xml:space="preserve"> </w:t>
      </w:r>
      <w:r>
        <w:rPr>
          <w:rFonts w:ascii="Microsoft YaHei" w:hAnsi="Microsoft YaHei" w:eastAsia="Microsoft YaHei" w:cs="Microsoft YaHei"/>
          <w:sz w:val="47"/>
          <w:szCs w:val="47"/>
          <w:b/>
          <w:bCs/>
          <w:spacing w:val="20"/>
          <w:position w:val="8"/>
        </w:rPr>
        <w:t>工作范围</w:t>
      </w:r>
    </w:p>
    <w:p>
      <w:pPr>
        <w:pStyle w:val="BodyText"/>
        <w:spacing w:line="301" w:lineRule="auto"/>
        <w:rPr/>
      </w:pPr>
      <w:r/>
    </w:p>
    <w:p>
      <w:pPr>
        <w:pStyle w:val="BodyText"/>
        <w:spacing w:line="301" w:lineRule="auto"/>
        <w:rPr/>
      </w:pPr>
      <w:r/>
    </w:p>
    <w:p>
      <w:pPr>
        <w:pStyle w:val="BodyText"/>
        <w:spacing w:line="302" w:lineRule="auto"/>
        <w:rPr/>
      </w:pPr>
      <w:r/>
    </w:p>
    <w:p>
      <w:pPr>
        <w:ind w:left="1170"/>
        <w:spacing w:before="133"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Wingdings" w:hAnsi="Wingdings" w:eastAsia="Wingdings" w:cs="Wingdings"/>
          <w:sz w:val="31"/>
          <w:szCs w:val="31"/>
          <w:spacing w:val="-30"/>
          <w:w w:val="87"/>
        </w:rPr>
        <w:t>.</w:t>
      </w:r>
      <w:r>
        <w:rPr>
          <w:rFonts w:ascii="Wingdings" w:hAnsi="Wingdings" w:eastAsia="Wingdings" w:cs="Wingdings"/>
          <w:sz w:val="31"/>
          <w:szCs w:val="31"/>
          <w:spacing w:val="-8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w w:val="87"/>
        </w:rPr>
        <w:t>范围</w:t>
      </w:r>
    </w:p>
    <w:p>
      <w:pPr>
        <w:ind w:left="1433"/>
        <w:spacing w:before="212" w:line="575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  <w:position w:val="19"/>
        </w:rPr>
        <w:t>如图所示</w:t>
      </w:r>
      <w:r>
        <w:rPr>
          <w:rFonts w:ascii="Microsoft YaHei" w:hAnsi="Microsoft YaHei" w:eastAsia="Microsoft YaHei" w:cs="Microsoft YaHei"/>
          <w:sz w:val="31"/>
          <w:szCs w:val="31"/>
          <w:spacing w:val="-38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  <w:position w:val="19"/>
        </w:rPr>
        <w:t>，规划范围内的的公园商</w:t>
      </w:r>
    </w:p>
    <w:p>
      <w:pPr>
        <w:ind w:left="1150"/>
        <w:spacing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业空间。</w:t>
      </w: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1170"/>
        <w:spacing w:before="133" w:line="592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Wingdings" w:hAnsi="Wingdings" w:eastAsia="Wingdings" w:cs="Wingdings"/>
          <w:sz w:val="31"/>
          <w:szCs w:val="31"/>
          <w:spacing w:val="-10"/>
          <w:position w:val="19"/>
        </w:rPr>
        <w:t>.</w:t>
      </w:r>
      <w:r>
        <w:rPr>
          <w:rFonts w:ascii="Wingdings" w:hAnsi="Wingdings" w:eastAsia="Wingdings" w:cs="Wingdings"/>
          <w:sz w:val="31"/>
          <w:szCs w:val="31"/>
          <w:spacing w:val="-93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  <w:position w:val="19"/>
        </w:rPr>
        <w:t>其中</w:t>
      </w:r>
      <w:r>
        <w:rPr>
          <w:rFonts w:ascii="Microsoft YaHei" w:hAnsi="Microsoft YaHei" w:eastAsia="Microsoft YaHei" w:cs="Microsoft YaHei"/>
          <w:sz w:val="31"/>
          <w:szCs w:val="31"/>
          <w:spacing w:val="-42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  <w:position w:val="19"/>
        </w:rPr>
        <w:t>，其中公园绿地约40公顷，</w:t>
      </w:r>
    </w:p>
    <w:p>
      <w:pPr>
        <w:ind w:left="1598"/>
        <w:spacing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生态绿地约50公顷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，商业建筑面</w:t>
      </w:r>
    </w:p>
    <w:p>
      <w:pPr>
        <w:ind w:left="1598"/>
        <w:spacing w:before="16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积约10万方。</w:t>
      </w:r>
    </w:p>
    <w:sectPr>
      <w:footerReference w:type="default" r:id="rId18"/>
      <w:pgSz w:w="15600" w:h="10800"/>
      <w:pgMar w:top="400" w:right="0" w:bottom="612" w:left="0" w:header="0" w:footer="3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880"/>
      <w:spacing w:line="172" w:lineRule="auto"/>
      <w:rPr>
        <w:rFonts w:ascii="Calibri" w:hAnsi="Calibri" w:eastAsia="Calibri" w:cs="Calibri"/>
        <w:sz w:val="24"/>
        <w:szCs w:val="24"/>
      </w:rPr>
    </w:pPr>
    <w:r>
      <w:rPr>
        <w:rFonts w:ascii="Calibri" w:hAnsi="Calibri" w:eastAsia="Calibri" w:cs="Calibri"/>
        <w:sz w:val="24"/>
        <w:szCs w:val="24"/>
        <w:color w:val="898989"/>
      </w:rPr>
      <w:t>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709"/>
      <w:spacing w:line="170" w:lineRule="auto"/>
      <w:rPr>
        <w:rFonts w:ascii="Calibri" w:hAnsi="Calibri" w:eastAsia="Calibri" w:cs="Calibri"/>
        <w:sz w:val="24"/>
        <w:szCs w:val="24"/>
      </w:rPr>
    </w:pPr>
    <w:r>
      <w:rPr>
        <w:rFonts w:ascii="Calibri" w:hAnsi="Calibri" w:eastAsia="Calibri" w:cs="Calibri"/>
        <w:sz w:val="24"/>
        <w:szCs w:val="24"/>
        <w:color w:val="898989"/>
      </w:rPr>
      <w:t>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image" Target="media/image3.png"/><Relationship Id="rId3" Type="http://schemas.openxmlformats.org/officeDocument/2006/relationships/image" Target="media/image2.jpeg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image" Target="media/image1.jpeg"/><Relationship Id="rId19" Type="http://schemas.openxmlformats.org/officeDocument/2006/relationships/image" Target="media/image14.jpeg"/><Relationship Id="rId18" Type="http://schemas.openxmlformats.org/officeDocument/2006/relationships/footer" Target="footer3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footer" Target="footer2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演示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2024-02-07T18:10:43Z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2024-02-28T19:32:09</vt:filetime>
  </property>
</Properties>
</file>