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3C77">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2026年度配电维保服务比选</w:t>
      </w:r>
    </w:p>
    <w:p w14:paraId="7BD4FD18">
      <w:pPr>
        <w:shd w:val="clear" w:color="auto"/>
        <w:autoSpaceDE/>
        <w:autoSpaceDN/>
        <w:adjustRightInd/>
        <w:snapToGrid w:val="0"/>
        <w:ind w:left="1506" w:hanging="1506" w:hangingChars="500"/>
        <w:jc w:val="left"/>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比选编号：FG2500071604A</w:t>
      </w:r>
    </w:p>
    <w:p w14:paraId="44A0E271">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p>
    <w:p w14:paraId="15628ED0">
      <w:pPr>
        <w:autoSpaceDE w:val="0"/>
        <w:autoSpaceDN w:val="0"/>
        <w:adjustRightInd w:val="0"/>
        <w:snapToGrid w:val="0"/>
        <w:rPr>
          <w:rFonts w:hint="eastAsia" w:ascii="宋体" w:hAnsi="宋体" w:eastAsia="宋体" w:cs="宋体"/>
          <w:b/>
          <w:color w:val="auto"/>
          <w:sz w:val="28"/>
          <w:szCs w:val="28"/>
          <w:highlight w:val="none"/>
        </w:rPr>
      </w:pPr>
    </w:p>
    <w:p w14:paraId="432AD953">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bookmarkStart w:id="165" w:name="_GoBack"/>
      <w:bookmarkEnd w:id="165"/>
    </w:p>
    <w:p w14:paraId="3C9706D2">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14:paraId="5762DF58">
      <w:pPr>
        <w:adjustRightInd w:val="0"/>
        <w:snapToGrid w:val="0"/>
        <w:spacing w:line="480" w:lineRule="auto"/>
        <w:rPr>
          <w:rFonts w:hint="eastAsia" w:ascii="宋体" w:hAnsi="宋体" w:eastAsia="宋体" w:cs="宋体"/>
          <w:b/>
          <w:color w:val="auto"/>
          <w:kern w:val="2"/>
          <w:sz w:val="32"/>
          <w:szCs w:val="32"/>
          <w:highlight w:val="none"/>
        </w:rPr>
      </w:pPr>
    </w:p>
    <w:p w14:paraId="20E3D055">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18"/>
                    <a:stretch>
                      <a:fillRect/>
                    </a:stretch>
                  </pic:blipFill>
                  <pic:spPr>
                    <a:xfrm>
                      <a:off x="0" y="0"/>
                      <a:ext cx="1605280" cy="970915"/>
                    </a:xfrm>
                    <a:prstGeom prst="rect">
                      <a:avLst/>
                    </a:prstGeom>
                    <a:noFill/>
                    <a:ln>
                      <a:noFill/>
                    </a:ln>
                  </pic:spPr>
                </pic:pic>
              </a:graphicData>
            </a:graphic>
          </wp:inline>
        </w:drawing>
      </w:r>
    </w:p>
    <w:p w14:paraId="73FA8073">
      <w:pPr>
        <w:adjustRightInd w:val="0"/>
        <w:snapToGrid w:val="0"/>
        <w:spacing w:line="480" w:lineRule="auto"/>
        <w:rPr>
          <w:rFonts w:hint="eastAsia" w:ascii="宋体" w:hAnsi="宋体" w:eastAsia="宋体" w:cs="宋体"/>
          <w:b/>
          <w:color w:val="auto"/>
          <w:kern w:val="2"/>
          <w:sz w:val="32"/>
          <w:szCs w:val="32"/>
          <w:highlight w:val="none"/>
        </w:rPr>
      </w:pPr>
    </w:p>
    <w:p w14:paraId="1E8BB804">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032E4438">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33F11617">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14:paraId="1590ED41">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14:paraId="7FA3DB4A">
      <w:pPr>
        <w:adjustRightInd w:val="0"/>
        <w:snapToGrid w:val="0"/>
        <w:spacing w:line="480" w:lineRule="auto"/>
        <w:rPr>
          <w:rFonts w:hint="eastAsia" w:ascii="宋体" w:hAnsi="宋体" w:eastAsia="宋体" w:cs="宋体"/>
          <w:b/>
          <w:color w:val="auto"/>
          <w:kern w:val="2"/>
          <w:sz w:val="30"/>
          <w:szCs w:val="30"/>
          <w:highlight w:val="none"/>
        </w:rPr>
      </w:pPr>
    </w:p>
    <w:p w14:paraId="09522B27">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rPr>
      </w:pPr>
      <w:r>
        <w:rPr>
          <w:rFonts w:hint="eastAsia" w:ascii="宋体" w:hAnsi="宋体" w:cs="宋体"/>
          <w:b/>
          <w:bCs/>
          <w:color w:val="auto"/>
          <w:sz w:val="30"/>
          <w:szCs w:val="30"/>
          <w:highlight w:val="none"/>
          <w:lang w:val="en-US" w:eastAsia="zh-CN"/>
        </w:rPr>
        <w:t>二〇二五年十二月</w:t>
      </w:r>
    </w:p>
    <w:p w14:paraId="43900146">
      <w:pPr>
        <w:snapToGrid w:val="0"/>
        <w:spacing w:line="360" w:lineRule="auto"/>
        <w:jc w:val="center"/>
        <w:rPr>
          <w:rFonts w:hint="eastAsia" w:ascii="宋体" w:hAnsi="宋体" w:eastAsia="宋体" w:cs="宋体"/>
          <w:b/>
          <w:color w:val="auto"/>
          <w:sz w:val="28"/>
          <w:highlight w:val="none"/>
        </w:rPr>
        <w:sectPr>
          <w:headerReference r:id="rId3" w:type="default"/>
          <w:footerReference r:id="rId4" w:type="default"/>
          <w:pgSz w:w="11906" w:h="16838"/>
          <w:pgMar w:top="1440" w:right="826" w:bottom="1440" w:left="880" w:header="680" w:footer="680" w:gutter="0"/>
          <w:pgNumType w:fmt="decimal"/>
          <w:cols w:space="720" w:num="1"/>
          <w:docGrid w:type="lines" w:linePitch="312" w:charSpace="0"/>
        </w:sectPr>
      </w:pPr>
    </w:p>
    <w:p w14:paraId="2927E4A2">
      <w:pPr>
        <w:snapToGrid w:val="0"/>
        <w:spacing w:line="360" w:lineRule="auto"/>
        <w:jc w:val="center"/>
        <w:rPr>
          <w:rFonts w:hint="eastAsia" w:ascii="宋体" w:hAnsi="宋体" w:eastAsia="宋体" w:cs="宋体"/>
          <w:b/>
          <w:color w:val="auto"/>
          <w:sz w:val="28"/>
          <w:highlight w:val="none"/>
        </w:rPr>
      </w:pPr>
    </w:p>
    <w:p w14:paraId="3502C633">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14:paraId="1BA6ED97">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eastAsia="zh-CN"/>
        </w:rPr>
        <w:t>参选邀请函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31B4BCD">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9097CDE">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eastAsia" w:ascii="宋体" w:hAnsi="宋体" w:eastAsia="宋体" w:cs="宋体"/>
          <w:color w:val="auto"/>
          <w:kern w:val="0"/>
          <w:sz w:val="20"/>
          <w:szCs w:val="30"/>
          <w:highlight w:val="none"/>
          <w:lang w:val="en-US" w:eastAsia="zh-CN" w:bidi="ar-SA"/>
        </w:rPr>
        <w:t>经评审的</w:t>
      </w:r>
      <w:r>
        <w:rPr>
          <w:rFonts w:hint="eastAsia" w:ascii="宋体" w:hAnsi="宋体" w:cs="宋体"/>
          <w:color w:val="auto"/>
          <w:szCs w:val="30"/>
          <w:highlight w:val="none"/>
        </w:rPr>
        <w:t>最低投标价法</w:t>
      </w:r>
      <w:r>
        <w:rPr>
          <w:rFonts w:hint="eastAsia" w:ascii="宋体" w:hAnsi="宋体" w:eastAsia="宋体" w:cs="宋体"/>
          <w:bCs w:val="0"/>
          <w:color w:val="auto"/>
          <w:szCs w:val="30"/>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C5190D5">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FBD71C5">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发包人要求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80889EA">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B7EACA4">
      <w:pPr>
        <w:pStyle w:val="15"/>
        <w:tabs>
          <w:tab w:val="right" w:leader="dot" w:pos="10080"/>
        </w:tabs>
        <w:spacing w:line="480" w:lineRule="auto"/>
        <w:rPr>
          <w:rFonts w:hint="eastAsia" w:ascii="宋体" w:hAnsi="宋体" w:eastAsia="宋体" w:cs="宋体"/>
          <w:color w:val="auto"/>
          <w:highlight w:val="none"/>
        </w:rPr>
      </w:pPr>
    </w:p>
    <w:p w14:paraId="52674C91">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14:paraId="6445B71D">
      <w:pPr>
        <w:snapToGrid w:val="0"/>
        <w:spacing w:line="360" w:lineRule="auto"/>
        <w:ind w:firstLine="482"/>
        <w:rPr>
          <w:rFonts w:hint="eastAsia" w:ascii="宋体" w:hAnsi="宋体" w:eastAsia="宋体" w:cs="宋体"/>
          <w:color w:val="auto"/>
          <w:sz w:val="24"/>
          <w:highlight w:val="none"/>
        </w:rPr>
      </w:pPr>
    </w:p>
    <w:p w14:paraId="5D137A65">
      <w:pPr>
        <w:pStyle w:val="5"/>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8475"/>
      <w:bookmarkStart w:id="1" w:name="_Toc22848"/>
      <w:bookmarkStart w:id="2" w:name="_Toc184"/>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14:paraId="6C7797BA">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2026年度配电维保服务比选</w:t>
      </w:r>
    </w:p>
    <w:p w14:paraId="4E2C5BAB">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比选公告</w:t>
      </w:r>
    </w:p>
    <w:p w14:paraId="473F0AFF">
      <w:pPr>
        <w:snapToGrid w:val="0"/>
        <w:spacing w:line="360" w:lineRule="auto"/>
        <w:jc w:val="left"/>
        <w:outlineLvl w:val="0"/>
        <w:rPr>
          <w:rFonts w:hint="eastAsia" w:ascii="宋体" w:hAnsi="宋体" w:eastAsia="宋体" w:cs="宋体"/>
          <w:b/>
          <w:bCs/>
          <w:color w:val="auto"/>
          <w:sz w:val="21"/>
          <w:szCs w:val="21"/>
          <w:highlight w:val="none"/>
          <w:u w:val="single"/>
          <w:lang w:eastAsia="zh-CN"/>
        </w:rPr>
      </w:pPr>
    </w:p>
    <w:p w14:paraId="07974340">
      <w:pPr>
        <w:pStyle w:val="13"/>
        <w:spacing w:line="360" w:lineRule="auto"/>
        <w:rPr>
          <w:rFonts w:hint="eastAsia" w:ascii="宋体" w:hAnsi="宋体" w:eastAsia="宋体" w:cs="宋体"/>
          <w:color w:val="auto"/>
          <w:sz w:val="21"/>
          <w:szCs w:val="21"/>
          <w:highlight w:val="none"/>
          <w:lang w:eastAsia="zh-CN"/>
        </w:rPr>
      </w:pPr>
    </w:p>
    <w:p w14:paraId="2254AC69">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3245"/>
      <w:bookmarkStart w:id="4" w:name="_Toc916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14:paraId="2AFE19D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目为</w:t>
      </w:r>
      <w:r>
        <w:rPr>
          <w:rFonts w:hint="eastAsia" w:ascii="宋体" w:hAnsi="宋体" w:cs="宋体"/>
          <w:snapToGrid w:val="0"/>
          <w:color w:val="auto"/>
          <w:sz w:val="21"/>
          <w:szCs w:val="21"/>
          <w:highlight w:val="none"/>
          <w:u w:val="single"/>
          <w:lang w:eastAsia="zh-CN"/>
        </w:rPr>
        <w:t>2026年度配电维保服务比选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w:t>
      </w:r>
      <w:r>
        <w:rPr>
          <w:rFonts w:hint="eastAsia" w:ascii="宋体" w:hAnsi="宋体" w:cs="宋体"/>
          <w:color w:val="auto"/>
          <w:sz w:val="21"/>
          <w:szCs w:val="21"/>
          <w:highlight w:val="none"/>
          <w:lang w:val="en-US" w:eastAsia="zh-CN"/>
        </w:rPr>
        <w:t>选。</w:t>
      </w:r>
    </w:p>
    <w:p w14:paraId="5F342BE9">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14:paraId="1C71DBC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南部服务中心的白鹤公交站场、腾黄路公交站场、康庄公交枢纽站，西部服务中心的沙坪坝铁路枢纽社会停车场、金沙街项目、盛德路公交站场、重庆西站、陈庹路公交站场，交通运输委项目以及保税港1C通道。</w:t>
      </w:r>
    </w:p>
    <w:p w14:paraId="732CC754">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项目概况：</w:t>
      </w:r>
    </w:p>
    <w:p w14:paraId="5E89FA9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维保范围</w:t>
      </w:r>
      <w:r>
        <w:rPr>
          <w:rFonts w:hint="eastAsia" w:ascii="宋体" w:hAnsi="宋体" w:eastAsia="宋体" w:cs="宋体"/>
          <w:color w:val="auto"/>
          <w:sz w:val="21"/>
          <w:szCs w:val="21"/>
          <w:highlight w:val="none"/>
          <w:lang w:val="en-US" w:eastAsia="zh-CN"/>
        </w:rPr>
        <w:t>：本次供配电系统维修保养服务比选共涉及：南部服务中心的白鹤公交站场、腾黄路公交站场、康庄公交枢纽站，西部服务中心的沙坪坝铁路枢纽社会停车场、金沙街项目、盛德路公交站场、重庆西站、陈庹路公交站场，交通运输委项目以及保税港1C通道共10个项目。</w:t>
      </w:r>
    </w:p>
    <w:p w14:paraId="0BD808E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p w14:paraId="06B633E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比选范围：白鹤公交站场、腾黄路公交站场、康庄公交枢纽站、沙坪坝铁路枢纽社会停车场、金沙街项目、盛德路公交站场、重庆西站、陈庹路公交站场，交通运输委项目、保税港1C通道的高低压供配电设备维修保养服务。</w:t>
      </w:r>
    </w:p>
    <w:p w14:paraId="139DCF6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2.3.2.比选内容</w:t>
      </w:r>
    </w:p>
    <w:p w14:paraId="5315E1E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提供配电房设施设备日常维护、检修、保养和应急抢修；包括高压柜、真空断路器、避雷器、变压器、两段高低压母线及系统其他相关设备检测、检修、保养维护、接地检测、安全工器具检测、设备运行安全维护等工作；免费更换易损件（单价300元及以下）、定期出具预防性试验报告及维保服务报告、参加紧急救援演练、指导培训用户安全使用等。</w:t>
      </w:r>
    </w:p>
    <w:p w14:paraId="0576A62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2.4服务期限</w:t>
      </w:r>
    </w:p>
    <w:p w14:paraId="63AF263C">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2.4.1合同自2026年1月1日起至2026年12月31日止。具体入场时间以书面通知为准。合同期内，若业主方与通邑公司合同提前终止，则本合同同步终止且比选邀请人不承担违约责任</w:t>
      </w:r>
      <w:r>
        <w:rPr>
          <w:rFonts w:hint="eastAsia" w:ascii="宋体" w:hAnsi="宋体" w:eastAsia="宋体" w:cs="宋体"/>
          <w:color w:val="auto"/>
          <w:sz w:val="21"/>
          <w:szCs w:val="21"/>
          <w:highlight w:val="none"/>
        </w:rPr>
        <w:t>。</w:t>
      </w:r>
    </w:p>
    <w:p w14:paraId="56177ED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4.2合同采取1+1模式，首年合同到期后，经评审合格可续签合同，续签期限为1年</w:t>
      </w:r>
      <w:r>
        <w:rPr>
          <w:rFonts w:hint="eastAsia" w:ascii="宋体" w:hAnsi="宋体" w:eastAsia="宋体" w:cs="宋体"/>
          <w:color w:val="auto"/>
          <w:sz w:val="21"/>
          <w:szCs w:val="21"/>
          <w:highlight w:val="none"/>
        </w:rPr>
        <w:t>。</w:t>
      </w:r>
    </w:p>
    <w:p w14:paraId="5CC3AA00">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14:paraId="05174CA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14:paraId="64BCA35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（1）在中华人民共和国境内注册，至参选截止日止，成立时间不低于36个月，具有有效营业执照</w:t>
      </w:r>
      <w:r>
        <w:rPr>
          <w:rFonts w:hint="eastAsia" w:ascii="宋体" w:hAnsi="宋体" w:cs="宋体"/>
          <w:color w:val="auto"/>
          <w:sz w:val="21"/>
          <w:szCs w:val="21"/>
          <w:highlight w:val="none"/>
          <w:lang w:val="en-US" w:eastAsia="zh-CN"/>
        </w:rPr>
        <w:t>，企业注册资本1000万元及以上</w:t>
      </w:r>
      <w:r>
        <w:rPr>
          <w:rFonts w:hint="eastAsia" w:ascii="宋体" w:hAnsi="宋体" w:eastAsia="宋体" w:cs="宋体"/>
          <w:color w:val="auto"/>
          <w:sz w:val="21"/>
          <w:szCs w:val="21"/>
          <w:highlight w:val="none"/>
          <w:lang w:val="en-US" w:eastAsia="zh-CN"/>
        </w:rPr>
        <w:t>。</w:t>
      </w:r>
    </w:p>
    <w:p w14:paraId="5BF173D1">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（2）不允许分公司参选。</w:t>
      </w:r>
    </w:p>
    <w:p w14:paraId="3BA64C98">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（3）参选人近三年（从2022年10月1日至参选截止日止）具有配电维保业绩不少于3个，且单个配电维保合同总价款不低于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0万元。提供项目业绩合同复印件（复印件内容须包含合同主体、项目名称、合同内容、双方签章页等内容，合同金额不得涂抹，复印件须加盖参选人公章）。</w:t>
      </w:r>
    </w:p>
    <w:p w14:paraId="34FE2DE9">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（4）2024年年度纳税额不低于200万元（提供国家税务总局纳税截图等证明资料，并加盖参选人公章）。</w:t>
      </w:r>
    </w:p>
    <w:p w14:paraId="28D89E11">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参选人须具备承装（修、试）电力设施许可证三级及以上资质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08E5D7F0">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参选人须具备有效的安全生产许可证，提供有效的证书复印件，加盖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p w14:paraId="4FF7AA02">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参选人须具备电力工程施工总承包三级及以上资质及建筑工程施工总承包贰级及以上资质。提供有效的证书复印件，加盖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p w14:paraId="77995C28">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）人员要求：</w:t>
      </w:r>
    </w:p>
    <w:p w14:paraId="1F7E40F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①拟派项目负责人须具备5年及以上10kV（或以上）电力设施设备运行维护经验或县级调度员运行经验。具备应急管理部门颁发的高压电工证。</w:t>
      </w:r>
    </w:p>
    <w:p w14:paraId="5862C957">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②拟派维保人员具备应急管理部门颁发的高压电工证，具有三年以上（含三年）10kV（或以上）变</w:t>
      </w:r>
      <w:r>
        <w:rPr>
          <w:rFonts w:hint="eastAsia" w:ascii="宋体" w:hAnsi="宋体" w:cs="宋体"/>
          <w:color w:val="auto"/>
          <w:sz w:val="21"/>
          <w:szCs w:val="21"/>
          <w:highlight w:val="none"/>
          <w:lang w:val="en-US" w:eastAsia="zh-CN"/>
        </w:rPr>
        <w:t>配</w:t>
      </w:r>
      <w:r>
        <w:rPr>
          <w:rFonts w:hint="eastAsia" w:ascii="宋体" w:hAnsi="宋体" w:eastAsia="宋体" w:cs="宋体"/>
          <w:color w:val="auto"/>
          <w:sz w:val="21"/>
          <w:szCs w:val="21"/>
          <w:highlight w:val="none"/>
          <w:lang w:val="en-US" w:eastAsia="zh-CN"/>
        </w:rPr>
        <w:t>电设施设备运行维护经验或县级调度员运行经验。</w:t>
      </w:r>
    </w:p>
    <w:p w14:paraId="3C8763FE">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③参选人拟派驻项目负责人须提供一年及以上连续在本单位社保缴费证明；拟派驻的维保人员须提供3个月及以上连续在本单位社保缴费证明。</w:t>
      </w:r>
    </w:p>
    <w:p w14:paraId="5BFF572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具有良好的商业信誉，需在信用中国（www.creditchina.gov.cn）下载并提供完整的“信用信息报告”，报告中不得有相关行政处罚、严重失信、经营（活动）异常等违规、违法信息（信用报告下载时间段需为领取比选函或发布比选公告后至开标前。比选邀请人开标当日查询各比选被邀请人的信用信息报告，各比选被邀请人信用信息报告以开标当日查询的结果为准）。</w:t>
      </w:r>
    </w:p>
    <w:p w14:paraId="0F83BDB2">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280DC641">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）其余要求详见参选人须知前附表1.4.</w:t>
      </w:r>
      <w:r>
        <w:rPr>
          <w:rFonts w:hint="eastAsia" w:ascii="宋体" w:hAnsi="宋体" w:cs="宋体"/>
          <w:color w:val="auto"/>
          <w:sz w:val="21"/>
          <w:szCs w:val="21"/>
          <w:highlight w:val="none"/>
          <w:lang w:val="en-US" w:eastAsia="zh-CN"/>
        </w:rPr>
        <w:t>1。</w:t>
      </w:r>
    </w:p>
    <w:p w14:paraId="0B1C17C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48D702D7">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14:paraId="0783D267">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自本公告发布之日起，在</w:t>
      </w:r>
      <w:r>
        <w:rPr>
          <w:rFonts w:hint="eastAsia" w:ascii="宋体" w:hAnsi="宋体" w:eastAsia="宋体" w:cs="宋体"/>
          <w:color w:val="auto"/>
          <w:sz w:val="21"/>
          <w:szCs w:val="21"/>
          <w:highlight w:val="none"/>
          <w:lang w:val="en-US" w:eastAsia="zh-CN"/>
        </w:rPr>
        <w:t>重庆国际投资咨询集团有限公司、重庆交通资源开发有限公司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网上</w:t>
      </w:r>
      <w:r>
        <w:rPr>
          <w:rFonts w:hint="eastAsia" w:ascii="宋体" w:hAnsi="宋体" w:cs="宋体"/>
          <w:color w:val="auto"/>
          <w:sz w:val="21"/>
          <w:szCs w:val="21"/>
          <w:highlight w:val="none"/>
          <w:lang w:val="en-US" w:eastAsia="zh-CN"/>
        </w:rPr>
        <w:t>下载比选文件。</w:t>
      </w:r>
    </w:p>
    <w:p w14:paraId="698FFE65">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文件的递交</w:t>
      </w:r>
    </w:p>
    <w:p w14:paraId="55A24D7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11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 xml:space="preserve"> 00 </w:t>
      </w:r>
      <w:r>
        <w:rPr>
          <w:rFonts w:hint="eastAsia" w:ascii="宋体" w:hAnsi="宋体" w:eastAsia="宋体" w:cs="宋体"/>
          <w:color w:val="auto"/>
          <w:sz w:val="21"/>
          <w:szCs w:val="21"/>
          <w:highlight w:val="none"/>
        </w:rPr>
        <w:t>分</w:t>
      </w:r>
    </w:p>
    <w:p w14:paraId="4783948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递交方式：重庆国际投资咨询集团有限公司开标厅（重庆市江北区五里店五简路2号重庆咨询大厦A 栋），具体开标厅详见一楼大厅当天指示牌。</w:t>
      </w:r>
    </w:p>
    <w:p w14:paraId="0E3BBD5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文件时间为202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11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 14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 xml:space="preserve"> 30 </w:t>
      </w:r>
      <w:r>
        <w:rPr>
          <w:rFonts w:hint="eastAsia" w:ascii="宋体" w:hAnsi="宋体" w:eastAsia="宋体" w:cs="宋体"/>
          <w:color w:val="auto"/>
          <w:sz w:val="21"/>
          <w:szCs w:val="21"/>
          <w:highlight w:val="none"/>
        </w:rPr>
        <w:t>分至202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11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 xml:space="preserve"> 00 </w:t>
      </w:r>
      <w:r>
        <w:rPr>
          <w:rFonts w:hint="eastAsia" w:ascii="宋体" w:hAnsi="宋体" w:eastAsia="宋体" w:cs="宋体"/>
          <w:color w:val="auto"/>
          <w:sz w:val="21"/>
          <w:szCs w:val="21"/>
          <w:highlight w:val="none"/>
        </w:rPr>
        <w:t>分。</w:t>
      </w:r>
    </w:p>
    <w:p w14:paraId="580F213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文件递交的地点为：重庆国际投资咨询集团有限公司开标厅（重庆市江北区五里店五简路2号重庆咨询大厦A栋），具体开标厅详见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32369F9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14:paraId="032B6E12">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6.发布公告的媒介</w:t>
      </w:r>
    </w:p>
    <w:p w14:paraId="7CA51C4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本次比选公告同时在中国招标投标公共服务平台（http://www.cebpubservice.com）、重庆国际投资咨询集团有限公司（https://www.cqiic.com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、重庆交通资源开发有限公司（http://www.cqjtsn.com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网上发布</w:t>
      </w:r>
    </w:p>
    <w:p w14:paraId="71C983A3">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.联系方式</w:t>
      </w:r>
    </w:p>
    <w:p w14:paraId="02B3D43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重庆通邑卫士智慧生活服务有限公司</w:t>
      </w:r>
    </w:p>
    <w:p w14:paraId="67961E7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 重庆市南岸区腾龙大道58号附25号  </w:t>
      </w:r>
    </w:p>
    <w:p w14:paraId="6680F11F">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宋老师</w:t>
      </w:r>
    </w:p>
    <w:p w14:paraId="2D751AA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bidi="he-IL"/>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p w14:paraId="11F5360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eastAsia="zh-CN" w:bidi="he-IL"/>
        </w:rPr>
        <w:t>比选</w:t>
      </w:r>
      <w:r>
        <w:rPr>
          <w:rFonts w:hint="eastAsia" w:ascii="宋体" w:hAnsi="宋体" w:eastAsia="宋体" w:cs="宋体"/>
          <w:color w:val="auto"/>
          <w:sz w:val="21"/>
          <w:szCs w:val="21"/>
          <w:highlight w:val="none"/>
          <w:lang w:bidi="he-IL"/>
        </w:rPr>
        <w:t>代理机构：重庆国际投资咨询集团有限公司</w:t>
      </w:r>
    </w:p>
    <w:p w14:paraId="48E3F50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地址：重庆市江北五里店重咨大厦A栋15</w:t>
      </w:r>
      <w:r>
        <w:rPr>
          <w:rFonts w:hint="eastAsia" w:ascii="宋体" w:hAnsi="宋体" w:eastAsia="宋体" w:cs="宋体"/>
          <w:color w:val="auto"/>
          <w:sz w:val="21"/>
          <w:szCs w:val="21"/>
          <w:highlight w:val="none"/>
          <w:lang w:val="en-US" w:eastAsia="zh-CN" w:bidi="he-IL"/>
        </w:rPr>
        <w:t>10</w:t>
      </w:r>
      <w:r>
        <w:rPr>
          <w:rFonts w:hint="eastAsia" w:ascii="宋体" w:hAnsi="宋体" w:eastAsia="宋体" w:cs="宋体"/>
          <w:color w:val="auto"/>
          <w:sz w:val="21"/>
          <w:szCs w:val="21"/>
          <w:highlight w:val="none"/>
          <w:lang w:bidi="he-IL"/>
        </w:rPr>
        <w:t xml:space="preserve">室 </w:t>
      </w:r>
    </w:p>
    <w:p w14:paraId="0D09896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联系人：</w:t>
      </w:r>
      <w:r>
        <w:rPr>
          <w:rFonts w:hint="eastAsia" w:ascii="宋体" w:hAnsi="宋体" w:cs="宋体"/>
          <w:color w:val="auto"/>
          <w:sz w:val="21"/>
          <w:szCs w:val="21"/>
          <w:highlight w:val="none"/>
          <w:lang w:val="en-US" w:eastAsia="zh-CN" w:bidi="he-IL"/>
        </w:rPr>
        <w:t>钟女士</w:t>
      </w:r>
      <w:r>
        <w:rPr>
          <w:rFonts w:hint="eastAsia" w:ascii="宋体" w:hAnsi="宋体" w:eastAsia="宋体" w:cs="宋体"/>
          <w:color w:val="auto"/>
          <w:sz w:val="21"/>
          <w:szCs w:val="21"/>
          <w:highlight w:val="none"/>
          <w:lang w:bidi="he-IL"/>
        </w:rPr>
        <w:t xml:space="preserve">   </w:t>
      </w:r>
    </w:p>
    <w:p w14:paraId="624082E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eastAsia="zh-CN"/>
        </w:rPr>
        <w:t>023-67767080</w:t>
      </w:r>
      <w:r>
        <w:rPr>
          <w:rFonts w:hint="eastAsia" w:ascii="宋体" w:hAnsi="宋体" w:eastAsia="宋体" w:cs="宋体"/>
          <w:color w:val="auto"/>
          <w:sz w:val="21"/>
          <w:szCs w:val="21"/>
          <w:highlight w:val="none"/>
        </w:rPr>
        <w:t xml:space="preserve">      传真：023-67703020</w:t>
      </w:r>
    </w:p>
    <w:p w14:paraId="0DF5E0D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保证金汇款信息如下：</w:t>
      </w:r>
    </w:p>
    <w:p w14:paraId="229EEDB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重庆通邑卫士智慧生活服务有限公司</w:t>
      </w:r>
    </w:p>
    <w:p w14:paraId="4548EF1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开户银行：民生银行南坪支行</w:t>
      </w:r>
    </w:p>
    <w:p w14:paraId="1598AE5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：648680030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bookmarkEnd w:id="3"/>
    <w:bookmarkEnd w:id="4"/>
    <w:p w14:paraId="5AECCBEA">
      <w:pPr>
        <w:pStyle w:val="48"/>
        <w:spacing w:line="360" w:lineRule="auto"/>
        <w:ind w:firstLine="420" w:firstLineChars="200"/>
        <w:outlineLvl w:val="1"/>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br w:type="page"/>
      </w:r>
    </w:p>
    <w:p w14:paraId="6AEB6E5C">
      <w:pPr>
        <w:pStyle w:val="5"/>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8294"/>
      <w:bookmarkStart w:id="6" w:name="_Toc10957"/>
      <w:bookmarkStart w:id="7" w:name="_Toc18027"/>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14:paraId="72F44BB5">
      <w:pPr>
        <w:widowControl/>
        <w:snapToGrid w:val="0"/>
        <w:spacing w:line="360" w:lineRule="auto"/>
        <w:jc w:val="center"/>
        <w:outlineLvl w:val="0"/>
        <w:rPr>
          <w:rFonts w:hint="eastAsia" w:ascii="宋体" w:hAnsi="宋体" w:eastAsia="宋体" w:cs="宋体"/>
          <w:b/>
          <w:bCs/>
          <w:color w:val="auto"/>
          <w:sz w:val="28"/>
          <w:highlight w:val="none"/>
        </w:rPr>
      </w:pPr>
      <w:bookmarkStart w:id="8" w:name="_Toc9159"/>
      <w:bookmarkStart w:id="9" w:name="_Toc22608"/>
      <w:bookmarkStart w:id="10" w:name="_Toc30698"/>
      <w:bookmarkStart w:id="11" w:name="_Toc27922"/>
      <w:bookmarkStart w:id="12" w:name="_Toc11226"/>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3246AA50">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123B2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3940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F412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2A64A7E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54324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8B46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D0D38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14:paraId="2ED190DE">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14:paraId="4587F030">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宋</w:t>
            </w:r>
            <w:r>
              <w:rPr>
                <w:rFonts w:hint="eastAsia" w:ascii="宋体" w:hAnsi="宋体" w:cs="宋体"/>
                <w:color w:val="auto"/>
                <w:sz w:val="21"/>
                <w:szCs w:val="21"/>
                <w:highlight w:val="none"/>
                <w:lang w:eastAsia="zh-CN"/>
              </w:rPr>
              <w:t>老师</w:t>
            </w:r>
          </w:p>
          <w:p w14:paraId="29E11E7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tc>
      </w:tr>
      <w:tr w14:paraId="2A7F103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971DC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AF99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9C597">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14:paraId="5DE4F7C2">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地址：重庆市江北五里店重咨大厦A栋15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14:paraId="4776041E">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钟女士</w:t>
            </w:r>
            <w:r>
              <w:rPr>
                <w:rFonts w:hint="eastAsia" w:ascii="宋体" w:hAnsi="宋体" w:eastAsia="宋体" w:cs="宋体"/>
                <w:color w:val="auto"/>
                <w:sz w:val="21"/>
                <w:szCs w:val="21"/>
                <w:highlight w:val="none"/>
              </w:rPr>
              <w:t xml:space="preserve">   </w:t>
            </w:r>
          </w:p>
          <w:p w14:paraId="2968529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eastAsia="zh-CN"/>
              </w:rPr>
              <w:t>023-67767080</w:t>
            </w:r>
            <w:r>
              <w:rPr>
                <w:rFonts w:hint="eastAsia" w:ascii="宋体" w:hAnsi="宋体" w:eastAsia="宋体" w:cs="宋体"/>
                <w:color w:val="auto"/>
                <w:sz w:val="21"/>
                <w:szCs w:val="21"/>
                <w:highlight w:val="none"/>
              </w:rPr>
              <w:t xml:space="preserve">      传真：023-67703020</w:t>
            </w:r>
          </w:p>
        </w:tc>
      </w:tr>
      <w:tr w14:paraId="1EF2BEF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30C3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A8D54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381AD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2026年度配电维保服务比选</w:t>
            </w:r>
          </w:p>
        </w:tc>
      </w:tr>
      <w:tr w14:paraId="05BA21F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A161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B849E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2C14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14:paraId="6FA8D64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FD03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B761E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D3D3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0204774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2B5D1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2375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952EA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74C8F6E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A1FA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55CB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B3D2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0C22D5E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18CF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E2CE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284AC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71BC296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4689E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9A93A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EB90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14:paraId="4545327E">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38839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A914A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5156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384B58AC">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111E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14:paraId="2DBC516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4BEAF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14:paraId="7793BB4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29C14F">
            <w:pPr>
              <w:keepNext w:val="0"/>
              <w:keepLines w:val="0"/>
              <w:pageBreakBefore w:val="0"/>
              <w:widowControl w:val="0"/>
              <w:numPr>
                <w:ilvl w:val="0"/>
                <w:numId w:val="0"/>
              </w:numPr>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实行资格后审，</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人应具备以下资格条件：</w:t>
            </w:r>
          </w:p>
          <w:p w14:paraId="2929058B">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（1）在中华人民共和国境内注册，至参选截止日止，成立时间不低于36个月，具有有效营业执照</w:t>
            </w:r>
            <w:r>
              <w:rPr>
                <w:rFonts w:hint="eastAsia" w:ascii="宋体" w:hAnsi="宋体" w:cs="宋体"/>
                <w:color w:val="auto"/>
                <w:sz w:val="21"/>
                <w:szCs w:val="21"/>
                <w:highlight w:val="none"/>
                <w:lang w:val="en-US" w:eastAsia="zh-CN"/>
              </w:rPr>
              <w:t>，企业注册资本1000万元及以上</w:t>
            </w:r>
            <w:r>
              <w:rPr>
                <w:rFonts w:hint="eastAsia" w:ascii="宋体" w:hAnsi="宋体" w:eastAsia="宋体" w:cs="宋体"/>
                <w:color w:val="auto"/>
                <w:sz w:val="21"/>
                <w:szCs w:val="21"/>
                <w:highlight w:val="none"/>
                <w:lang w:val="en-US" w:eastAsia="zh-CN"/>
              </w:rPr>
              <w:t>。</w:t>
            </w:r>
          </w:p>
          <w:p w14:paraId="32B2100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（2）不允许分公司参选。</w:t>
            </w:r>
          </w:p>
          <w:p w14:paraId="5B96278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（3）参选人近三年（从2022年10月1日至参选截止日止）具有配电维保业绩不少于3个，且单个配电维保合同总价款不低于</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万元。提供项目业绩合同复印件（复印件内容须包含合同主体、项目名称、合同内容、双方签章页等内容，合同金额不得涂抹，复印件须加盖参选人公章）。</w:t>
            </w:r>
          </w:p>
          <w:p w14:paraId="02362F9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（4）2024年年度纳税额不低于200万元（提供国家税务总局纳税截图等证明资料，并加盖参选人公章）。</w:t>
            </w:r>
          </w:p>
          <w:p w14:paraId="79BE7B8D">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参选人须具备承装（修、试）电力设施许可证三级及以上资质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755C4A0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参选人须具备有效的安全生产许可证，提供有效的证书复印件，加盖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p w14:paraId="19575E6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参选人须具备电力工程施工总承包三级及以上资质及建筑工程施工总承包贰级及以上资质。提供有效的证书复印件，加盖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p w14:paraId="589587F9">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）人员要求：</w:t>
            </w:r>
          </w:p>
          <w:p w14:paraId="080CD65B">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①拟派项目负责人须具备5年及以上10kV（或以上）电力设施设备运行维护经验。具备应急管理部门颁发的高压电工证。</w:t>
            </w:r>
          </w:p>
          <w:p w14:paraId="2C367E8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②拟派维保人员具备应急管理部门颁发的高压电工证，具有三年以上（含三年）10kV（或以上）变</w:t>
            </w:r>
            <w:r>
              <w:rPr>
                <w:rFonts w:hint="eastAsia" w:ascii="宋体" w:hAnsi="宋体" w:cs="宋体"/>
                <w:color w:val="auto"/>
                <w:sz w:val="21"/>
                <w:szCs w:val="21"/>
                <w:highlight w:val="none"/>
                <w:lang w:val="en-US" w:eastAsia="zh-CN"/>
              </w:rPr>
              <w:t>配</w:t>
            </w:r>
            <w:r>
              <w:rPr>
                <w:rFonts w:hint="eastAsia" w:ascii="宋体" w:hAnsi="宋体" w:eastAsia="宋体" w:cs="宋体"/>
                <w:color w:val="auto"/>
                <w:sz w:val="21"/>
                <w:szCs w:val="21"/>
                <w:highlight w:val="none"/>
                <w:lang w:val="en-US" w:eastAsia="zh-CN"/>
              </w:rPr>
              <w:t>电设施设备运行维护经验或县级调度员运行经验。</w:t>
            </w:r>
          </w:p>
          <w:p w14:paraId="30D6CE60">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③参选人拟派驻项目负责人须提供一年及以上连续在本单位社保缴费证明；拟派驻的维保人员须提供3个月及以上连续在本单位社保缴费证明。</w:t>
            </w:r>
          </w:p>
          <w:p w14:paraId="07BAC979">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具有良好的商业信誉，需在信用中国（www.creditchina.gov.cn）下载并提供完整的“信用信息报告”，报告中不得有相关行政处罚、严重失信、经营（活动）异常等违规、违法信息（信用报告下载时间段需为领取比选函或发布比选公告后至开标前。比选邀请人开标当日查询各比选被邀请人的信用信息报告，各比选被邀请人信用信息报告以开标当日查询的结果为准）。</w:t>
            </w:r>
          </w:p>
          <w:p w14:paraId="0E10B05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1B1C00B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2147483648" w:after="0" w:afterLines="-2147483648" w:line="400" w:lineRule="exact"/>
              <w:ind w:firstLine="420" w:firstLineChars="200"/>
              <w:jc w:val="left"/>
              <w:textAlignment w:val="auto"/>
              <w:outlineLvl w:val="9"/>
              <w:rPr>
                <w:rFonts w:hint="eastAsia" w:ascii="宋体" w:hAnsi="宋体" w:eastAsia="宋体" w:cs="宋体"/>
                <w:color w:val="auto"/>
                <w:sz w:val="21"/>
                <w:szCs w:val="21"/>
                <w:highlight w:val="none"/>
              </w:rPr>
            </w:pPr>
            <w:bookmarkStart w:id="13" w:name="_Toc32178"/>
            <w:bookmarkStart w:id="14" w:name="_Toc12267"/>
            <w:r>
              <w:rPr>
                <w:rFonts w:hint="eastAsia" w:ascii="宋体" w:hAnsi="宋体" w:eastAsia="宋体" w:cs="宋体"/>
                <w:color w:val="auto"/>
                <w:sz w:val="21"/>
                <w:szCs w:val="21"/>
                <w:highlight w:val="none"/>
                <w:lang w:val="en-US" w:eastAsia="zh-CN"/>
              </w:rPr>
              <w:t>（注：①拟派项目负责人须提供一年及以上连续在本单位社保缴费证明；②拟派驻的维保人员须提供3个月及以上连续在本单位社保缴费证明；③企业提供养老保险证明，事业单位提供养老保险证明或行政主管部门在编证明；④拟派驻人员的连续养老保险证明期限须包含2025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月至2025年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养老保险证明原件必须加盖社保部门公章，提供的养老保险参保证明须体现上述人员的姓名、身份证号（或社保号）、单位名称、本单位参保时间（或起始参保时间）。为确保对所有参选人的公开、公平、公正，</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委会作否决投标处理。）</w:t>
            </w:r>
            <w:bookmarkEnd w:id="13"/>
            <w:bookmarkEnd w:id="14"/>
          </w:p>
        </w:tc>
      </w:tr>
      <w:tr w14:paraId="0635333F">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ECAD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5CF5C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4C089E5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C38B5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15596F8C">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EF51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96688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865E3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14:paraId="17B01E4B">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63DA3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B3256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7808F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401D70C5">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29F8D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834C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959E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2EDDB9F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60F99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DBE8A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16F60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14:paraId="31BAFB42">
        <w:tblPrEx>
          <w:tblCellMar>
            <w:top w:w="0" w:type="dxa"/>
            <w:left w:w="0" w:type="dxa"/>
            <w:bottom w:w="0" w:type="dxa"/>
            <w:right w:w="0" w:type="dxa"/>
          </w:tblCellMar>
        </w:tblPrEx>
        <w:trPr>
          <w:trHeight w:val="554" w:hRule="atLeast"/>
        </w:trPr>
        <w:tc>
          <w:tcPr>
            <w:tcW w:w="99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EBFBFC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p w14:paraId="54AEFDD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519B2A2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7FD644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17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分（北京时间）前</w:t>
            </w:r>
          </w:p>
        </w:tc>
      </w:tr>
      <w:tr w14:paraId="6D4BF1A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5F175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F0140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D2F71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人在认为有必要对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人所提问题进行答复时或对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文件进行补充时，将作出答复，并将答复内容和补充内容作为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文件的补充部分，答复截止时间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18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分（北京时间），补遗内容可能影响</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文件编制产生重大影响的，须在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日前发布，发布时间至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日的，须相应延后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r>
      <w:tr w14:paraId="33EA0DA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F6DF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14:paraId="2204EFF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7BE9D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F792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允许</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人为证明自己的实力和能力提供另外的资料。</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14:paraId="6926D41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14:paraId="22FB610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B5F5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14:paraId="4E9A09F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28CF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09D3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比选报价采用综合包干价。包含但不限于人工费、社会保险及商业保险费、材料费、设备费、企业管理费、利润、风险费用、检测费、措施费、安全文明作业费、应急作业补偿费、水电费、材料涨价、垃圾清运费、弃渣费、税费、不可预计未列出的风险等所有费用。除此费用外，比选邀请人无须再向参选人或任何第三方支付其他款项或费用。</w:t>
            </w:r>
          </w:p>
          <w:p w14:paraId="183F4B0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（2）合同期内不含税价及含税价均不因税率变化做调增。</w:t>
            </w:r>
          </w:p>
          <w:p w14:paraId="43AB773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（3）比选邀请人不组织集中踏勘，由参选人自行前往现场了解相关项目情况，不论参选人是否自行前往现场进行踏勘，均视为参选人已充分了解项目现状及潜在风险，比选报价均视为已包含相关风险费用。</w:t>
            </w:r>
          </w:p>
        </w:tc>
      </w:tr>
      <w:tr w14:paraId="2AC0568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7296F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41DB0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50588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1.1.限价：不含税总价262041.51元作为最高限价，含300元内的配件免费更换。其中本项目要求提供专票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税率 %。</w:t>
            </w:r>
          </w:p>
          <w:p w14:paraId="68A643B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Times New Roman" w:hAnsi="Times New Roman" w:eastAsia="宋体" w:cs="Times New Roman"/>
                <w:color w:val="auto"/>
                <w:sz w:val="24"/>
                <w:szCs w:val="20"/>
                <w:highlight w:val="none"/>
                <w:lang w:val="en-US" w:eastAsia="zh-CN" w:bidi="ar-SA"/>
              </w:rPr>
            </w:pPr>
            <w:r>
              <w:rPr>
                <w:rFonts w:hint="eastAsia" w:ascii="宋体" w:hAnsi="宋体" w:eastAsia="宋体" w:cs="宋体"/>
                <w:color w:val="auto"/>
                <w:sz w:val="21"/>
                <w:szCs w:val="21"/>
                <w:highlight w:val="none"/>
              </w:rPr>
              <w:t>2.本次报价为一次性最终报价，不再议价。请参选人根据自身情况自主报价，报价超过该限价的作否决比选处理。</w:t>
            </w:r>
          </w:p>
        </w:tc>
      </w:tr>
      <w:tr w14:paraId="4E388022">
        <w:tblPrEx>
          <w:tblCellMar>
            <w:top w:w="0" w:type="dxa"/>
            <w:left w:w="0" w:type="dxa"/>
            <w:bottom w:w="0" w:type="dxa"/>
            <w:right w:w="0" w:type="dxa"/>
          </w:tblCellMar>
        </w:tblPrEx>
        <w:trPr>
          <w:trHeight w:val="9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329B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B213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4F722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报价货币为人民币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RMB</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2D5C4A57">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996EE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FB353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0FF3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14:paraId="06597B7B">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BB79B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14:paraId="5483366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DB9FE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14:paraId="45A73EE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EEDD4">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14:paraId="6E97621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、电汇。</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14:paraId="7AE6F8D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lang w:val="en-US" w:eastAsia="zh-CN"/>
              </w:rPr>
              <w:t>5000元（大写：人民币伍仟元整）</w:t>
            </w:r>
            <w:r>
              <w:rPr>
                <w:rFonts w:hint="eastAsia" w:ascii="宋体" w:hAnsi="宋体" w:eastAsia="宋体" w:cs="宋体"/>
                <w:b/>
                <w:color w:val="auto"/>
                <w:sz w:val="21"/>
                <w:szCs w:val="21"/>
                <w:highlight w:val="none"/>
              </w:rPr>
              <w:t>。</w:t>
            </w:r>
          </w:p>
          <w:p w14:paraId="0743475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14:paraId="30BFDCC9">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民生银行南坪支行</w:t>
            </w:r>
          </w:p>
          <w:p w14:paraId="050069ED">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户    名：</w:t>
            </w:r>
            <w:r>
              <w:rPr>
                <w:rFonts w:hint="eastAsia" w:ascii="宋体" w:hAnsi="宋体" w:eastAsia="宋体" w:cs="宋体"/>
                <w:color w:val="auto"/>
                <w:sz w:val="21"/>
                <w:szCs w:val="21"/>
                <w:highlight w:val="none"/>
                <w:lang w:eastAsia="zh-CN"/>
              </w:rPr>
              <w:t>重庆通邑卫士智慧生活服务有限公司</w:t>
            </w:r>
          </w:p>
          <w:p w14:paraId="447E857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银行账号：</w:t>
            </w:r>
            <w:r>
              <w:rPr>
                <w:rFonts w:hint="eastAsia" w:ascii="宋体" w:hAnsi="宋体" w:eastAsia="宋体" w:cs="宋体"/>
                <w:color w:val="auto"/>
                <w:sz w:val="21"/>
                <w:szCs w:val="21"/>
                <w:highlight w:val="none"/>
                <w:u w:val="none"/>
                <w:lang w:val="en-US" w:eastAsia="zh-CN"/>
              </w:rPr>
              <w:t>648680030</w:t>
            </w:r>
          </w:p>
          <w:p w14:paraId="0A6F38D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w:t>
            </w:r>
            <w:r>
              <w:rPr>
                <w:rFonts w:hint="eastAsia" w:ascii="宋体" w:hAnsi="宋体" w:cs="宋体"/>
                <w:b/>
                <w:snapToGrid w:val="0"/>
                <w:color w:val="auto"/>
                <w:sz w:val="21"/>
                <w:szCs w:val="21"/>
                <w:highlight w:val="none"/>
                <w:lang w:val="en-US" w:eastAsia="zh-CN"/>
              </w:rPr>
              <w:t>2026年度配电</w:t>
            </w:r>
            <w:r>
              <w:rPr>
                <w:rFonts w:hint="eastAsia" w:ascii="宋体" w:hAnsi="宋体" w:eastAsia="宋体" w:cs="宋体"/>
                <w:b/>
                <w:snapToGrid w:val="0"/>
                <w:color w:val="auto"/>
                <w:sz w:val="21"/>
                <w:szCs w:val="21"/>
                <w:highlight w:val="none"/>
              </w:rPr>
              <w:t>维保比选</w:t>
            </w: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保证金”。</w:t>
            </w:r>
          </w:p>
          <w:p w14:paraId="3539781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14:paraId="038389C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14:paraId="494754E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14:paraId="6FC5B5B2">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D6F75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18E4E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30608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6290045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p w14:paraId="2461F28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）提供虚假文件、过期文件、挂靠或其他不正当方式获取中选资格的。</w:t>
            </w:r>
          </w:p>
        </w:tc>
      </w:tr>
      <w:tr w14:paraId="1D4E5ECA">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9C4DC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588C4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5C4D5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14:paraId="22748F44">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664BF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8E76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1CF7D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CA2FC01">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4623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D778F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14:paraId="6124623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B807B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14:paraId="7A70848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484D0D1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11F7CE32">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D96F6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A4ED2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CF2E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14:paraId="3EF3ABF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492DD20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盖章版PDF扫描件1份（以U盘形式装入正本文件袋内，U盘需用加盖单位公章的纸条包裹，U盘是否加盖公章不作为否决比选条件）。</w:t>
            </w:r>
          </w:p>
          <w:p w14:paraId="2A2405B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14:paraId="09110C48">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41FC8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82018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BC84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是</w:t>
            </w:r>
          </w:p>
        </w:tc>
      </w:tr>
      <w:tr w14:paraId="111EE54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062E1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D6E7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E4477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资格文件、经济文件分开装订；</w:t>
            </w:r>
            <w:r>
              <w:rPr>
                <w:rFonts w:hint="eastAsia" w:ascii="宋体" w:hAnsi="宋体" w:eastAsia="宋体" w:cs="宋体"/>
                <w:color w:val="auto"/>
                <w:sz w:val="21"/>
                <w:szCs w:val="21"/>
                <w:highlight w:val="none"/>
              </w:rPr>
              <w:t>若一本装订不下，可分多册装订），并应编制目录、标注页码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14:paraId="048B6884">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8D75D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D51BE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6A9E3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tc>
      </w:tr>
      <w:tr w14:paraId="08BF7B3C">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D1192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7163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1BFC0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14:paraId="757D3DC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7C5F2E9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14:paraId="13638A7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0D75406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14:paraId="61475BDE">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F6F9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D3F7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89FFD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14:paraId="29BD4DF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cs="宋体"/>
                <w:b/>
                <w:snapToGrid w:val="0"/>
                <w:color w:val="auto"/>
                <w:sz w:val="21"/>
                <w:szCs w:val="21"/>
                <w:highlight w:val="none"/>
                <w:u w:val="single"/>
                <w:lang w:val="en-US" w:eastAsia="zh-CN" w:bidi="ar-SA"/>
              </w:rPr>
              <w:t>；</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14DE998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A90C1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4A61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067C1FB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1876B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14:paraId="0074F0B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A26E0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F11F6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29B4593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6B0AF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DC632F0">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A023C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6C4E1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5035E51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FA02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14:paraId="21D42C8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14:paraId="498336A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A6E7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14:paraId="2BB26DB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955D8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14:paraId="2744DD5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DE83C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3459FFD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（1）宣布开标纪律；</w:t>
            </w:r>
          </w:p>
          <w:p w14:paraId="35A1765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755B2EC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（3）宣布开标人、唱标人、记录人、监标人等有关人员姓名；</w:t>
            </w:r>
          </w:p>
          <w:p w14:paraId="2083B8E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（4）检查</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文件的密封情况，按照</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人须知前附表规定的开标顺序当众开标，公布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保证金的递交情</w:t>
            </w:r>
            <w:r>
              <w:rPr>
                <w:rFonts w:hint="eastAsia" w:ascii="宋体" w:hAnsi="宋体" w:cs="宋体"/>
                <w:color w:val="auto"/>
                <w:sz w:val="21"/>
                <w:szCs w:val="21"/>
                <w:highlight w:val="none"/>
                <w:lang w:eastAsia="zh-CN"/>
              </w:rPr>
              <w:t>况和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报价及其他内容，并记录在案；</w:t>
            </w:r>
          </w:p>
          <w:p w14:paraId="0F54170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p>
          <w:p w14:paraId="33CE6F9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（6）开标结束。</w:t>
            </w:r>
          </w:p>
        </w:tc>
      </w:tr>
      <w:tr w14:paraId="7131BDB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434F3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4C53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EA295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人按法律法规及相关规定依法组建</w:t>
            </w:r>
          </w:p>
        </w:tc>
      </w:tr>
      <w:tr w14:paraId="2F22E0A0">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5F0D8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DFC07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委员会推荐中标候选人数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CE89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推荐中标候选人1-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56EDEBF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6DF3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73BF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ED414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bCs/>
                <w:color w:val="auto"/>
                <w:sz w:val="21"/>
                <w:szCs w:val="21"/>
                <w:highlight w:val="none"/>
                <w:lang w:bidi="he-IL"/>
              </w:rPr>
              <w:t>中国招标投标公共服务平台、《</w:t>
            </w:r>
            <w:r>
              <w:rPr>
                <w:rFonts w:hint="eastAsia" w:ascii="宋体" w:hAnsi="宋体" w:eastAsia="宋体" w:cs="宋体"/>
                <w:color w:val="auto"/>
                <w:sz w:val="21"/>
                <w:szCs w:val="21"/>
                <w:highlight w:val="none"/>
                <w:lang w:eastAsia="zh-CN" w:bidi="he-IL"/>
              </w:rPr>
              <w:t>重庆国际投资咨询集团有限公司</w:t>
            </w:r>
            <w:r>
              <w:rPr>
                <w:rFonts w:hint="eastAsia" w:ascii="宋体" w:hAnsi="宋体" w:eastAsia="宋体" w:cs="宋体"/>
                <w:bCs/>
                <w:color w:val="auto"/>
                <w:sz w:val="21"/>
                <w:szCs w:val="21"/>
                <w:highlight w:val="none"/>
                <w:lang w:bidi="he-IL"/>
              </w:rPr>
              <w:t>》</w:t>
            </w:r>
            <w:r>
              <w:rPr>
                <w:rFonts w:hint="eastAsia" w:ascii="宋体" w:hAnsi="宋体" w:eastAsia="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eastAsia="宋体" w:cs="宋体"/>
                <w:bCs/>
                <w:color w:val="auto"/>
                <w:sz w:val="21"/>
                <w:szCs w:val="21"/>
                <w:highlight w:val="none"/>
                <w:lang w:eastAsia="zh-CN" w:bidi="he-IL"/>
              </w:rPr>
              <w:t>》</w:t>
            </w:r>
            <w:r>
              <w:rPr>
                <w:rFonts w:hint="eastAsia" w:ascii="宋体" w:hAnsi="宋体" w:eastAsia="宋体" w:cs="宋体"/>
                <w:bCs/>
                <w:color w:val="auto"/>
                <w:sz w:val="21"/>
                <w:szCs w:val="21"/>
                <w:highlight w:val="none"/>
                <w:lang w:bidi="he-IL"/>
              </w:rPr>
              <w:t>网</w:t>
            </w:r>
            <w:r>
              <w:rPr>
                <w:rFonts w:hint="eastAsia" w:ascii="宋体" w:hAnsi="宋体" w:eastAsia="宋体" w:cs="宋体"/>
                <w:color w:val="auto"/>
                <w:sz w:val="21"/>
                <w:szCs w:val="21"/>
                <w:highlight w:val="none"/>
              </w:rPr>
              <w:t>上指定位置公布。</w:t>
            </w:r>
          </w:p>
          <w:p w14:paraId="13E72624">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14:paraId="500E4B9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562D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BFC7E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委员会确定中标人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C6B4C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auto"/>
                <w:sz w:val="21"/>
                <w:szCs w:val="21"/>
                <w:highlight w:val="none"/>
                <w:lang w:val="en-US" w:eastAsia="zh-CN"/>
              </w:rPr>
              <w:t>含税总价由低到高</w:t>
            </w:r>
            <w:r>
              <w:rPr>
                <w:rFonts w:hint="eastAsia" w:ascii="宋体" w:hAnsi="宋体" w:eastAsia="宋体" w:cs="宋体"/>
                <w:color w:val="auto"/>
                <w:sz w:val="21"/>
                <w:szCs w:val="21"/>
                <w:highlight w:val="none"/>
              </w:rPr>
              <w:t>的顺序依次推荐前1-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名为中标候选人。</w:t>
            </w:r>
          </w:p>
        </w:tc>
      </w:tr>
      <w:tr w14:paraId="68DE000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C25B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14:paraId="2F61BF6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60724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47963">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1.履约担保的形式：</w:t>
            </w:r>
            <w:r>
              <w:rPr>
                <w:rFonts w:hint="eastAsia" w:ascii="宋体" w:hAnsi="宋体" w:cs="宋体"/>
                <w:color w:val="auto"/>
                <w:sz w:val="21"/>
                <w:szCs w:val="21"/>
                <w:highlight w:val="none"/>
                <w:lang w:val="en-US" w:eastAsia="zh-CN"/>
              </w:rPr>
              <w:t>转账</w:t>
            </w:r>
            <w:r>
              <w:rPr>
                <w:rFonts w:hint="eastAsia" w:ascii="宋体" w:hAnsi="宋体" w:eastAsia="宋体" w:cs="宋体"/>
                <w:color w:val="auto"/>
                <w:sz w:val="21"/>
                <w:szCs w:val="21"/>
                <w:highlight w:val="none"/>
              </w:rPr>
              <w:t>；</w:t>
            </w:r>
          </w:p>
          <w:p w14:paraId="5A9A31A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rPr>
              <w:t>2.履约担保的金额：中选含税总价的10%，并精确至千位整数</w:t>
            </w:r>
            <w:r>
              <w:rPr>
                <w:rFonts w:hint="eastAsia" w:ascii="宋体" w:hAnsi="宋体" w:cs="宋体"/>
                <w:color w:val="auto"/>
                <w:sz w:val="21"/>
                <w:szCs w:val="21"/>
                <w:highlight w:val="none"/>
                <w:lang w:eastAsia="zh-CN"/>
              </w:rPr>
              <w:t>，中选候选人公示结束5日内支付完成；</w:t>
            </w:r>
          </w:p>
          <w:p w14:paraId="2EA691F3">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21"/>
                <w:szCs w:val="21"/>
                <w:highlight w:val="none"/>
              </w:rPr>
              <w:t>保证金缴纳账户</w:t>
            </w:r>
          </w:p>
          <w:p w14:paraId="675AF67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开户银行：民生银行南坪支行</w:t>
            </w:r>
          </w:p>
          <w:p w14:paraId="79F8241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名：重庆通邑卫士智慧生活服务有限公司</w:t>
            </w:r>
          </w:p>
          <w:p w14:paraId="51660E2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银行账号：648680030</w:t>
            </w:r>
          </w:p>
          <w:p w14:paraId="40A07E1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履约担保的期限：合同签订之日起至</w:t>
            </w:r>
            <w:r>
              <w:rPr>
                <w:rFonts w:hint="eastAsia" w:ascii="宋体" w:hAnsi="宋体" w:eastAsia="宋体" w:cs="宋体"/>
                <w:color w:val="auto"/>
                <w:sz w:val="21"/>
                <w:szCs w:val="21"/>
                <w:highlight w:val="none"/>
                <w:lang w:val="en-US" w:eastAsia="zh-CN"/>
              </w:rPr>
              <w:t>合同结束时间止</w:t>
            </w:r>
            <w:r>
              <w:rPr>
                <w:rFonts w:hint="eastAsia" w:ascii="宋体" w:hAnsi="宋体" w:eastAsia="宋体" w:cs="宋体"/>
                <w:color w:val="auto"/>
                <w:sz w:val="21"/>
                <w:szCs w:val="21"/>
                <w:highlight w:val="none"/>
              </w:rPr>
              <w:t>。</w:t>
            </w:r>
          </w:p>
          <w:p w14:paraId="3C19401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中选单位比选保证金若转为履约保证金时，签订合同前需补齐差额部分。合同履约期满，且经比选邀请人确认中选单位无违约情况后，比选邀请人收到中选单位的履约保证金缴纳收据原件后15个工作日内无息退还。</w:t>
            </w:r>
          </w:p>
        </w:tc>
      </w:tr>
      <w:tr w14:paraId="48A1F627">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1D98D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C4D8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08FA2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6276B4E2">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E4823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2D1FE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7635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招标（或比选）代理服务计费方式(费率)</w:t>
            </w:r>
          </w:p>
          <w:tbl>
            <w:tblPr>
              <w:tblStyle w:val="23"/>
              <w:tblW w:w="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60"/>
              <w:gridCol w:w="1075"/>
              <w:gridCol w:w="1135"/>
            </w:tblGrid>
            <w:tr w14:paraId="012A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75" w:type="dxa"/>
                  <w:vAlign w:val="top"/>
                </w:tcPr>
                <w:p w14:paraId="544FA4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12065</wp:posOffset>
                            </wp:positionV>
                            <wp:extent cx="933450" cy="695325"/>
                            <wp:effectExtent l="2540" t="3810" r="16510" b="5715"/>
                            <wp:wrapNone/>
                            <wp:docPr id="12" name="直接连接符 12"/>
                            <wp:cNvGraphicFramePr/>
                            <a:graphic xmlns:a="http://schemas.openxmlformats.org/drawingml/2006/main">
                              <a:graphicData uri="http://schemas.microsoft.com/office/word/2010/wordprocessingShape">
                                <wps:wsp>
                                  <wps:cNvCnPr/>
                                  <wps:spPr>
                                    <a:xfrm>
                                      <a:off x="0" y="0"/>
                                      <a:ext cx="933450" cy="6953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0.95pt;height:54.75pt;width:73.5pt;z-index:251662336;mso-width-relative:page;mso-height-relative:page;" filled="f" stroked="t" coordsize="21600,21600" o:gfxdata="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mui31gAAAAgBAAAPAAAAAAAAAAEAIAAAACIAAABkcnMvZG93bnJldi54&#10;bWxQSwECFAAUAAAACACHTuJA9rzoiPwBAAD4AwAADgAAAAAAAAABACAAAAAl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1FFEC6B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p>
                <w:p w14:paraId="29E824A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p w14:paraId="4729121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960" w:type="dxa"/>
                  <w:vAlign w:val="center"/>
                </w:tcPr>
                <w:p w14:paraId="39193D0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075" w:type="dxa"/>
                  <w:vAlign w:val="center"/>
                </w:tcPr>
                <w:p w14:paraId="0C7602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35" w:type="dxa"/>
                  <w:vAlign w:val="center"/>
                </w:tcPr>
                <w:p w14:paraId="712DD8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0F91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5" w:type="dxa"/>
                  <w:vAlign w:val="center"/>
                </w:tcPr>
                <w:p w14:paraId="5C6F68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60" w:type="dxa"/>
                  <w:vAlign w:val="center"/>
                </w:tcPr>
                <w:p w14:paraId="3A513F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75" w:type="dxa"/>
                  <w:vAlign w:val="center"/>
                </w:tcPr>
                <w:p w14:paraId="0788D5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35" w:type="dxa"/>
                  <w:vAlign w:val="center"/>
                </w:tcPr>
                <w:p w14:paraId="4954F3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3084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75" w:type="dxa"/>
                  <w:vAlign w:val="center"/>
                </w:tcPr>
                <w:p w14:paraId="20CC3D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p>
              </w:tc>
              <w:tc>
                <w:tcPr>
                  <w:tcW w:w="960" w:type="dxa"/>
                  <w:vAlign w:val="center"/>
                </w:tcPr>
                <w:p w14:paraId="2D05E6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5" w:type="dxa"/>
                  <w:vAlign w:val="center"/>
                </w:tcPr>
                <w:p w14:paraId="4EBE6A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35" w:type="dxa"/>
                  <w:vAlign w:val="center"/>
                </w:tcPr>
                <w:p w14:paraId="2F44E3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4D4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5" w:type="dxa"/>
                  <w:vAlign w:val="center"/>
                </w:tcPr>
                <w:p w14:paraId="09B2E93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200-500</w:t>
                  </w:r>
                </w:p>
              </w:tc>
              <w:tc>
                <w:tcPr>
                  <w:tcW w:w="960" w:type="dxa"/>
                  <w:vAlign w:val="center"/>
                </w:tcPr>
                <w:p w14:paraId="6C41509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075" w:type="dxa"/>
                  <w:vAlign w:val="center"/>
                </w:tcPr>
                <w:p w14:paraId="0D4D0C4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0.78%</w:t>
                  </w:r>
                </w:p>
              </w:tc>
              <w:tc>
                <w:tcPr>
                  <w:tcW w:w="1135" w:type="dxa"/>
                  <w:vAlign w:val="center"/>
                </w:tcPr>
                <w:p w14:paraId="721A14F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0.69%</w:t>
                  </w:r>
                </w:p>
              </w:tc>
            </w:tr>
            <w:tr w14:paraId="1875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vAlign w:val="center"/>
                </w:tcPr>
                <w:p w14:paraId="688948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60" w:type="dxa"/>
                  <w:vAlign w:val="center"/>
                </w:tcPr>
                <w:p w14:paraId="01CC32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p>
              </w:tc>
              <w:tc>
                <w:tcPr>
                  <w:tcW w:w="1075" w:type="dxa"/>
                  <w:vAlign w:val="center"/>
                </w:tcPr>
                <w:p w14:paraId="192DFE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64883E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5BFC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vAlign w:val="center"/>
                </w:tcPr>
                <w:p w14:paraId="3B2BF5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60" w:type="dxa"/>
                  <w:vAlign w:val="center"/>
                </w:tcPr>
                <w:p w14:paraId="6DD6CC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1075" w:type="dxa"/>
                  <w:vAlign w:val="center"/>
                </w:tcPr>
                <w:p w14:paraId="76D62F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1D059F0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4FA0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5" w:type="dxa"/>
                  <w:vAlign w:val="center"/>
                </w:tcPr>
                <w:p w14:paraId="5793F2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960" w:type="dxa"/>
                  <w:vAlign w:val="center"/>
                </w:tcPr>
                <w:p w14:paraId="16BBE2D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p>
              </w:tc>
              <w:tc>
                <w:tcPr>
                  <w:tcW w:w="1075" w:type="dxa"/>
                  <w:vAlign w:val="center"/>
                </w:tcPr>
                <w:p w14:paraId="23FDB7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p>
              </w:tc>
              <w:tc>
                <w:tcPr>
                  <w:tcW w:w="1135" w:type="dxa"/>
                  <w:vAlign w:val="center"/>
                </w:tcPr>
                <w:p w14:paraId="1F4350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14:paraId="256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75" w:type="dxa"/>
                  <w:vAlign w:val="top"/>
                </w:tcPr>
                <w:p w14:paraId="6CF933EE">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rPr>
                    <w:t>0000</w:t>
                  </w:r>
                </w:p>
              </w:tc>
              <w:tc>
                <w:tcPr>
                  <w:tcW w:w="960" w:type="dxa"/>
                  <w:vAlign w:val="top"/>
                </w:tcPr>
                <w:p w14:paraId="2D7AB63A">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2"/>
                      <w:sz w:val="21"/>
                      <w:szCs w:val="21"/>
                      <w:highlight w:val="none"/>
                      <w:lang w:val="en-US" w:eastAsia="zh-CN"/>
                    </w:rPr>
                    <w:t>04</w:t>
                  </w:r>
                  <w:r>
                    <w:rPr>
                      <w:rFonts w:hint="eastAsia" w:ascii="宋体" w:hAnsi="宋体" w:eastAsia="宋体" w:cs="宋体"/>
                      <w:color w:val="auto"/>
                      <w:kern w:val="0"/>
                      <w:sz w:val="21"/>
                      <w:szCs w:val="21"/>
                      <w:highlight w:val="none"/>
                    </w:rPr>
                    <w:t>5%</w:t>
                  </w:r>
                </w:p>
              </w:tc>
              <w:tc>
                <w:tcPr>
                  <w:tcW w:w="1075" w:type="dxa"/>
                  <w:vAlign w:val="top"/>
                </w:tcPr>
                <w:p w14:paraId="3DDF24CA">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1135" w:type="dxa"/>
                  <w:vAlign w:val="top"/>
                </w:tcPr>
                <w:p w14:paraId="30E95691">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r>
            <w:tr w14:paraId="11B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75" w:type="dxa"/>
                  <w:vAlign w:val="center"/>
                </w:tcPr>
                <w:p w14:paraId="5E2E171E">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1000000以上</w:t>
                  </w:r>
                </w:p>
              </w:tc>
              <w:tc>
                <w:tcPr>
                  <w:tcW w:w="960" w:type="dxa"/>
                  <w:vAlign w:val="center"/>
                </w:tcPr>
                <w:p w14:paraId="65720877">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075" w:type="dxa"/>
                  <w:vAlign w:val="center"/>
                </w:tcPr>
                <w:p w14:paraId="5C3F1B00">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135" w:type="dxa"/>
                  <w:vAlign w:val="center"/>
                </w:tcPr>
                <w:p w14:paraId="3B8A84CE">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0.004%</w:t>
                  </w:r>
                </w:p>
              </w:tc>
            </w:tr>
          </w:tbl>
          <w:p w14:paraId="2BCA0EA2">
            <w:pPr>
              <w:pStyle w:val="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注：比选代理服务收费按差额定率累进法计算。</w:t>
            </w:r>
          </w:p>
          <w:p w14:paraId="3AA16EC9">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次比选代理费由中选人领取成交通知书时一次性支付给代理人。中标金额不满50万元的，按3000元计取；中标金额在50万元以上且不满100万元的，按项目5000元计取；中标金额在100万元以上的，按项目个数参照招标（或比选）代理服务计费方式表格以实际中标金额为基数采用差额定率累进法计算后下浮20%作为代理服务费。</w:t>
            </w:r>
          </w:p>
        </w:tc>
      </w:tr>
      <w:tr w14:paraId="7AD09A34">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60551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3BA5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1E088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 xml:space="preserve">人少于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个的；</w:t>
            </w:r>
          </w:p>
          <w:p w14:paraId="215314F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的。</w:t>
            </w:r>
          </w:p>
          <w:p w14:paraId="1A2A1C1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个的，且明显缺乏竞争的，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074B50AE">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F1A16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60E6B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52656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5BFBFCF3">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3B1247">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E1F96">
            <w:pPr>
              <w:keepNext w:val="0"/>
              <w:keepLines w:val="0"/>
              <w:pageBreakBefore w:val="0"/>
              <w:widowControl/>
              <w:kinsoku/>
              <w:wordWrap/>
              <w:overflowPunct/>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447717">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1.本项目实行资格后审。</w:t>
            </w:r>
          </w:p>
          <w:p w14:paraId="5F2D9117">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2.参选人因履约不到位引起的配电问题所导致的各类行政处罚及由此产生的一切责任后果均由参选人自行承担，并负责与相关单位的协调工作，协助问题整改直至完成。</w:t>
            </w:r>
          </w:p>
          <w:p w14:paraId="512631B3">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合同期内项目负责人更换次数不超过一次，维保人员更换不超过拟派驻人员的50%，每次更换前必须提供书面申请且需取得比选邀请人同意后方可更换，否则视为违约。拟派驻人员必须与合同签订后实际派驻人员保持一致。</w:t>
            </w:r>
          </w:p>
          <w:p w14:paraId="08E832AB">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4.本项目不允许联合投标。</w:t>
            </w:r>
          </w:p>
          <w:p w14:paraId="71B132A5">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6.按照比选邀请人公司制度签订各项管理协议。</w:t>
            </w:r>
          </w:p>
        </w:tc>
      </w:tr>
    </w:tbl>
    <w:p w14:paraId="59A51449">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14:paraId="1C27513A">
      <w:pPr>
        <w:keepNext/>
        <w:keepLines/>
        <w:snapToGrid w:val="0"/>
        <w:spacing w:line="360" w:lineRule="auto"/>
        <w:outlineLvl w:val="0"/>
        <w:rPr>
          <w:rFonts w:hint="eastAsia" w:ascii="宋体" w:hAnsi="宋体" w:eastAsia="宋体" w:cs="宋体"/>
          <w:b/>
          <w:color w:val="auto"/>
          <w:sz w:val="24"/>
          <w:szCs w:val="18"/>
          <w:highlight w:val="none"/>
        </w:rPr>
      </w:pPr>
      <w:bookmarkStart w:id="15" w:name="_Toc12414"/>
      <w:bookmarkStart w:id="16" w:name="_Toc30363"/>
      <w:bookmarkStart w:id="17" w:name="_Toc32408"/>
      <w:bookmarkStart w:id="18" w:name="_Toc25209"/>
      <w:bookmarkStart w:id="19" w:name="_Toc10564"/>
      <w:r>
        <w:rPr>
          <w:rFonts w:hint="eastAsia" w:ascii="宋体" w:hAnsi="宋体" w:eastAsia="宋体" w:cs="宋体"/>
          <w:b/>
          <w:color w:val="auto"/>
          <w:sz w:val="24"/>
          <w:szCs w:val="18"/>
          <w:highlight w:val="none"/>
        </w:rPr>
        <w:t>1、总则</w:t>
      </w:r>
      <w:bookmarkEnd w:id="15"/>
      <w:bookmarkEnd w:id="16"/>
      <w:bookmarkEnd w:id="17"/>
      <w:bookmarkEnd w:id="18"/>
      <w:bookmarkEnd w:id="19"/>
    </w:p>
    <w:p w14:paraId="7F0DB523">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14:paraId="79B8E32B">
      <w:pPr>
        <w:keepNext/>
        <w:keepLines/>
        <w:snapToGrid w:val="0"/>
        <w:spacing w:line="400" w:lineRule="exact"/>
        <w:rPr>
          <w:rFonts w:hint="eastAsia" w:ascii="宋体" w:hAnsi="宋体" w:eastAsia="宋体" w:cs="宋体"/>
          <w:color w:val="auto"/>
          <w:sz w:val="24"/>
          <w:highlight w:val="none"/>
        </w:rPr>
      </w:pPr>
    </w:p>
    <w:p w14:paraId="44AA21A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根据《中华人民共和国</w:t>
      </w:r>
      <w:r>
        <w:rPr>
          <w:rFonts w:hint="eastAsia" w:ascii="宋体" w:hAnsi="宋体" w:eastAsia="宋体" w:cs="宋体"/>
          <w:color w:val="auto"/>
          <w:sz w:val="21"/>
          <w:highlight w:val="none"/>
          <w:lang w:val="en-US" w:eastAsia="zh-CN"/>
        </w:rPr>
        <w:t>招投标</w:t>
      </w:r>
      <w:r>
        <w:rPr>
          <w:rFonts w:hint="eastAsia" w:ascii="宋体" w:hAnsi="宋体" w:eastAsia="宋体" w:cs="宋体"/>
          <w:color w:val="auto"/>
          <w:sz w:val="21"/>
          <w:highlight w:val="none"/>
        </w:rPr>
        <w:t>法</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中华人民共和国</w:t>
      </w:r>
      <w:r>
        <w:rPr>
          <w:rFonts w:hint="eastAsia" w:ascii="宋体" w:hAnsi="宋体" w:eastAsia="宋体" w:cs="宋体"/>
          <w:color w:val="auto"/>
          <w:sz w:val="21"/>
          <w:highlight w:val="none"/>
          <w:lang w:val="en-US" w:eastAsia="zh-CN"/>
        </w:rPr>
        <w:t>招投标</w:t>
      </w:r>
      <w:r>
        <w:rPr>
          <w:rFonts w:hint="eastAsia" w:ascii="宋体" w:hAnsi="宋体" w:eastAsia="宋体" w:cs="宋体"/>
          <w:color w:val="auto"/>
          <w:sz w:val="21"/>
          <w:highlight w:val="none"/>
        </w:rPr>
        <w:t>法实施条例》等有关</w:t>
      </w:r>
    </w:p>
    <w:p w14:paraId="445C3ED6">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14:paraId="435CF15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76AA93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0B8E40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F230E0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01122A2">
      <w:pPr>
        <w:keepNext/>
        <w:keepLines/>
        <w:snapToGrid w:val="0"/>
        <w:spacing w:line="400" w:lineRule="exact"/>
        <w:rPr>
          <w:rFonts w:hint="eastAsia" w:ascii="宋体" w:hAnsi="宋体" w:eastAsia="宋体" w:cs="宋体"/>
          <w:color w:val="auto"/>
          <w:sz w:val="24"/>
          <w:highlight w:val="none"/>
        </w:rPr>
      </w:pPr>
    </w:p>
    <w:p w14:paraId="4BFF6D33">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14:paraId="653F84A4">
      <w:pPr>
        <w:keepNext/>
        <w:keepLines/>
        <w:snapToGrid w:val="0"/>
        <w:spacing w:line="400" w:lineRule="exact"/>
        <w:rPr>
          <w:rFonts w:hint="eastAsia" w:ascii="宋体" w:hAnsi="宋体" w:eastAsia="宋体" w:cs="宋体"/>
          <w:color w:val="auto"/>
          <w:sz w:val="24"/>
          <w:highlight w:val="none"/>
        </w:rPr>
      </w:pPr>
    </w:p>
    <w:p w14:paraId="22A3F545">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B1244AB">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3EAE3C8">
      <w:pPr>
        <w:keepNext/>
        <w:keepLines/>
        <w:snapToGrid w:val="0"/>
        <w:spacing w:line="400" w:lineRule="exact"/>
        <w:rPr>
          <w:rFonts w:hint="eastAsia" w:ascii="宋体" w:hAnsi="宋体" w:eastAsia="宋体" w:cs="宋体"/>
          <w:color w:val="auto"/>
          <w:sz w:val="24"/>
          <w:highlight w:val="none"/>
        </w:rPr>
      </w:pPr>
    </w:p>
    <w:p w14:paraId="3E13B631">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14:paraId="49914DFC">
      <w:pPr>
        <w:keepNext/>
        <w:keepLines/>
        <w:snapToGrid w:val="0"/>
        <w:spacing w:line="400" w:lineRule="exact"/>
        <w:rPr>
          <w:rFonts w:hint="eastAsia" w:ascii="宋体" w:hAnsi="宋体" w:eastAsia="宋体" w:cs="宋体"/>
          <w:color w:val="auto"/>
          <w:sz w:val="24"/>
          <w:highlight w:val="none"/>
        </w:rPr>
      </w:pPr>
    </w:p>
    <w:p w14:paraId="291F62CB">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EDF7CBD">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EA4C0EE">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5841F34">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7EC610E">
      <w:pPr>
        <w:adjustRightInd w:val="0"/>
        <w:snapToGrid w:val="0"/>
        <w:spacing w:line="520" w:lineRule="exact"/>
        <w:ind w:firstLine="420" w:firstLineChars="200"/>
        <w:rPr>
          <w:rFonts w:hint="eastAsia" w:ascii="宋体" w:hAnsi="宋体" w:eastAsia="宋体" w:cs="宋体"/>
          <w:color w:val="auto"/>
          <w:sz w:val="21"/>
          <w:highlight w:val="none"/>
        </w:rPr>
      </w:pPr>
    </w:p>
    <w:p w14:paraId="216CC9AC">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14:paraId="0A191968">
      <w:pPr>
        <w:keepNext/>
        <w:keepLines/>
        <w:snapToGrid w:val="0"/>
        <w:spacing w:line="400" w:lineRule="exact"/>
        <w:rPr>
          <w:rFonts w:hint="eastAsia" w:ascii="宋体" w:hAnsi="宋体" w:eastAsia="宋体" w:cs="宋体"/>
          <w:color w:val="auto"/>
          <w:sz w:val="24"/>
          <w:highlight w:val="none"/>
        </w:rPr>
      </w:pPr>
    </w:p>
    <w:p w14:paraId="54A9DD6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14:paraId="264D001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（1）资质要求：见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C40697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（2）信誉要求：见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62FA4A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72B08B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人为代理经销商的，对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人的资质要求包含对制造商的资质要求。</w:t>
      </w:r>
    </w:p>
    <w:p w14:paraId="65E6D4E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需要提交的相关证明材料见本章第 3.5 款的规定。</w:t>
      </w:r>
    </w:p>
    <w:p w14:paraId="502D5BE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14:paraId="4361FDA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3E1AEB1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14:paraId="575C345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14:paraId="0F56567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14:paraId="70146D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人存在利害关系且可能影响</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公正性；</w:t>
      </w:r>
    </w:p>
    <w:p w14:paraId="5DA0945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人为同一个单位负责人；</w:t>
      </w:r>
    </w:p>
    <w:p w14:paraId="1E0EAE9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人存在控股、管理关系；</w:t>
      </w:r>
    </w:p>
    <w:p w14:paraId="0344157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人代理同一个制造商同一品牌同一型号的材料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797328F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项目提供过设计、编制技术规范和其他文件的咨询服务；</w:t>
      </w:r>
    </w:p>
    <w:p w14:paraId="5E3F9D7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（6）为本工程项目的相关监理人，或者与本工程项目的相关监理人存在隶属关系或者其他利害关系；</w:t>
      </w:r>
    </w:p>
    <w:p w14:paraId="5CB8499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项目的代建人；</w:t>
      </w:r>
    </w:p>
    <w:p w14:paraId="11E1897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w:t>
      </w:r>
    </w:p>
    <w:p w14:paraId="58A7A79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代理机构同为一个法定代表人；</w:t>
      </w:r>
    </w:p>
    <w:p w14:paraId="42725E9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代理机构存在控股或参股关系；</w:t>
      </w:r>
    </w:p>
    <w:p w14:paraId="7C88070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（11）被依法暂停或者取消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资格；</w:t>
      </w:r>
    </w:p>
    <w:p w14:paraId="3462F64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（12）被责令停产停业、暂扣或者吊销许可证、暂扣或者吊销执照；</w:t>
      </w:r>
    </w:p>
    <w:p w14:paraId="174F39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（13）进入清算程序，或被宣告破产，或其他丧失履约能力的情形；</w:t>
      </w:r>
    </w:p>
    <w:p w14:paraId="032E423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（14）被工商行政管理机关</w:t>
      </w:r>
      <w:r>
        <w:rPr>
          <w:rFonts w:hint="eastAsia" w:ascii="宋体" w:hAnsi="宋体" w:cs="宋体"/>
          <w:color w:val="auto"/>
          <w:sz w:val="21"/>
          <w:highlight w:val="none"/>
          <w:lang w:eastAsia="zh-CN"/>
        </w:rPr>
        <w:t>在国家企业信用信息公示系统</w:t>
      </w:r>
      <w:r>
        <w:rPr>
          <w:rFonts w:hint="eastAsia" w:ascii="宋体" w:hAnsi="宋体" w:eastAsia="宋体" w:cs="宋体"/>
          <w:color w:val="auto"/>
          <w:sz w:val="21"/>
          <w:highlight w:val="none"/>
        </w:rPr>
        <w:t>中列入严重违法失信企业名单；</w:t>
      </w:r>
    </w:p>
    <w:p w14:paraId="6B23B16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）被最高人民法院在“信用中国”网站（www.creditchina.gov.cn）或各级信用信息共享平台中列入失信被执行人名单；</w:t>
      </w:r>
    </w:p>
    <w:p w14:paraId="68D0483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（17）法律法规或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人须知前附表规定的其他情形。</w:t>
      </w:r>
    </w:p>
    <w:p w14:paraId="39CF797C">
      <w:pPr>
        <w:keepNext/>
        <w:keepLines/>
        <w:snapToGrid w:val="0"/>
        <w:spacing w:after="156" w:afterLines="50" w:line="400" w:lineRule="exact"/>
        <w:rPr>
          <w:rFonts w:hint="eastAsia" w:ascii="宋体" w:hAnsi="宋体" w:eastAsia="宋体" w:cs="宋体"/>
          <w:b/>
          <w:bCs/>
          <w:color w:val="auto"/>
          <w:sz w:val="24"/>
          <w:szCs w:val="22"/>
          <w:highlight w:val="none"/>
        </w:rPr>
      </w:pPr>
      <w:bookmarkStart w:id="20" w:name="_Toc277082558"/>
      <w:bookmarkStart w:id="21" w:name="_Toc287607752"/>
      <w:bookmarkStart w:id="22" w:name="_Toc531030823"/>
      <w:bookmarkStart w:id="23" w:name="_Toc398133484"/>
      <w:bookmarkStart w:id="24" w:name="_Toc224103323"/>
      <w:r>
        <w:rPr>
          <w:rFonts w:hint="eastAsia" w:ascii="宋体" w:hAnsi="宋体" w:eastAsia="宋体" w:cs="宋体"/>
          <w:b/>
          <w:bCs/>
          <w:color w:val="auto"/>
          <w:sz w:val="24"/>
          <w:szCs w:val="22"/>
          <w:highlight w:val="none"/>
        </w:rPr>
        <w:t>1.5  费用承担</w:t>
      </w:r>
      <w:bookmarkEnd w:id="20"/>
      <w:bookmarkEnd w:id="21"/>
      <w:bookmarkEnd w:id="22"/>
      <w:bookmarkEnd w:id="23"/>
      <w:bookmarkEnd w:id="24"/>
    </w:p>
    <w:p w14:paraId="08A99CED">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14:paraId="5BC6DD5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14:paraId="5ED6842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14:paraId="13008A4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14:paraId="4974C57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14:paraId="068AB13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14:paraId="5F9DE11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所有计量均采用中华人民共和国法定计量单位。 </w:t>
      </w:r>
    </w:p>
    <w:p w14:paraId="3F8E41D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 1.9  踏勘现场</w:t>
      </w:r>
    </w:p>
    <w:p w14:paraId="7142582C">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14:paraId="71D2374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14:paraId="32BB8E4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14:paraId="7AFDB27B">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1.10.2 中标人不得向他人转让中标项目，接受分包的人不得再次分包。中标人应当就分包项目向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14:paraId="071C731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14:paraId="2A58AD3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w:t>
      </w:r>
      <w:r>
        <w:rPr>
          <w:rFonts w:hint="eastAsia" w:ascii="宋体" w:hAnsi="宋体" w:cs="宋体"/>
          <w:color w:val="auto"/>
          <w:sz w:val="21"/>
          <w:highlight w:val="none"/>
          <w:lang w:eastAsia="zh-CN"/>
        </w:rPr>
        <w:t>满足</w:t>
      </w:r>
      <w:r>
        <w:rPr>
          <w:rFonts w:hint="eastAsia" w:ascii="宋体" w:hAnsi="宋体" w:eastAsia="宋体" w:cs="宋体"/>
          <w:color w:val="auto"/>
          <w:sz w:val="21"/>
          <w:highlight w:val="none"/>
        </w:rPr>
        <w:t>或更有利于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人的响应，否则，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将被否决。实质性要求和条件见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C88BED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1.11.2投料及</w:t>
      </w:r>
      <w:r>
        <w:rPr>
          <w:rFonts w:hint="eastAsia" w:ascii="宋体" w:hAnsi="宋体" w:cs="宋体"/>
          <w:color w:val="auto"/>
          <w:sz w:val="21"/>
          <w:highlight w:val="none"/>
          <w:lang w:eastAsia="zh-CN"/>
        </w:rPr>
        <w:t>参选人</w:t>
      </w:r>
      <w:r>
        <w:rPr>
          <w:rFonts w:hint="eastAsia" w:ascii="宋体" w:hAnsi="宋体" w:eastAsia="宋体" w:cs="宋体"/>
          <w:color w:val="auto"/>
          <w:sz w:val="21"/>
          <w:highlight w:val="none"/>
        </w:rPr>
        <w:t>应根据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文件的要求提供</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材料质量标准的详细描述、技术支持资料和相关服务计划等内容以对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文件作出响应。</w:t>
      </w:r>
    </w:p>
    <w:p w14:paraId="153F48B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人须知前附表允许的其他形式为准，不符合前述要求的，视为无技术支持资料，其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2D12117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1.11.4</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人须知前附表规定了可以偏差的范围和最高偏差项数的，偏差应当符合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人须知前附表规定的偏差范围和最高项数，超出偏差范围和最高偏差项数的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1968E8A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文件的全部偏差，均应在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cs="宋体"/>
          <w:color w:val="auto"/>
          <w:sz w:val="21"/>
          <w:highlight w:val="none"/>
          <w:lang w:val="en-US" w:eastAsia="zh-CN"/>
        </w:rPr>
        <w:t>资格</w:t>
      </w:r>
      <w:r>
        <w:rPr>
          <w:rFonts w:hint="eastAsia" w:ascii="宋体" w:hAnsi="宋体" w:eastAsia="宋体" w:cs="宋体"/>
          <w:color w:val="auto"/>
          <w:sz w:val="21"/>
          <w:highlight w:val="none"/>
        </w:rPr>
        <w:t>和技术偏差表中列明，除列明的内容外，视为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人响应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文件的全部要求。</w:t>
      </w:r>
    </w:p>
    <w:p w14:paraId="235E4A28">
      <w:pPr>
        <w:snapToGrid w:val="0"/>
        <w:spacing w:line="520" w:lineRule="exact"/>
        <w:ind w:firstLine="482"/>
        <w:rPr>
          <w:rFonts w:hint="eastAsia" w:ascii="宋体" w:hAnsi="宋体" w:eastAsia="宋体" w:cs="宋体"/>
          <w:color w:val="auto"/>
          <w:sz w:val="24"/>
          <w:highlight w:val="none"/>
        </w:rPr>
      </w:pPr>
    </w:p>
    <w:p w14:paraId="099C416D">
      <w:pPr>
        <w:keepNext/>
        <w:keepLines/>
        <w:snapToGrid w:val="0"/>
        <w:spacing w:line="360" w:lineRule="auto"/>
        <w:outlineLvl w:val="0"/>
        <w:rPr>
          <w:rFonts w:hint="eastAsia" w:ascii="宋体" w:hAnsi="宋体" w:eastAsia="宋体" w:cs="宋体"/>
          <w:b/>
          <w:color w:val="auto"/>
          <w:sz w:val="28"/>
          <w:highlight w:val="none"/>
        </w:rPr>
      </w:pPr>
      <w:bookmarkStart w:id="25" w:name="_Toc14393"/>
      <w:bookmarkStart w:id="26" w:name="_Toc9697"/>
      <w:bookmarkStart w:id="27" w:name="_Toc17524"/>
      <w:bookmarkStart w:id="28" w:name="_Toc13610"/>
      <w:bookmarkStart w:id="29" w:name="_Toc4075"/>
      <w:r>
        <w:rPr>
          <w:rFonts w:hint="eastAsia" w:ascii="宋体" w:hAnsi="宋体" w:cs="宋体"/>
          <w:b/>
          <w:color w:val="auto"/>
          <w:sz w:val="28"/>
          <w:highlight w:val="none"/>
          <w:lang w:eastAsia="zh-CN"/>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5"/>
      <w:bookmarkEnd w:id="26"/>
      <w:bookmarkEnd w:id="27"/>
      <w:bookmarkEnd w:id="28"/>
      <w:bookmarkEnd w:id="29"/>
    </w:p>
    <w:p w14:paraId="0FE4679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14:paraId="1913709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14:paraId="4142C56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14:paraId="554E2A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14:paraId="6335688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办法；</w:t>
      </w:r>
    </w:p>
    <w:p w14:paraId="3B8021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14:paraId="0353D16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人员及服务</w:t>
      </w:r>
      <w:r>
        <w:rPr>
          <w:rFonts w:hint="eastAsia" w:ascii="宋体" w:hAnsi="宋体" w:eastAsia="宋体" w:cs="宋体"/>
          <w:color w:val="auto"/>
          <w:sz w:val="21"/>
          <w:highlight w:val="none"/>
        </w:rPr>
        <w:t>要求；</w:t>
      </w:r>
    </w:p>
    <w:p w14:paraId="55E36F3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14:paraId="10AA026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14:paraId="78B520E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 1.9 款、第 2.2 款和第 2.3 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14:paraId="4FB5DFF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14:paraId="3E25E88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14:paraId="06F58CF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文件的澄清以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人须知前附表规定的形式发给所有购买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人，但不指明澄清问题的来源。澄清发出的时间距本章第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日的，并且澄清内容可能影响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2CA3102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人在收到澄清后，应按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人，确认已收到该澄清。</w:t>
      </w:r>
    </w:p>
    <w:p w14:paraId="0D8C036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 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14:paraId="6D7A0F8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 xml:space="preserve">文件的修改 </w:t>
      </w:r>
    </w:p>
    <w:p w14:paraId="13628E6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文件，并通知所有已购买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日的，并且修改内容可能影响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77F074F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人收到修改内容后，应按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人，确认已收到该修改。</w:t>
      </w:r>
    </w:p>
    <w:p w14:paraId="75A875C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2.4  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文件的异议</w:t>
      </w:r>
    </w:p>
    <w:p w14:paraId="6A67CBD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文件有异议的，应当在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 10 日前以书面形式提出。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 3 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746910C6">
      <w:pPr>
        <w:keepNext/>
        <w:keepLines/>
        <w:snapToGrid w:val="0"/>
        <w:spacing w:line="360" w:lineRule="auto"/>
        <w:outlineLvl w:val="0"/>
        <w:rPr>
          <w:rFonts w:hint="eastAsia" w:ascii="宋体" w:hAnsi="宋体" w:eastAsia="宋体" w:cs="宋体"/>
          <w:b/>
          <w:color w:val="auto"/>
          <w:sz w:val="28"/>
          <w:highlight w:val="none"/>
        </w:rPr>
      </w:pPr>
      <w:bookmarkStart w:id="30" w:name="_Toc6815"/>
      <w:bookmarkStart w:id="31" w:name="_Toc27106"/>
      <w:bookmarkStart w:id="32" w:name="_Toc13578"/>
      <w:bookmarkStart w:id="33" w:name="_Toc23808"/>
      <w:bookmarkStart w:id="34" w:name="_Toc7462"/>
      <w:r>
        <w:rPr>
          <w:rFonts w:hint="eastAsia" w:ascii="宋体" w:hAnsi="宋体" w:cs="宋体"/>
          <w:b/>
          <w:color w:val="auto"/>
          <w:sz w:val="28"/>
          <w:highlight w:val="none"/>
          <w:lang w:eastAsia="zh-CN"/>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0"/>
      <w:bookmarkEnd w:id="31"/>
      <w:bookmarkEnd w:id="32"/>
      <w:bookmarkEnd w:id="33"/>
      <w:bookmarkEnd w:id="34"/>
    </w:p>
    <w:p w14:paraId="1766A4B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14:paraId="09A4A89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文件应包括下列内容：</w:t>
      </w:r>
    </w:p>
    <w:p w14:paraId="799CF51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经济部分（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rPr>
        <w:t>；</w:t>
      </w:r>
    </w:p>
    <w:p w14:paraId="07F87E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（2）法定代表人（单位负责人）身份证明或授权委托书；</w:t>
      </w:r>
    </w:p>
    <w:p w14:paraId="2E51F1B7">
      <w:pPr>
        <w:adjustRightInd w:val="0"/>
        <w:snapToGrid w:val="0"/>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资格</w:t>
      </w:r>
      <w:r>
        <w:rPr>
          <w:rFonts w:hint="eastAsia" w:ascii="宋体" w:hAnsi="宋体" w:cs="宋体"/>
          <w:color w:val="auto"/>
          <w:sz w:val="21"/>
          <w:highlight w:val="none"/>
          <w:lang w:val="en-US" w:eastAsia="zh-CN"/>
        </w:rPr>
        <w:t>部分</w:t>
      </w:r>
      <w:r>
        <w:rPr>
          <w:rFonts w:hint="eastAsia" w:ascii="宋体" w:hAnsi="宋体" w:eastAsia="宋体" w:cs="宋体"/>
          <w:color w:val="auto"/>
          <w:sz w:val="21"/>
          <w:highlight w:val="none"/>
        </w:rPr>
        <w:t>；</w:t>
      </w:r>
    </w:p>
    <w:p w14:paraId="2605B824">
      <w:pPr>
        <w:adjustRightInd w:val="0"/>
        <w:snapToGrid w:val="0"/>
        <w:spacing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val="en-US" w:eastAsia="zh-CN"/>
        </w:rPr>
        <w:t>技术部分；</w:t>
      </w:r>
    </w:p>
    <w:p w14:paraId="7A92F17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过程中作出的符合法律法规和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文件规定的澄清确认，构成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6C67DA0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人须知前附表规定不接受联合体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人没有组成联合体的，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3.1.1（3）目所指的联合体协议书。</w:t>
      </w:r>
    </w:p>
    <w:p w14:paraId="016DAA5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人须知前附表未要求提交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3.1.1（4）目所指的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22A65E21">
      <w:pPr>
        <w:adjustRightInd w:val="0"/>
        <w:snapToGrid w:val="0"/>
        <w:spacing w:line="360" w:lineRule="auto"/>
        <w:ind w:firstLine="420" w:firstLineChars="200"/>
        <w:rPr>
          <w:rFonts w:hint="eastAsia" w:ascii="宋体" w:hAnsi="宋体" w:eastAsia="宋体" w:cs="宋体"/>
          <w:color w:val="auto"/>
          <w:sz w:val="21"/>
          <w:highlight w:val="none"/>
        </w:rPr>
      </w:pPr>
    </w:p>
    <w:p w14:paraId="4CE8D0B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14:paraId="423AE6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报价应包括国家规定的增值税税金。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函中进行报价并填写分项报价表。</w:t>
      </w:r>
    </w:p>
    <w:p w14:paraId="24D0897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人应充分了解该项目的总体情况以及影响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报价的其他要素。</w:t>
      </w:r>
    </w:p>
    <w:p w14:paraId="030D65D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报价；如分项报价中存在缺漏项，则视为缺漏项价格已包含在其他分项报价之中。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报价总额，应同时修改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文件“分项报价表”中的相应报价。此修改须符合本章第 4.3 款的有关要求。</w:t>
      </w:r>
    </w:p>
    <w:p w14:paraId="57DC17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人设有最高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报价不得超过最高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人须知前附表中载明。</w:t>
      </w:r>
    </w:p>
    <w:p w14:paraId="664B6E06">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3.2.5  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人须知前附表。 </w:t>
      </w:r>
    </w:p>
    <w:p w14:paraId="5702B36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14:paraId="2F1DE57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14:paraId="3E57942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  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14:paraId="26BF84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  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14:paraId="211C6E3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14:paraId="5ED059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14:paraId="0A89D62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1F98C6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人最迟将在与中标人签订合同后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14:paraId="40BB7A2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14:paraId="73AD6FF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1DC3DD9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（2）中标人在收到</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14:paraId="737D657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14:paraId="19F878D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14:paraId="51BD167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人应按下列规定提供资格审查资料，以证明其满足本章第 1.4 款规定的资质、财务、业绩、信誉等要求。</w:t>
      </w:r>
    </w:p>
    <w:p w14:paraId="786FB17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人基本情况表”应附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人资格或者资质证书副本和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材料检验或认证等材料的复印件以及：</w:t>
      </w:r>
    </w:p>
    <w:p w14:paraId="5F4F226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人为企业的，应提交营业执照和组织机构代码证的复印件（按照“三证合一”或“五证合一”登记制度进行登记的，可仅提供营业执照复印件）；</w:t>
      </w:r>
    </w:p>
    <w:p w14:paraId="402A6F7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人为依法允许经营的事业单位的，应提交事业单位法人证书和组织机构代码证的复印件。</w:t>
      </w:r>
    </w:p>
    <w:p w14:paraId="5F674F5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3.5.2 “近年财务状况表”应附经会计师事务所或审计机构审计的财务会计报表，包括资产负债表、现金流量表、利润表和财务情况说明书的复印件，具体年份要求见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人的成立时间少于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r>
        <w:rPr>
          <w:rFonts w:hint="eastAsia" w:ascii="宋体" w:hAnsi="宋体" w:cs="宋体"/>
          <w:color w:val="auto"/>
          <w:sz w:val="21"/>
          <w:highlight w:val="none"/>
          <w:lang w:val="en-US" w:eastAsia="zh-CN"/>
        </w:rPr>
        <w:t>时间</w:t>
      </w:r>
      <w:r>
        <w:rPr>
          <w:rFonts w:hint="eastAsia" w:ascii="宋体" w:hAnsi="宋体" w:eastAsia="宋体" w:cs="宋体"/>
          <w:color w:val="auto"/>
          <w:sz w:val="21"/>
          <w:highlight w:val="none"/>
        </w:rPr>
        <w:t>的，应提供成立以来的财务状况表。</w:t>
      </w:r>
    </w:p>
    <w:p w14:paraId="472D516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3.5.3 “近年完成的类似项目情况表”应附</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通知书和（或）合同协议书、材料进场验收证书等的复印件，具体时间要求见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人须知前附表。每张表格只填写一个项目，并标明序号。</w:t>
      </w:r>
    </w:p>
    <w:p w14:paraId="015F48C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3.5.4 “正在供货和新承接的项目情况表”应附</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和（或）合同协议书复印件。每张表格只填写一个项目，并标明序号。</w:t>
      </w:r>
    </w:p>
    <w:p w14:paraId="77537F5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的，本章第 3.5.1 项至第 3.5.5 项规定的表格和资料应包括联合体各方相关情况。</w:t>
      </w:r>
    </w:p>
    <w:p w14:paraId="0071714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14:paraId="16D27B1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290867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  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方案的，只有中标人所递交的备选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委员会认为中标人的备选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14:paraId="5217E62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14:paraId="5AD3ED7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14:paraId="34EA65A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6B8078C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14:paraId="0D2E8D6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w:t>
      </w:r>
    </w:p>
    <w:p w14:paraId="591C6CF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文件正本一份，副本</w:t>
      </w:r>
      <w:r>
        <w:rPr>
          <w:rFonts w:hint="eastAsia" w:ascii="宋体" w:hAnsi="宋体" w:cs="宋体"/>
          <w:color w:val="auto"/>
          <w:sz w:val="21"/>
          <w:highlight w:val="none"/>
          <w:lang w:val="en-US" w:eastAsia="zh-CN"/>
        </w:rPr>
        <w:t>一份</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14:paraId="3C48B4D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14:paraId="722E8102">
      <w:pPr>
        <w:keepNext/>
        <w:keepLines/>
        <w:snapToGrid w:val="0"/>
        <w:spacing w:line="360" w:lineRule="auto"/>
        <w:outlineLvl w:val="0"/>
        <w:rPr>
          <w:rFonts w:hint="eastAsia" w:ascii="宋体" w:hAnsi="宋体" w:eastAsia="宋体" w:cs="宋体"/>
          <w:b/>
          <w:color w:val="auto"/>
          <w:sz w:val="28"/>
          <w:highlight w:val="none"/>
          <w:lang w:eastAsia="zh-CN"/>
        </w:rPr>
      </w:pPr>
      <w:bookmarkStart w:id="35" w:name="_Toc7095"/>
      <w:bookmarkStart w:id="36" w:name="_Toc27230"/>
      <w:bookmarkStart w:id="37" w:name="_Toc22921"/>
      <w:bookmarkStart w:id="38" w:name="_Toc20825"/>
      <w:bookmarkStart w:id="39" w:name="_Toc22663"/>
      <w:r>
        <w:rPr>
          <w:rFonts w:hint="eastAsia" w:ascii="宋体" w:hAnsi="宋体" w:cs="宋体"/>
          <w:b/>
          <w:color w:val="auto"/>
          <w:sz w:val="28"/>
          <w:highlight w:val="none"/>
          <w:lang w:eastAsia="zh-CN"/>
        </w:rPr>
        <w:t>4.</w:t>
      </w:r>
      <w:bookmarkEnd w:id="35"/>
      <w:bookmarkEnd w:id="36"/>
      <w:bookmarkEnd w:id="37"/>
      <w:r>
        <w:rPr>
          <w:rFonts w:hint="eastAsia" w:ascii="宋体" w:hAnsi="宋体" w:eastAsia="宋体" w:cs="宋体"/>
          <w:b/>
          <w:color w:val="auto"/>
          <w:sz w:val="28"/>
          <w:highlight w:val="none"/>
          <w:lang w:eastAsia="zh-CN"/>
        </w:rPr>
        <w:t>参选</w:t>
      </w:r>
      <w:bookmarkEnd w:id="38"/>
      <w:bookmarkEnd w:id="39"/>
    </w:p>
    <w:p w14:paraId="732C989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14:paraId="58517BB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14:paraId="469E0D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1CF4E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  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73DC03C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14:paraId="1BAD1D1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481FE87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C2E143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14:paraId="15A6186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6BDF94D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  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417612C2">
      <w:pPr>
        <w:pStyle w:val="10"/>
        <w:rPr>
          <w:rFonts w:hint="eastAsia" w:ascii="宋体" w:hAnsi="宋体" w:eastAsia="宋体" w:cs="宋体"/>
          <w:color w:val="auto"/>
          <w:highlight w:val="none"/>
        </w:rPr>
      </w:pPr>
    </w:p>
    <w:p w14:paraId="1B5DC7B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14:paraId="7E3249D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 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14:paraId="71403C1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2EC47D5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5F6ED6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 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14:paraId="4E11D485">
      <w:pPr>
        <w:keepNext/>
        <w:keepLines/>
        <w:snapToGrid w:val="0"/>
        <w:spacing w:line="360" w:lineRule="auto"/>
        <w:outlineLvl w:val="0"/>
        <w:rPr>
          <w:rFonts w:hint="eastAsia" w:ascii="宋体" w:hAnsi="宋体" w:eastAsia="宋体" w:cs="宋体"/>
          <w:b/>
          <w:color w:val="auto"/>
          <w:sz w:val="28"/>
          <w:highlight w:val="none"/>
        </w:rPr>
      </w:pPr>
      <w:bookmarkStart w:id="40" w:name="_Toc26069"/>
      <w:bookmarkStart w:id="41" w:name="_Toc24757"/>
      <w:bookmarkStart w:id="42" w:name="_Toc17267"/>
      <w:bookmarkStart w:id="43" w:name="_Toc15012"/>
      <w:bookmarkStart w:id="44" w:name="_Toc17347"/>
      <w:r>
        <w:rPr>
          <w:rFonts w:hint="eastAsia" w:ascii="宋体" w:hAnsi="宋体" w:cs="宋体"/>
          <w:b/>
          <w:color w:val="auto"/>
          <w:sz w:val="28"/>
          <w:highlight w:val="none"/>
          <w:lang w:eastAsia="zh-CN"/>
        </w:rPr>
        <w:t>5.</w:t>
      </w:r>
      <w:r>
        <w:rPr>
          <w:rFonts w:hint="eastAsia" w:ascii="宋体" w:hAnsi="宋体" w:eastAsia="宋体" w:cs="宋体"/>
          <w:b/>
          <w:color w:val="auto"/>
          <w:sz w:val="28"/>
          <w:highlight w:val="none"/>
        </w:rPr>
        <w:t>开标</w:t>
      </w:r>
      <w:bookmarkEnd w:id="40"/>
      <w:bookmarkEnd w:id="41"/>
      <w:bookmarkEnd w:id="42"/>
      <w:bookmarkEnd w:id="43"/>
      <w:bookmarkEnd w:id="44"/>
    </w:p>
    <w:p w14:paraId="7577720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14:paraId="4F8040D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截止时间（开标时间）和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人须知前附表规定的地点公开开标，并邀请所有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人的法定代表人（单位负责人）或其委托代理人准时参加。</w:t>
      </w:r>
    </w:p>
    <w:p w14:paraId="4798AA85">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14:paraId="77C3508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主持人按下列程序进行开标：</w:t>
      </w:r>
    </w:p>
    <w:p w14:paraId="3AAF2804">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（1）宣布开标纪律；</w:t>
      </w:r>
    </w:p>
    <w:p w14:paraId="0A5F2137">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（2）公布在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p>
    <w:p w14:paraId="0344A82B">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（3）宣布开标人、唱标人、记录人、监标人等有关人员姓名；</w:t>
      </w:r>
    </w:p>
    <w:p w14:paraId="7546D852">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（4）检查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文件的密封情况，按照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人须知前附表规定的开标顺序当众开标，公布</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保证金的递交情况、</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及其他内容，并记录在案；</w:t>
      </w:r>
    </w:p>
    <w:p w14:paraId="2E2ED2FE">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人代表、监标人、记录人等有关人员在开标记录上签字确认；</w:t>
      </w:r>
    </w:p>
    <w:p w14:paraId="50A31F41">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（6）开标结束。</w:t>
      </w:r>
    </w:p>
    <w:p w14:paraId="470C305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5.3 开</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异议</w:t>
      </w:r>
    </w:p>
    <w:p w14:paraId="4803ED14">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14:paraId="7056B875">
      <w:pPr>
        <w:pStyle w:val="10"/>
        <w:rPr>
          <w:rFonts w:hint="eastAsia" w:ascii="宋体" w:hAnsi="宋体" w:eastAsia="宋体" w:cs="宋体"/>
          <w:color w:val="auto"/>
          <w:highlight w:val="none"/>
        </w:rPr>
      </w:pPr>
    </w:p>
    <w:p w14:paraId="364C0D97">
      <w:pPr>
        <w:keepNext/>
        <w:keepLines/>
        <w:snapToGrid w:val="0"/>
        <w:spacing w:line="360" w:lineRule="auto"/>
        <w:outlineLvl w:val="0"/>
        <w:rPr>
          <w:rFonts w:hint="eastAsia" w:ascii="宋体" w:hAnsi="宋体" w:eastAsia="宋体" w:cs="宋体"/>
          <w:b/>
          <w:color w:val="auto"/>
          <w:sz w:val="28"/>
          <w:szCs w:val="22"/>
          <w:highlight w:val="none"/>
        </w:rPr>
      </w:pPr>
      <w:bookmarkStart w:id="45" w:name="_Toc22774"/>
      <w:bookmarkStart w:id="46" w:name="_Toc2996"/>
      <w:bookmarkStart w:id="47" w:name="_Toc204"/>
      <w:bookmarkStart w:id="48" w:name="_Toc22199"/>
      <w:bookmarkStart w:id="49" w:name="_Toc1030"/>
      <w:r>
        <w:rPr>
          <w:rFonts w:hint="eastAsia" w:ascii="宋体" w:hAnsi="宋体" w:cs="宋体"/>
          <w:b/>
          <w:color w:val="auto"/>
          <w:sz w:val="28"/>
          <w:szCs w:val="22"/>
          <w:highlight w:val="none"/>
          <w:lang w:eastAsia="zh-CN"/>
        </w:rPr>
        <w:t>6.</w:t>
      </w:r>
      <w:r>
        <w:rPr>
          <w:rFonts w:hint="eastAsia" w:ascii="宋体" w:hAnsi="宋体" w:eastAsia="宋体" w:cs="宋体"/>
          <w:b/>
          <w:color w:val="auto"/>
          <w:sz w:val="28"/>
          <w:szCs w:val="22"/>
          <w:highlight w:val="none"/>
        </w:rPr>
        <w:t>评</w:t>
      </w:r>
      <w:r>
        <w:rPr>
          <w:rFonts w:hint="eastAsia" w:ascii="宋体" w:hAnsi="宋体" w:eastAsia="宋体" w:cs="宋体"/>
          <w:b/>
          <w:color w:val="auto"/>
          <w:sz w:val="28"/>
          <w:szCs w:val="22"/>
          <w:highlight w:val="none"/>
          <w:lang w:val="en-US" w:eastAsia="zh-CN"/>
        </w:rPr>
        <w:t>选</w:t>
      </w:r>
      <w:bookmarkEnd w:id="45"/>
      <w:bookmarkEnd w:id="46"/>
      <w:bookmarkEnd w:id="47"/>
      <w:bookmarkEnd w:id="48"/>
      <w:bookmarkEnd w:id="49"/>
    </w:p>
    <w:p w14:paraId="618AA42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 xml:space="preserve">委员会 </w:t>
      </w:r>
    </w:p>
    <w:p w14:paraId="7202A92C">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6.1.1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9BA8E7E">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6.1.2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委员会成员有下列情形之一的，应当回避：</w:t>
      </w:r>
    </w:p>
    <w:p w14:paraId="45B978BA">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14:paraId="6A746119">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14:paraId="3D14BC9E">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14:paraId="277108A2">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14:paraId="785F9DFA">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14:paraId="4D2FA191">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6.1.3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委员会成员作出的评审结论无效，由更换后的评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委员会成员重新进行评审。</w:t>
      </w:r>
    </w:p>
    <w:p w14:paraId="4C8A0A1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原则</w:t>
      </w:r>
    </w:p>
    <w:p w14:paraId="24D83BB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14:paraId="1D4D0B3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6.3评</w:t>
      </w:r>
      <w:r>
        <w:rPr>
          <w:rFonts w:hint="eastAsia" w:ascii="宋体" w:hAnsi="宋体" w:eastAsia="宋体" w:cs="宋体"/>
          <w:b/>
          <w:bCs/>
          <w:color w:val="auto"/>
          <w:sz w:val="24"/>
          <w:szCs w:val="22"/>
          <w:highlight w:val="none"/>
          <w:lang w:val="en-US" w:eastAsia="zh-CN"/>
        </w:rPr>
        <w:t>选</w:t>
      </w:r>
    </w:p>
    <w:p w14:paraId="6342BA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14:paraId="4E57D052">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报告和中标候选人名单。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委员会推荐中标候选人的人数见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385CE9F">
      <w:pPr>
        <w:adjustRightInd w:val="0"/>
        <w:snapToGrid w:val="0"/>
        <w:spacing w:line="360" w:lineRule="auto"/>
        <w:ind w:firstLine="420" w:firstLineChars="200"/>
        <w:jc w:val="left"/>
        <w:rPr>
          <w:rFonts w:hint="eastAsia" w:ascii="宋体" w:hAnsi="宋体" w:eastAsia="宋体" w:cs="宋体"/>
          <w:color w:val="auto"/>
          <w:sz w:val="21"/>
          <w:highlight w:val="none"/>
        </w:rPr>
      </w:pPr>
    </w:p>
    <w:p w14:paraId="2B34AFE3">
      <w:pPr>
        <w:keepNext/>
        <w:keepLines/>
        <w:snapToGrid w:val="0"/>
        <w:spacing w:line="360" w:lineRule="auto"/>
        <w:outlineLvl w:val="0"/>
        <w:rPr>
          <w:rFonts w:hint="eastAsia" w:ascii="宋体" w:hAnsi="宋体" w:eastAsia="宋体" w:cs="宋体"/>
          <w:b/>
          <w:color w:val="auto"/>
          <w:sz w:val="28"/>
          <w:szCs w:val="22"/>
          <w:highlight w:val="none"/>
        </w:rPr>
      </w:pPr>
      <w:bookmarkStart w:id="50" w:name="_Toc12303"/>
      <w:bookmarkStart w:id="51" w:name="_Toc6064"/>
      <w:bookmarkStart w:id="52" w:name="_Toc11034"/>
      <w:bookmarkStart w:id="53" w:name="_Toc21063"/>
      <w:bookmarkStart w:id="54" w:name="_Toc21961"/>
      <w:r>
        <w:rPr>
          <w:rFonts w:hint="eastAsia" w:ascii="宋体" w:hAnsi="宋体" w:cs="宋体"/>
          <w:b/>
          <w:color w:val="auto"/>
          <w:sz w:val="28"/>
          <w:szCs w:val="22"/>
          <w:highlight w:val="none"/>
          <w:lang w:eastAsia="zh-CN"/>
        </w:rPr>
        <w:t>7.</w:t>
      </w:r>
      <w:r>
        <w:rPr>
          <w:rFonts w:hint="eastAsia" w:ascii="宋体" w:hAnsi="宋体" w:eastAsia="宋体" w:cs="宋体"/>
          <w:b/>
          <w:color w:val="auto"/>
          <w:sz w:val="28"/>
          <w:szCs w:val="22"/>
          <w:highlight w:val="none"/>
        </w:rPr>
        <w:t>合同授予</w:t>
      </w:r>
      <w:bookmarkEnd w:id="50"/>
      <w:bookmarkEnd w:id="51"/>
      <w:bookmarkEnd w:id="52"/>
      <w:bookmarkEnd w:id="53"/>
      <w:bookmarkEnd w:id="54"/>
    </w:p>
    <w:p w14:paraId="283801C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候选人公示</w:t>
      </w:r>
    </w:p>
    <w:p w14:paraId="321FB5B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报告之日起 3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14:paraId="6908580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14:paraId="30CA634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结果有异议的，应当在中标候选人公示期间提出。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1AB15B2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14:paraId="0D12477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cs="宋体"/>
          <w:color w:val="auto"/>
          <w:sz w:val="21"/>
          <w:highlight w:val="none"/>
          <w:lang w:eastAsia="zh-CN"/>
        </w:rPr>
        <w:t>、提供的投标资料与招标文件要求不符</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14:paraId="042EE63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14:paraId="6B2A0563">
      <w:pPr>
        <w:snapToGrid w:val="0"/>
        <w:spacing w:line="520" w:lineRule="exact"/>
        <w:ind w:firstLine="482"/>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14:paraId="60F258F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通知</w:t>
      </w:r>
    </w:p>
    <w:p w14:paraId="19304F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人以书面形式向中标人发出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14:paraId="006F3D4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7.6履约保证金</w:t>
      </w:r>
    </w:p>
    <w:p w14:paraId="325A627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7.6.1在签订合同前，中标人应按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10%。联合体中标的，其履约保证金以联合体各方或者联合体中牵头人的名义提交。</w:t>
      </w:r>
    </w:p>
    <w:p w14:paraId="081771D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7.6.2中标人不能按本章第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14:paraId="292B39A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14:paraId="60FB9D2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人和中标人应当在</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文件和中标人的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文件订立书面合同。中标人无正当理由拒签合同，在签订合同时向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14:paraId="100238E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人无正当理由拒签合同，或者在签订合同时向中标人提出附加条件的，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保证金；给中标人造成损失的，还应当赔偿损失。</w:t>
      </w:r>
    </w:p>
    <w:p w14:paraId="683F383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4F895F65">
      <w:pPr>
        <w:keepNext/>
        <w:keepLines/>
        <w:snapToGrid w:val="0"/>
        <w:spacing w:line="360" w:lineRule="auto"/>
        <w:outlineLvl w:val="0"/>
        <w:rPr>
          <w:rFonts w:hint="eastAsia" w:ascii="宋体" w:hAnsi="宋体" w:eastAsia="宋体" w:cs="宋体"/>
          <w:b/>
          <w:color w:val="auto"/>
          <w:sz w:val="28"/>
          <w:highlight w:val="none"/>
        </w:rPr>
      </w:pPr>
      <w:bookmarkStart w:id="55" w:name="_Toc17078"/>
      <w:bookmarkStart w:id="56" w:name="_Toc2167"/>
      <w:bookmarkStart w:id="57" w:name="_Toc30445"/>
      <w:bookmarkStart w:id="58" w:name="_Toc4153"/>
      <w:bookmarkStart w:id="59" w:name="_Toc4855"/>
      <w:r>
        <w:rPr>
          <w:rFonts w:hint="eastAsia" w:ascii="宋体" w:hAnsi="宋体" w:cs="宋体"/>
          <w:b/>
          <w:color w:val="auto"/>
          <w:sz w:val="28"/>
          <w:highlight w:val="none"/>
          <w:lang w:eastAsia="zh-CN"/>
        </w:rPr>
        <w:t>8.</w:t>
      </w:r>
      <w:r>
        <w:rPr>
          <w:rFonts w:hint="eastAsia" w:ascii="宋体" w:hAnsi="宋体" w:eastAsia="宋体" w:cs="宋体"/>
          <w:b/>
          <w:color w:val="auto"/>
          <w:sz w:val="28"/>
          <w:highlight w:val="none"/>
        </w:rPr>
        <w:t>纪律和监督</w:t>
      </w:r>
      <w:bookmarkEnd w:id="55"/>
      <w:bookmarkEnd w:id="56"/>
      <w:bookmarkEnd w:id="57"/>
      <w:bookmarkEnd w:id="58"/>
      <w:bookmarkEnd w:id="59"/>
    </w:p>
    <w:p w14:paraId="01BCCE8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14:paraId="7E74E132">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14:paraId="7A5EF70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14:paraId="30A76C8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14:paraId="383769D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14:paraId="5557FDA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文件的评审和比较、中标候选人的推荐情况以及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14:paraId="5CA9C37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14:paraId="6BFA16A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14:paraId="0EF76B3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14:paraId="670B8759">
      <w:pPr>
        <w:adjustRightInd w:val="0"/>
        <w:snapToGrid w:val="0"/>
        <w:spacing w:line="360" w:lineRule="auto"/>
        <w:ind w:firstLine="420" w:firstLineChars="200"/>
        <w:rPr>
          <w:rFonts w:hint="eastAsia" w:ascii="宋体" w:hAnsi="宋体" w:eastAsia="宋体" w:cs="宋体"/>
          <w:color w:val="auto"/>
          <w:sz w:val="21"/>
          <w:highlight w:val="none"/>
        </w:rPr>
      </w:pPr>
      <w:bookmarkStart w:id="60"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0"/>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14:paraId="372B195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14:paraId="778B6C3C">
      <w:pPr>
        <w:keepNext/>
        <w:keepLines/>
        <w:snapToGrid w:val="0"/>
        <w:spacing w:after="156" w:afterLines="50" w:line="400" w:lineRule="exact"/>
        <w:rPr>
          <w:rFonts w:hint="eastAsia" w:ascii="宋体" w:hAnsi="宋体" w:eastAsia="宋体" w:cs="宋体"/>
          <w:b/>
          <w:bCs/>
          <w:color w:val="auto"/>
          <w:sz w:val="24"/>
          <w:szCs w:val="22"/>
          <w:highlight w:val="none"/>
        </w:rPr>
      </w:pPr>
    </w:p>
    <w:p w14:paraId="412548AB">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1" w:name="_Toc12231"/>
      <w:bookmarkStart w:id="62" w:name="_Toc1183"/>
      <w:bookmarkStart w:id="63" w:name="_Toc23541"/>
      <w:bookmarkStart w:id="64" w:name="_Toc1276"/>
      <w:bookmarkStart w:id="65" w:name="_Toc32369"/>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1"/>
      <w:bookmarkEnd w:id="62"/>
      <w:bookmarkEnd w:id="63"/>
      <w:r>
        <w:rPr>
          <w:rFonts w:hint="eastAsia" w:ascii="宋体" w:hAnsi="宋体" w:eastAsia="宋体" w:cs="宋体"/>
          <w:b/>
          <w:bCs/>
          <w:color w:val="auto"/>
          <w:sz w:val="24"/>
          <w:szCs w:val="22"/>
          <w:highlight w:val="none"/>
          <w:lang w:eastAsia="zh-CN"/>
        </w:rPr>
        <w:t>参选</w:t>
      </w:r>
      <w:bookmarkEnd w:id="64"/>
      <w:bookmarkEnd w:id="65"/>
    </w:p>
    <w:p w14:paraId="71C984AA">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14:paraId="3457617C">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6" w:name="_Toc27384"/>
      <w:bookmarkStart w:id="67" w:name="_Toc8476"/>
      <w:bookmarkStart w:id="68" w:name="_Toc10470"/>
      <w:bookmarkStart w:id="69" w:name="_Toc32154"/>
      <w:bookmarkStart w:id="70" w:name="_Toc5455"/>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6"/>
      <w:bookmarkEnd w:id="67"/>
      <w:bookmarkEnd w:id="68"/>
      <w:bookmarkEnd w:id="69"/>
      <w:bookmarkEnd w:id="70"/>
    </w:p>
    <w:p w14:paraId="7DBA1E1C">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rPr>
        <w:t>附件</w:t>
      </w:r>
      <w:r>
        <w:rPr>
          <w:rFonts w:hint="eastAsia" w:ascii="宋体" w:hAnsi="宋体" w:eastAsia="宋体" w:cs="宋体"/>
          <w:color w:val="auto"/>
          <w:sz w:val="28"/>
          <w:highlight w:val="none"/>
          <w:lang w:val="en-US" w:eastAsia="zh-CN"/>
        </w:rPr>
        <w:t>一</w:t>
      </w:r>
      <w:r>
        <w:rPr>
          <w:rFonts w:hint="eastAsia" w:ascii="宋体" w:hAnsi="宋体" w:eastAsia="宋体" w:cs="宋体"/>
          <w:color w:val="auto"/>
          <w:sz w:val="28"/>
          <w:highlight w:val="none"/>
        </w:rPr>
        <w:t xml:space="preserve"> ：问题澄清通知（格式）</w:t>
      </w:r>
    </w:p>
    <w:p w14:paraId="4325943F">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14:paraId="73A69C8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46BBE6C3">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14:paraId="3178B7F5">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14:paraId="20A9271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55B87DD0">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442DB947">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D375CE7">
      <w:pPr>
        <w:autoSpaceDE w:val="0"/>
        <w:autoSpaceDN w:val="0"/>
        <w:snapToGrid w:val="0"/>
        <w:spacing w:line="360" w:lineRule="auto"/>
        <w:ind w:firstLine="482"/>
        <w:rPr>
          <w:rFonts w:hint="eastAsia" w:ascii="宋体" w:hAnsi="宋体" w:eastAsia="宋体" w:cs="宋体"/>
          <w:color w:val="auto"/>
          <w:sz w:val="24"/>
          <w:highlight w:val="none"/>
        </w:rPr>
      </w:pPr>
    </w:p>
    <w:p w14:paraId="2E0A57EF">
      <w:pPr>
        <w:autoSpaceDE w:val="0"/>
        <w:autoSpaceDN w:val="0"/>
        <w:snapToGrid w:val="0"/>
        <w:spacing w:line="360" w:lineRule="auto"/>
        <w:ind w:firstLine="482"/>
        <w:rPr>
          <w:rFonts w:hint="eastAsia" w:ascii="宋体" w:hAnsi="宋体" w:eastAsia="宋体" w:cs="宋体"/>
          <w:color w:val="auto"/>
          <w:sz w:val="24"/>
          <w:highlight w:val="none"/>
        </w:rPr>
      </w:pPr>
    </w:p>
    <w:p w14:paraId="0968C204">
      <w:pPr>
        <w:pStyle w:val="19"/>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14:paraId="4B21EC05">
      <w:pPr>
        <w:autoSpaceDE w:val="0"/>
        <w:autoSpaceDN w:val="0"/>
        <w:snapToGrid w:val="0"/>
        <w:spacing w:line="360" w:lineRule="auto"/>
        <w:ind w:firstLine="482"/>
        <w:rPr>
          <w:rFonts w:hint="eastAsia" w:ascii="宋体" w:hAnsi="宋体" w:eastAsia="宋体" w:cs="宋体"/>
          <w:color w:val="auto"/>
          <w:sz w:val="24"/>
          <w:highlight w:val="none"/>
        </w:rPr>
      </w:pPr>
    </w:p>
    <w:p w14:paraId="3077ACD0">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14:paraId="29BC4791">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47AEC04A">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 xml:space="preserve">文件附件2  </w:t>
      </w:r>
      <w:r>
        <w:rPr>
          <w:rFonts w:hint="eastAsia" w:ascii="宋体" w:hAnsi="宋体" w:eastAsia="宋体" w:cs="宋体"/>
          <w:b/>
          <w:color w:val="auto"/>
          <w:sz w:val="28"/>
          <w:highlight w:val="none"/>
        </w:rPr>
        <w:t>问题的澄清（格式）</w:t>
      </w:r>
    </w:p>
    <w:p w14:paraId="51D726B2">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14:paraId="60108507">
      <w:pPr>
        <w:autoSpaceDE w:val="0"/>
        <w:autoSpaceDN w:val="0"/>
        <w:snapToGrid w:val="0"/>
        <w:spacing w:line="360" w:lineRule="auto"/>
        <w:ind w:firstLine="482"/>
        <w:rPr>
          <w:rFonts w:hint="eastAsia" w:ascii="宋体" w:hAnsi="宋体" w:eastAsia="宋体" w:cs="宋体"/>
          <w:color w:val="auto"/>
          <w:sz w:val="28"/>
          <w:highlight w:val="none"/>
        </w:rPr>
      </w:pPr>
    </w:p>
    <w:p w14:paraId="6BB87F57">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7431821D">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14:paraId="75867071">
      <w:pPr>
        <w:autoSpaceDE w:val="0"/>
        <w:autoSpaceDN w:val="0"/>
        <w:snapToGrid w:val="0"/>
        <w:spacing w:line="360" w:lineRule="auto"/>
        <w:ind w:firstLine="482"/>
        <w:rPr>
          <w:rFonts w:hint="eastAsia" w:ascii="宋体" w:hAnsi="宋体" w:eastAsia="宋体" w:cs="宋体"/>
          <w:color w:val="auto"/>
          <w:sz w:val="24"/>
          <w:highlight w:val="none"/>
        </w:rPr>
      </w:pPr>
    </w:p>
    <w:p w14:paraId="387BB41A">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14:paraId="414067C4">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55BD68F1">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38B35BED">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3D6ABBC">
      <w:pPr>
        <w:autoSpaceDE w:val="0"/>
        <w:autoSpaceDN w:val="0"/>
        <w:snapToGrid w:val="0"/>
        <w:spacing w:line="360" w:lineRule="auto"/>
        <w:ind w:firstLine="482"/>
        <w:rPr>
          <w:rFonts w:hint="eastAsia" w:ascii="宋体" w:hAnsi="宋体" w:eastAsia="宋体" w:cs="宋体"/>
          <w:color w:val="auto"/>
          <w:sz w:val="24"/>
          <w:highlight w:val="none"/>
        </w:rPr>
      </w:pPr>
    </w:p>
    <w:p w14:paraId="3A71D4C6">
      <w:pPr>
        <w:pStyle w:val="19"/>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14:paraId="13B129DE">
      <w:pPr>
        <w:autoSpaceDE w:val="0"/>
        <w:autoSpaceDN w:val="0"/>
        <w:snapToGrid w:val="0"/>
        <w:spacing w:line="360" w:lineRule="auto"/>
        <w:ind w:firstLine="482"/>
        <w:rPr>
          <w:rFonts w:hint="eastAsia" w:ascii="宋体" w:hAnsi="宋体" w:eastAsia="宋体" w:cs="宋体"/>
          <w:color w:val="auto"/>
          <w:sz w:val="24"/>
          <w:highlight w:val="none"/>
        </w:rPr>
      </w:pPr>
    </w:p>
    <w:p w14:paraId="32175930">
      <w:pPr>
        <w:autoSpaceDE w:val="0"/>
        <w:autoSpaceDN w:val="0"/>
        <w:snapToGrid w:val="0"/>
        <w:spacing w:line="360" w:lineRule="auto"/>
        <w:ind w:firstLine="482"/>
        <w:rPr>
          <w:rFonts w:hint="eastAsia" w:ascii="宋体" w:hAnsi="宋体" w:eastAsia="宋体" w:cs="宋体"/>
          <w:color w:val="auto"/>
          <w:sz w:val="24"/>
          <w:highlight w:val="none"/>
        </w:rPr>
      </w:pPr>
    </w:p>
    <w:p w14:paraId="20F715AF">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14:paraId="22A2F3A6">
      <w:pPr>
        <w:pStyle w:val="19"/>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14:paraId="3F936E08">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35BA5A27">
      <w:pPr>
        <w:autoSpaceDE w:val="0"/>
        <w:autoSpaceDN w:val="0"/>
        <w:snapToGrid w:val="0"/>
        <w:spacing w:line="360" w:lineRule="auto"/>
        <w:ind w:firstLine="482"/>
        <w:rPr>
          <w:rFonts w:hint="eastAsia" w:ascii="宋体" w:hAnsi="宋体" w:eastAsia="宋体" w:cs="宋体"/>
          <w:color w:val="auto"/>
          <w:sz w:val="24"/>
          <w:highlight w:val="none"/>
        </w:rPr>
      </w:pPr>
    </w:p>
    <w:p w14:paraId="37693591">
      <w:pPr>
        <w:autoSpaceDE w:val="0"/>
        <w:autoSpaceDN w:val="0"/>
        <w:snapToGrid w:val="0"/>
        <w:spacing w:line="360" w:lineRule="auto"/>
        <w:ind w:firstLine="482"/>
        <w:rPr>
          <w:rFonts w:hint="eastAsia" w:ascii="宋体" w:hAnsi="宋体" w:eastAsia="宋体" w:cs="宋体"/>
          <w:color w:val="auto"/>
          <w:sz w:val="24"/>
          <w:highlight w:val="none"/>
        </w:rPr>
      </w:pPr>
    </w:p>
    <w:p w14:paraId="0868741F">
      <w:pPr>
        <w:autoSpaceDE w:val="0"/>
        <w:autoSpaceDN w:val="0"/>
        <w:snapToGrid w:val="0"/>
        <w:spacing w:line="360" w:lineRule="auto"/>
        <w:ind w:firstLine="482"/>
        <w:rPr>
          <w:rFonts w:hint="eastAsia" w:ascii="宋体" w:hAnsi="宋体" w:eastAsia="宋体" w:cs="宋体"/>
          <w:color w:val="auto"/>
          <w:sz w:val="24"/>
          <w:highlight w:val="none"/>
        </w:rPr>
      </w:pPr>
    </w:p>
    <w:p w14:paraId="44048BA3">
      <w:pPr>
        <w:autoSpaceDE w:val="0"/>
        <w:autoSpaceDN w:val="0"/>
        <w:snapToGrid w:val="0"/>
        <w:spacing w:line="360" w:lineRule="auto"/>
        <w:ind w:firstLine="482"/>
        <w:rPr>
          <w:rFonts w:hint="eastAsia" w:ascii="宋体" w:hAnsi="宋体" w:eastAsia="宋体" w:cs="宋体"/>
          <w:color w:val="auto"/>
          <w:sz w:val="24"/>
          <w:highlight w:val="none"/>
        </w:rPr>
      </w:pPr>
    </w:p>
    <w:p w14:paraId="7DC27E5D">
      <w:pPr>
        <w:autoSpaceDE w:val="0"/>
        <w:autoSpaceDN w:val="0"/>
        <w:snapToGrid w:val="0"/>
        <w:spacing w:line="360" w:lineRule="auto"/>
        <w:ind w:firstLine="482"/>
        <w:rPr>
          <w:rFonts w:hint="eastAsia" w:ascii="宋体" w:hAnsi="宋体" w:eastAsia="宋体" w:cs="宋体"/>
          <w:color w:val="auto"/>
          <w:sz w:val="24"/>
          <w:highlight w:val="none"/>
        </w:rPr>
      </w:pPr>
    </w:p>
    <w:p w14:paraId="772E1425">
      <w:pPr>
        <w:autoSpaceDE w:val="0"/>
        <w:autoSpaceDN w:val="0"/>
        <w:snapToGrid w:val="0"/>
        <w:spacing w:line="360" w:lineRule="auto"/>
        <w:ind w:firstLine="482"/>
        <w:rPr>
          <w:rFonts w:hint="eastAsia" w:ascii="宋体" w:hAnsi="宋体" w:eastAsia="宋体" w:cs="宋体"/>
          <w:color w:val="auto"/>
          <w:sz w:val="24"/>
          <w:highlight w:val="none"/>
        </w:rPr>
      </w:pPr>
    </w:p>
    <w:p w14:paraId="576739F3">
      <w:pPr>
        <w:autoSpaceDE w:val="0"/>
        <w:autoSpaceDN w:val="0"/>
        <w:snapToGrid w:val="0"/>
        <w:spacing w:line="360" w:lineRule="auto"/>
        <w:ind w:firstLine="482"/>
        <w:rPr>
          <w:rFonts w:hint="eastAsia" w:ascii="宋体" w:hAnsi="宋体" w:eastAsia="宋体" w:cs="宋体"/>
          <w:color w:val="auto"/>
          <w:sz w:val="24"/>
          <w:highlight w:val="none"/>
        </w:rPr>
      </w:pPr>
    </w:p>
    <w:p w14:paraId="6B3794B4">
      <w:pPr>
        <w:autoSpaceDE w:val="0"/>
        <w:autoSpaceDN w:val="0"/>
        <w:snapToGrid w:val="0"/>
        <w:spacing w:line="360" w:lineRule="auto"/>
        <w:ind w:firstLine="482"/>
        <w:rPr>
          <w:rFonts w:hint="eastAsia" w:ascii="宋体" w:hAnsi="宋体" w:eastAsia="宋体" w:cs="宋体"/>
          <w:color w:val="auto"/>
          <w:sz w:val="24"/>
          <w:highlight w:val="none"/>
        </w:rPr>
      </w:pPr>
    </w:p>
    <w:p w14:paraId="5FDBDFD5">
      <w:pPr>
        <w:autoSpaceDE w:val="0"/>
        <w:autoSpaceDN w:val="0"/>
        <w:snapToGrid w:val="0"/>
        <w:spacing w:line="360" w:lineRule="auto"/>
        <w:ind w:firstLine="482"/>
        <w:rPr>
          <w:rFonts w:hint="eastAsia" w:ascii="宋体" w:hAnsi="宋体" w:eastAsia="宋体" w:cs="宋体"/>
          <w:color w:val="auto"/>
          <w:sz w:val="24"/>
          <w:highlight w:val="none"/>
        </w:rPr>
      </w:pPr>
    </w:p>
    <w:p w14:paraId="134CA865">
      <w:pPr>
        <w:autoSpaceDE w:val="0"/>
        <w:autoSpaceDN w:val="0"/>
        <w:snapToGrid w:val="0"/>
        <w:spacing w:line="360" w:lineRule="auto"/>
        <w:ind w:firstLine="482"/>
        <w:rPr>
          <w:rFonts w:hint="eastAsia" w:ascii="宋体" w:hAnsi="宋体" w:eastAsia="宋体" w:cs="宋体"/>
          <w:color w:val="auto"/>
          <w:sz w:val="24"/>
          <w:highlight w:val="none"/>
        </w:rPr>
      </w:pPr>
    </w:p>
    <w:p w14:paraId="6E6DBCA2">
      <w:pPr>
        <w:pStyle w:val="5"/>
        <w:numPr>
          <w:ilvl w:val="0"/>
          <w:numId w:val="0"/>
        </w:numPr>
        <w:tabs>
          <w:tab w:val="clear" w:pos="600"/>
        </w:tabs>
        <w:ind w:left="240" w:firstLine="0"/>
        <w:jc w:val="center"/>
        <w:rPr>
          <w:rFonts w:hint="eastAsia" w:ascii="宋体" w:hAnsi="宋体" w:eastAsia="宋体" w:cs="宋体"/>
          <w:bCs w:val="0"/>
          <w:color w:val="auto"/>
          <w:sz w:val="30"/>
          <w:szCs w:val="30"/>
          <w:highlight w:val="none"/>
        </w:rPr>
      </w:pPr>
      <w:bookmarkStart w:id="71" w:name="_Toc7362"/>
      <w:bookmarkStart w:id="72" w:name="_Toc26273"/>
      <w:bookmarkStart w:id="73" w:name="_Toc31657_WPSOffice_Level1"/>
      <w:bookmarkStart w:id="74" w:name="_Toc12775_WPSOffice_Level1"/>
      <w:bookmarkStart w:id="75" w:name="_Toc505868062"/>
      <w:bookmarkStart w:id="76" w:name="_Toc5630"/>
      <w:bookmarkStart w:id="77" w:name="_Toc26467"/>
      <w:bookmarkStart w:id="78" w:name="_Toc2110"/>
      <w:bookmarkStart w:id="79" w:name="_Toc9901"/>
      <w:bookmarkStart w:id="80" w:name="_Toc27321"/>
      <w:bookmarkStart w:id="81" w:name="_Toc29031"/>
      <w:r>
        <w:rPr>
          <w:rFonts w:hint="eastAsia" w:ascii="宋体" w:hAnsi="宋体" w:eastAsia="宋体" w:cs="宋体"/>
          <w:bCs w:val="0"/>
          <w:color w:val="auto"/>
          <w:sz w:val="30"/>
          <w:szCs w:val="30"/>
          <w:highlight w:val="none"/>
        </w:rPr>
        <w:t xml:space="preserve">第三章 </w:t>
      </w:r>
      <w:r>
        <w:rPr>
          <w:rFonts w:hint="eastAsia" w:ascii="宋体" w:hAnsi="宋体" w:eastAsia="宋体" w:cs="宋体"/>
          <w:bCs w:val="0"/>
          <w:color w:val="auto"/>
          <w:sz w:val="30"/>
          <w:szCs w:val="30"/>
          <w:highlight w:val="none"/>
          <w:lang w:val="en-US" w:eastAsia="zh-CN"/>
        </w:rPr>
        <w:t>评审</w:t>
      </w:r>
      <w:r>
        <w:rPr>
          <w:rFonts w:hint="eastAsia" w:ascii="宋体" w:hAnsi="宋体" w:eastAsia="宋体" w:cs="宋体"/>
          <w:bCs w:val="0"/>
          <w:color w:val="auto"/>
          <w:sz w:val="30"/>
          <w:szCs w:val="30"/>
          <w:highlight w:val="none"/>
        </w:rPr>
        <w:t>办法（最低投标价法）</w:t>
      </w:r>
      <w:bookmarkEnd w:id="71"/>
      <w:bookmarkEnd w:id="72"/>
      <w:bookmarkEnd w:id="73"/>
      <w:bookmarkEnd w:id="74"/>
      <w:bookmarkEnd w:id="75"/>
      <w:bookmarkEnd w:id="76"/>
      <w:bookmarkEnd w:id="77"/>
      <w:bookmarkEnd w:id="78"/>
      <w:bookmarkEnd w:id="79"/>
      <w:bookmarkEnd w:id="80"/>
      <w:bookmarkEnd w:id="81"/>
    </w:p>
    <w:p w14:paraId="1DF38671">
      <w:pPr>
        <w:pStyle w:val="6"/>
        <w:adjustRightInd w:val="0"/>
        <w:snapToGrid w:val="0"/>
        <w:spacing w:before="0" w:after="0" w:line="360" w:lineRule="auto"/>
        <w:rPr>
          <w:rFonts w:hint="eastAsia" w:ascii="宋体" w:hAnsi="宋体" w:eastAsia="宋体" w:cs="宋体"/>
          <w:color w:val="auto"/>
          <w:sz w:val="21"/>
          <w:szCs w:val="21"/>
          <w:highlight w:val="none"/>
        </w:rPr>
      </w:pPr>
      <w:bookmarkStart w:id="82" w:name="_Toc1347"/>
      <w:bookmarkStart w:id="83" w:name="_Toc428439631"/>
      <w:bookmarkStart w:id="84" w:name="_Toc505868063"/>
      <w:bookmarkStart w:id="85" w:name="_Toc3015"/>
      <w:bookmarkStart w:id="86" w:name="_Toc18609"/>
      <w:bookmarkStart w:id="87" w:name="_Toc31508_WPSOffice_Level2"/>
      <w:bookmarkStart w:id="88" w:name="_Toc1952_WPSOffice_Level2"/>
      <w:bookmarkStart w:id="89" w:name="_Toc16617"/>
      <w:bookmarkStart w:id="90" w:name="_Toc15147"/>
      <w:bookmarkStart w:id="91" w:name="_Toc408317835"/>
      <w:r>
        <w:rPr>
          <w:rFonts w:hint="eastAsia" w:ascii="宋体" w:hAnsi="宋体" w:eastAsia="宋体" w:cs="宋体"/>
          <w:color w:val="auto"/>
          <w:sz w:val="21"/>
          <w:szCs w:val="21"/>
          <w:highlight w:val="none"/>
        </w:rPr>
        <w:t>评审办法前附表</w:t>
      </w:r>
      <w:bookmarkEnd w:id="82"/>
      <w:bookmarkEnd w:id="83"/>
      <w:bookmarkEnd w:id="84"/>
      <w:bookmarkEnd w:id="85"/>
      <w:bookmarkEnd w:id="86"/>
      <w:bookmarkEnd w:id="87"/>
      <w:bookmarkEnd w:id="88"/>
      <w:bookmarkEnd w:id="89"/>
      <w:bookmarkEnd w:id="90"/>
      <w:bookmarkEnd w:id="91"/>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14:paraId="3926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4D723AD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281D1A1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789E9E2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375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67283D2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2" w:type="dxa"/>
            <w:noWrap w:val="0"/>
            <w:textDirection w:val="tbRlV"/>
            <w:vAlign w:val="center"/>
          </w:tcPr>
          <w:p w14:paraId="259CD93E">
            <w:pPr>
              <w:adjustRightInd/>
              <w:snapToGrid/>
              <w:spacing w:beforeLines="0" w:afterLines="0" w:line="400" w:lineRule="exact"/>
              <w:rPr>
                <w:rFonts w:hint="eastAsia" w:ascii="宋体" w:hAnsi="宋体" w:eastAsia="宋体" w:cs="宋体"/>
                <w:color w:val="auto"/>
                <w:sz w:val="21"/>
                <w:szCs w:val="21"/>
                <w:highlight w:val="none"/>
              </w:rPr>
            </w:pPr>
          </w:p>
          <w:p w14:paraId="1A961302">
            <w:pPr>
              <w:adjustRightInd/>
              <w:snapToGrid/>
              <w:spacing w:beforeLines="0" w:afterLines="0" w:line="400" w:lineRule="exact"/>
              <w:rPr>
                <w:rFonts w:hint="eastAsia" w:ascii="宋体" w:hAnsi="宋体" w:eastAsia="宋体" w:cs="宋体"/>
                <w:color w:val="auto"/>
                <w:sz w:val="21"/>
                <w:szCs w:val="21"/>
                <w:highlight w:val="none"/>
              </w:rPr>
            </w:pPr>
          </w:p>
          <w:p w14:paraId="179C721E">
            <w:pPr>
              <w:adjustRightInd/>
              <w:snapToGrid/>
              <w:spacing w:beforeLines="0" w:afterLines="0" w:line="400" w:lineRule="exact"/>
              <w:rPr>
                <w:rFonts w:hint="eastAsia" w:ascii="宋体" w:hAnsi="宋体" w:eastAsia="宋体" w:cs="宋体"/>
                <w:color w:val="auto"/>
                <w:sz w:val="21"/>
                <w:szCs w:val="21"/>
                <w:highlight w:val="none"/>
              </w:rPr>
            </w:pPr>
          </w:p>
          <w:p w14:paraId="4111998E">
            <w:pPr>
              <w:adjustRightInd/>
              <w:snapToGrid/>
              <w:spacing w:beforeLines="0" w:afterLines="0"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方法</w:t>
            </w:r>
          </w:p>
          <w:p w14:paraId="297BFADC">
            <w:pPr>
              <w:adjustRightInd/>
              <w:snapToGrid/>
              <w:spacing w:beforeLines="0" w:afterLines="0" w:line="400" w:lineRule="exact"/>
              <w:rPr>
                <w:rFonts w:hint="eastAsia" w:ascii="宋体" w:hAnsi="宋体" w:eastAsia="宋体" w:cs="宋体"/>
                <w:color w:val="auto"/>
                <w:sz w:val="21"/>
                <w:szCs w:val="21"/>
                <w:highlight w:val="none"/>
              </w:rPr>
            </w:pPr>
          </w:p>
          <w:p w14:paraId="25F55D75">
            <w:pPr>
              <w:adjustRightInd/>
              <w:snapToGrid/>
              <w:spacing w:beforeLines="0" w:afterLines="0" w:line="400" w:lineRule="exact"/>
              <w:rPr>
                <w:rFonts w:hint="eastAsia" w:ascii="宋体" w:hAnsi="宋体" w:eastAsia="宋体" w:cs="宋体"/>
                <w:color w:val="auto"/>
                <w:sz w:val="21"/>
                <w:szCs w:val="21"/>
                <w:highlight w:val="none"/>
              </w:rPr>
            </w:pPr>
          </w:p>
          <w:p w14:paraId="5085D5F7">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092BB236">
            <w:pPr>
              <w:adjustRightInd/>
              <w:snapToGrid/>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中选候选人排序方法</w:t>
            </w:r>
          </w:p>
        </w:tc>
        <w:tc>
          <w:tcPr>
            <w:tcW w:w="6489" w:type="dxa"/>
            <w:noWrap w:val="0"/>
            <w:vAlign w:val="center"/>
          </w:tcPr>
          <w:p w14:paraId="4999371E">
            <w:pPr>
              <w:keepNext w:val="0"/>
              <w:keepLines w:val="0"/>
              <w:pageBreakBefore w:val="0"/>
              <w:numPr>
                <w:ilvl w:val="-1"/>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本次评审采用</w:t>
            </w:r>
            <w:r>
              <w:rPr>
                <w:rFonts w:hint="eastAsia" w:ascii="宋体" w:hAnsi="宋体" w:eastAsia="宋体" w:cs="宋体"/>
                <w:color w:val="auto"/>
                <w:sz w:val="21"/>
                <w:szCs w:val="21"/>
                <w:highlight w:val="none"/>
                <w:lang w:val="en-US" w:eastAsia="zh-CN"/>
              </w:rPr>
              <w:t>经评审的最低投标价法</w:t>
            </w:r>
            <w:r>
              <w:rPr>
                <w:rFonts w:hint="eastAsia" w:ascii="宋体" w:hAnsi="宋体" w:eastAsia="宋体" w:cs="宋体"/>
                <w:color w:val="auto"/>
                <w:sz w:val="21"/>
                <w:szCs w:val="21"/>
                <w:highlight w:val="none"/>
              </w:rPr>
              <w:t>。</w:t>
            </w:r>
          </w:p>
          <w:p w14:paraId="1F01BC3F">
            <w:pPr>
              <w:keepNext w:val="0"/>
              <w:keepLines w:val="0"/>
              <w:pageBreakBefore w:val="0"/>
              <w:numPr>
                <w:ilvl w:val="-1"/>
                <w:numId w:val="0"/>
              </w:numPr>
              <w:kinsoku/>
              <w:wordWrap/>
              <w:overflowPunct/>
              <w:topLinePunct w:val="0"/>
              <w:autoSpaceDE/>
              <w:autoSpaceDN/>
              <w:bidi w:val="0"/>
              <w:adjustRightInd/>
              <w:snapToGrid/>
              <w:spacing w:line="480" w:lineRule="exact"/>
              <w:ind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不含税总价评标基准价计算方法：所有通过初步评审的比选单位的不含税总价的算术平均值作为不含税总价的评标基准价。在评标基准价计算完成后（除计算错误外），在后续的评审过程中不得再对其做出调整。</w:t>
            </w:r>
          </w:p>
          <w:p w14:paraId="265D9F9D">
            <w:pPr>
              <w:keepNext w:val="0"/>
              <w:keepLines w:val="0"/>
              <w:pageBreakBefore w:val="0"/>
              <w:numPr>
                <w:ilvl w:val="-1"/>
                <w:numId w:val="0"/>
              </w:numPr>
              <w:kinsoku/>
              <w:wordWrap/>
              <w:overflowPunct/>
              <w:topLinePunct w:val="0"/>
              <w:autoSpaceDE/>
              <w:autoSpaceDN/>
              <w:bidi w:val="0"/>
              <w:adjustRightInd/>
              <w:snapToGrid/>
              <w:spacing w:line="480" w:lineRule="exact"/>
              <w:ind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（2）不合理低价判定：不含税总价比评标基准价低10%以上的，不参与后续报价排序，不被推荐为中选候选人。</w:t>
            </w:r>
          </w:p>
          <w:p w14:paraId="3FAC7E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（3）含税总价排序</w:t>
            </w:r>
          </w:p>
          <w:p w14:paraId="31263F7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①按照剩余合格比选单位的含税总价由低到高依次排序推荐中选候选人，在合格评标基准价范围内，推荐含税总价最低的比选单位作为第一候选人，以此类推。</w:t>
            </w:r>
          </w:p>
          <w:p w14:paraId="4478E680">
            <w:pPr>
              <w:numPr>
                <w:ilvl w:val="0"/>
                <w:numId w:val="0"/>
              </w:numPr>
              <w:adjustRightInd/>
              <w:snapToGrid/>
              <w:spacing w:beforeLines="-2147483648" w:afterLines="-2147483648" w:line="48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②若出现两家及以上比选单位含税总价相同且最低的情况，须现场进行二次报价，直至出现价差为止，对未中选情况不做解释</w:t>
            </w:r>
            <w:r>
              <w:rPr>
                <w:rFonts w:hint="eastAsia" w:ascii="宋体" w:hAnsi="宋体" w:eastAsia="宋体" w:cs="宋体"/>
                <w:color w:val="auto"/>
                <w:spacing w:val="0"/>
                <w:kern w:val="0"/>
                <w:sz w:val="21"/>
                <w:szCs w:val="21"/>
                <w:highlight w:val="none"/>
              </w:rPr>
              <w:t>。</w:t>
            </w:r>
          </w:p>
        </w:tc>
      </w:tr>
      <w:tr w14:paraId="3A09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48DE9BF4">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882" w:type="dxa"/>
            <w:noWrap w:val="0"/>
            <w:textDirection w:val="tbRlV"/>
            <w:vAlign w:val="center"/>
          </w:tcPr>
          <w:p w14:paraId="3A71814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shd w:val="clear" w:color="auto" w:fill="auto"/>
            <w:noWrap w:val="0"/>
            <w:vAlign w:val="center"/>
          </w:tcPr>
          <w:p w14:paraId="54153B54">
            <w:pPr>
              <w:spacing w:line="400" w:lineRule="exact"/>
              <w:jc w:val="center"/>
              <w:rPr>
                <w:rFonts w:hint="eastAsia" w:ascii="宋体" w:hAnsi="宋体" w:eastAsia="宋体" w:cs="Times New Roman"/>
                <w:color w:val="auto"/>
                <w:kern w:val="0"/>
                <w:highlight w:val="none"/>
                <w:lang w:val="en-US" w:eastAsia="zh-CN" w:bidi="ar-SA"/>
              </w:rPr>
            </w:pPr>
            <w:r>
              <w:rPr>
                <w:rFonts w:hint="eastAsia" w:ascii="宋体" w:hAnsi="宋体"/>
                <w:color w:val="auto"/>
                <w:kern w:val="0"/>
                <w:highlight w:val="none"/>
              </w:rPr>
              <w:t>符合性审查</w:t>
            </w:r>
          </w:p>
        </w:tc>
        <w:tc>
          <w:tcPr>
            <w:tcW w:w="6489" w:type="dxa"/>
            <w:shd w:val="clear" w:color="auto" w:fill="auto"/>
            <w:noWrap w:val="0"/>
            <w:vAlign w:val="center"/>
          </w:tcPr>
          <w:p w14:paraId="42288742">
            <w:pPr>
              <w:spacing w:line="400" w:lineRule="exact"/>
              <w:ind w:firstLine="420" w:firstLineChars="200"/>
              <w:jc w:val="left"/>
              <w:rPr>
                <w:rFonts w:hint="eastAsia" w:ascii="宋体" w:hAnsi="宋体" w:eastAsia="宋体" w:cs="Times New Roman"/>
                <w:color w:val="auto"/>
                <w:kern w:val="0"/>
                <w:highlight w:val="none"/>
                <w:lang w:val="en-US" w:eastAsia="zh-CN" w:bidi="ar-SA"/>
              </w:rPr>
            </w:pPr>
            <w:r>
              <w:rPr>
                <w:rFonts w:hint="eastAsia" w:ascii="宋体" w:hAnsi="宋体" w:cs="宋体"/>
                <w:color w:val="auto"/>
                <w:kern w:val="0"/>
                <w:sz w:val="21"/>
                <w:szCs w:val="21"/>
                <w:highlight w:val="none"/>
                <w:lang w:val="en-US" w:eastAsia="zh-CN"/>
              </w:rPr>
              <w:t>对参选人</w:t>
            </w:r>
            <w:r>
              <w:rPr>
                <w:rFonts w:hint="eastAsia" w:ascii="宋体" w:hAnsi="宋体" w:cs="宋体"/>
                <w:color w:val="auto"/>
                <w:spacing w:val="0"/>
                <w:kern w:val="0"/>
                <w:sz w:val="21"/>
                <w:szCs w:val="21"/>
                <w:highlight w:val="none"/>
              </w:rPr>
              <w:t>进行符合性审查。符合性审查内容：形式评审、资格评审、响应性评审、投标函部分及经济部分评审。</w:t>
            </w:r>
            <w:r>
              <w:rPr>
                <w:rFonts w:hint="eastAsia" w:ascii="宋体" w:hAnsi="宋体" w:eastAsia="宋体" w:cs="宋体"/>
                <w:color w:val="auto"/>
                <w:sz w:val="21"/>
                <w:szCs w:val="21"/>
                <w:highlight w:val="none"/>
              </w:rPr>
              <w:t>按照合格比选单位的</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含税总价由低到高依次排序推荐中选候选人，推荐</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含税总价最低的比选单位作为第一候选人，以此类推。</w:t>
            </w:r>
          </w:p>
        </w:tc>
      </w:tr>
      <w:tr w14:paraId="7FB3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32E4DBFA">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1</w:t>
            </w:r>
          </w:p>
        </w:tc>
        <w:tc>
          <w:tcPr>
            <w:tcW w:w="882" w:type="dxa"/>
            <w:vMerge w:val="restart"/>
            <w:noWrap w:val="0"/>
            <w:textDirection w:val="tbRlV"/>
            <w:vAlign w:val="center"/>
          </w:tcPr>
          <w:p w14:paraId="7E66724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57" w:type="dxa"/>
            <w:noWrap w:val="0"/>
            <w:vAlign w:val="center"/>
          </w:tcPr>
          <w:p w14:paraId="2D0AD3D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tc>
        <w:tc>
          <w:tcPr>
            <w:tcW w:w="6489" w:type="dxa"/>
            <w:noWrap w:val="0"/>
            <w:vAlign w:val="center"/>
          </w:tcPr>
          <w:p w14:paraId="00E9D21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751B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ECC3E2C">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A3272AE">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25AA4C0A">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函签字盖章</w:t>
            </w:r>
          </w:p>
        </w:tc>
        <w:tc>
          <w:tcPr>
            <w:tcW w:w="6489" w:type="dxa"/>
            <w:noWrap w:val="0"/>
            <w:vAlign w:val="center"/>
          </w:tcPr>
          <w:p w14:paraId="2804009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由</w:t>
            </w:r>
            <w:r>
              <w:rPr>
                <w:rFonts w:hint="eastAsia" w:ascii="宋体" w:hAnsi="宋体" w:eastAsia="宋体" w:cs="宋体"/>
                <w:bCs/>
                <w:color w:val="auto"/>
                <w:sz w:val="21"/>
                <w:szCs w:val="21"/>
                <w:highlight w:val="none"/>
              </w:rPr>
              <w:t>法定代表人（单位负责人）或其委托代理人签字或加盖单位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文件格式”的规定</w:t>
            </w:r>
            <w:bookmarkStart w:id="92" w:name="_Toc289585069"/>
            <w:r>
              <w:rPr>
                <w:rFonts w:hint="eastAsia" w:ascii="宋体" w:hAnsi="宋体" w:eastAsia="宋体" w:cs="宋体"/>
                <w:color w:val="auto"/>
                <w:sz w:val="21"/>
                <w:szCs w:val="21"/>
                <w:highlight w:val="none"/>
              </w:rPr>
              <w:t>。</w:t>
            </w:r>
          </w:p>
        </w:tc>
      </w:tr>
      <w:tr w14:paraId="4590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21C8B289">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D501673">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63FC1E0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w:t>
            </w:r>
          </w:p>
          <w:bookmarkEnd w:id="92"/>
        </w:tc>
        <w:tc>
          <w:tcPr>
            <w:tcW w:w="6489" w:type="dxa"/>
            <w:noWrap w:val="0"/>
            <w:vAlign w:val="center"/>
          </w:tcPr>
          <w:p w14:paraId="45D50DA7">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文件格式”的规定</w:t>
            </w:r>
          </w:p>
        </w:tc>
      </w:tr>
      <w:tr w14:paraId="527C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4399716">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3220F9B">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DCBC0C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w:t>
            </w:r>
          </w:p>
        </w:tc>
        <w:tc>
          <w:tcPr>
            <w:tcW w:w="6489" w:type="dxa"/>
            <w:noWrap w:val="0"/>
            <w:vAlign w:val="center"/>
          </w:tcPr>
          <w:p w14:paraId="2F65400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1F7A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CA5C316">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F4AC30E">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522991F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489" w:type="dxa"/>
            <w:noWrap w:val="0"/>
            <w:vAlign w:val="center"/>
          </w:tcPr>
          <w:p w14:paraId="70D5E23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1F87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7786B4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457357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6786C982">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6489" w:type="dxa"/>
            <w:noWrap w:val="0"/>
            <w:vAlign w:val="center"/>
          </w:tcPr>
          <w:p w14:paraId="66A62D0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人法定代表人的委托代理人有法定代表人签署的授权委托书，且其授权委托书符合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文件规定的格式。</w:t>
            </w:r>
          </w:p>
        </w:tc>
      </w:tr>
      <w:tr w14:paraId="7369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69A2A260">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882" w:type="dxa"/>
            <w:vMerge w:val="restart"/>
            <w:noWrap w:val="0"/>
            <w:vAlign w:val="top"/>
          </w:tcPr>
          <w:p w14:paraId="6D93FEDA">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657" w:type="dxa"/>
            <w:noWrap w:val="0"/>
            <w:vAlign w:val="center"/>
          </w:tcPr>
          <w:p w14:paraId="6CC9BB70">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tc>
        <w:tc>
          <w:tcPr>
            <w:tcW w:w="6489" w:type="dxa"/>
            <w:noWrap w:val="0"/>
            <w:vAlign w:val="center"/>
          </w:tcPr>
          <w:p w14:paraId="7A72FEEF">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人须知前附表”第1.4.1项规定。</w:t>
            </w:r>
          </w:p>
        </w:tc>
      </w:tr>
      <w:tr w14:paraId="516B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2F1241D">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5BF9CE8">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D076A87">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企业实力</w:t>
            </w:r>
          </w:p>
        </w:tc>
        <w:tc>
          <w:tcPr>
            <w:tcW w:w="6489" w:type="dxa"/>
            <w:noWrap w:val="0"/>
            <w:vAlign w:val="center"/>
          </w:tcPr>
          <w:p w14:paraId="062D104E">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3701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974DBA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430EBC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6F036E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备案登记</w:t>
            </w:r>
          </w:p>
        </w:tc>
        <w:tc>
          <w:tcPr>
            <w:tcW w:w="6489" w:type="dxa"/>
            <w:noWrap w:val="0"/>
            <w:vAlign w:val="center"/>
          </w:tcPr>
          <w:p w14:paraId="0F51B955">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13EB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F0F71BA">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A2263A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F915EC3">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纳税证明</w:t>
            </w:r>
          </w:p>
        </w:tc>
        <w:tc>
          <w:tcPr>
            <w:tcW w:w="6489" w:type="dxa"/>
            <w:noWrap w:val="0"/>
            <w:vAlign w:val="center"/>
          </w:tcPr>
          <w:p w14:paraId="3325ADCE">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2EA8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D1E3D9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C06A582">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28BDDE80">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业绩证明</w:t>
            </w:r>
          </w:p>
        </w:tc>
        <w:tc>
          <w:tcPr>
            <w:tcW w:w="6489" w:type="dxa"/>
            <w:noWrap w:val="0"/>
            <w:vAlign w:val="center"/>
          </w:tcPr>
          <w:p w14:paraId="34CC33DC">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64C6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0C0B7E71">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2144E30">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245980D">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人员要求</w:t>
            </w:r>
          </w:p>
        </w:tc>
        <w:tc>
          <w:tcPr>
            <w:tcW w:w="6489" w:type="dxa"/>
            <w:noWrap w:val="0"/>
            <w:vAlign w:val="center"/>
          </w:tcPr>
          <w:p w14:paraId="1EDC1E68">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4DC2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1FC796D">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753DC06">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36E67CB">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信誉证明</w:t>
            </w:r>
          </w:p>
        </w:tc>
        <w:tc>
          <w:tcPr>
            <w:tcW w:w="6489" w:type="dxa"/>
            <w:noWrap w:val="0"/>
            <w:vAlign w:val="center"/>
          </w:tcPr>
          <w:p w14:paraId="187FA719">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52FC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2BA9B6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2E2664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A892D98">
            <w:pPr>
              <w:adjustRightInd/>
              <w:snapToGrid/>
              <w:spacing w:beforeLines="0" w:afterLines="0" w:line="40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关联关系</w:t>
            </w:r>
          </w:p>
        </w:tc>
        <w:tc>
          <w:tcPr>
            <w:tcW w:w="6489" w:type="dxa"/>
            <w:noWrap w:val="0"/>
            <w:vAlign w:val="center"/>
          </w:tcPr>
          <w:p w14:paraId="08F0292D">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011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27D393DA">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AF9B297">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AC1EF00">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w:t>
            </w:r>
          </w:p>
        </w:tc>
        <w:tc>
          <w:tcPr>
            <w:tcW w:w="6489" w:type="dxa"/>
            <w:noWrap w:val="0"/>
            <w:vAlign w:val="center"/>
          </w:tcPr>
          <w:p w14:paraId="69196128">
            <w:pPr>
              <w:adjustRightInd/>
              <w:snapToGrid/>
              <w:spacing w:beforeLines="0" w:afterLines="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7CDA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61F2A0C5">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C2C44B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A12BEC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不存在禁止</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的情形</w:t>
            </w:r>
          </w:p>
        </w:tc>
        <w:tc>
          <w:tcPr>
            <w:tcW w:w="6489" w:type="dxa"/>
            <w:noWrap w:val="0"/>
            <w:vAlign w:val="center"/>
          </w:tcPr>
          <w:p w14:paraId="265CCC3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人须知”第 1.4.3 项规定的任何一种情形</w:t>
            </w:r>
          </w:p>
        </w:tc>
      </w:tr>
      <w:tr w14:paraId="6EE9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6FFA9CB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2EA3DF6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0D28A4C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01DA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5F25EDB1">
            <w:pPr>
              <w:spacing w:beforeLines="0" w:afterLines="0" w:line="40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882" w:type="dxa"/>
            <w:vMerge w:val="restart"/>
            <w:noWrap w:val="0"/>
            <w:vAlign w:val="center"/>
          </w:tcPr>
          <w:p w14:paraId="071C21AC">
            <w:pPr>
              <w:adjustRightInd/>
              <w:snapToGrid/>
              <w:spacing w:beforeLines="0" w:afterLines="0" w:line="400" w:lineRule="exact"/>
              <w:jc w:val="center"/>
              <w:rPr>
                <w:rFonts w:hint="eastAsia" w:ascii="宋体" w:hAnsi="宋体" w:eastAsia="宋体" w:cs="宋体"/>
                <w:color w:val="auto"/>
                <w:sz w:val="21"/>
                <w:szCs w:val="21"/>
                <w:highlight w:val="none"/>
              </w:rPr>
            </w:pPr>
          </w:p>
          <w:p w14:paraId="0E00C806">
            <w:pPr>
              <w:adjustRightInd/>
              <w:snapToGrid/>
              <w:spacing w:beforeLines="0" w:afterLines="0" w:line="400" w:lineRule="exact"/>
              <w:jc w:val="center"/>
              <w:rPr>
                <w:rFonts w:hint="eastAsia" w:ascii="宋体" w:hAnsi="宋体" w:eastAsia="宋体" w:cs="宋体"/>
                <w:color w:val="auto"/>
                <w:sz w:val="21"/>
                <w:szCs w:val="21"/>
                <w:highlight w:val="none"/>
              </w:rPr>
            </w:pPr>
          </w:p>
          <w:p w14:paraId="5C4A292C">
            <w:pPr>
              <w:adjustRightInd/>
              <w:snapToGrid/>
              <w:spacing w:beforeLines="0" w:afterLines="0" w:line="400" w:lineRule="exact"/>
              <w:jc w:val="center"/>
              <w:rPr>
                <w:rFonts w:hint="eastAsia" w:ascii="宋体" w:hAnsi="宋体" w:eastAsia="宋体" w:cs="宋体"/>
                <w:color w:val="auto"/>
                <w:sz w:val="21"/>
                <w:szCs w:val="21"/>
                <w:highlight w:val="none"/>
              </w:rPr>
            </w:pPr>
          </w:p>
          <w:p w14:paraId="518B80B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657" w:type="dxa"/>
            <w:noWrap w:val="0"/>
            <w:vAlign w:val="center"/>
          </w:tcPr>
          <w:p w14:paraId="3217DD5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489" w:type="dxa"/>
            <w:noWrap w:val="0"/>
            <w:vAlign w:val="top"/>
          </w:tcPr>
          <w:p w14:paraId="26192FFA">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3.2 款规定</w:t>
            </w:r>
          </w:p>
        </w:tc>
      </w:tr>
      <w:tr w14:paraId="45E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653B09D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0CE1471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A7B7010">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内容</w:t>
            </w:r>
          </w:p>
        </w:tc>
        <w:tc>
          <w:tcPr>
            <w:tcW w:w="6489" w:type="dxa"/>
            <w:noWrap w:val="0"/>
            <w:vAlign w:val="top"/>
          </w:tcPr>
          <w:p w14:paraId="447FFCE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1.3.1 项规定</w:t>
            </w:r>
          </w:p>
        </w:tc>
      </w:tr>
      <w:tr w14:paraId="5AE8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6548676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5E25924A">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A009CF8">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489" w:type="dxa"/>
            <w:noWrap w:val="0"/>
            <w:vAlign w:val="top"/>
          </w:tcPr>
          <w:p w14:paraId="2845DF8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1.3.2 项规定</w:t>
            </w:r>
          </w:p>
        </w:tc>
      </w:tr>
      <w:tr w14:paraId="1F1F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05880A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7A1FB57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5B3F203">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489" w:type="dxa"/>
            <w:noWrap w:val="0"/>
            <w:vAlign w:val="top"/>
          </w:tcPr>
          <w:p w14:paraId="0F40E2A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1.3.3 项规定</w:t>
            </w:r>
          </w:p>
        </w:tc>
      </w:tr>
      <w:tr w14:paraId="6D80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B386A1A">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257BAF9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2E859A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89" w:type="dxa"/>
            <w:noWrap w:val="0"/>
            <w:vAlign w:val="top"/>
          </w:tcPr>
          <w:p w14:paraId="4789B9AF">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1.3.4 项规定</w:t>
            </w:r>
          </w:p>
        </w:tc>
      </w:tr>
      <w:tr w14:paraId="1B35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2BCB051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4AEA456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8D440C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489" w:type="dxa"/>
            <w:noWrap w:val="0"/>
            <w:vAlign w:val="center"/>
          </w:tcPr>
          <w:p w14:paraId="511B3257">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3.3.1 项规定</w:t>
            </w:r>
          </w:p>
        </w:tc>
      </w:tr>
      <w:tr w14:paraId="03F8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64EC740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textDirection w:val="tbRlV"/>
            <w:vAlign w:val="top"/>
          </w:tcPr>
          <w:p w14:paraId="4EE1A0B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1C396E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6489" w:type="dxa"/>
            <w:noWrap w:val="0"/>
            <w:vAlign w:val="top"/>
          </w:tcPr>
          <w:p w14:paraId="06B85D5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3.4.1 项规定</w:t>
            </w:r>
          </w:p>
        </w:tc>
      </w:tr>
      <w:tr w14:paraId="2FFC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E193EB1">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95953F0">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5BDD5F5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6489" w:type="dxa"/>
            <w:noWrap w:val="0"/>
            <w:vAlign w:val="top"/>
          </w:tcPr>
          <w:p w14:paraId="6C11B123">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14:paraId="75C6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3C6FEE0">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B33267E">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030082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相关服务</w:t>
            </w:r>
          </w:p>
        </w:tc>
        <w:tc>
          <w:tcPr>
            <w:tcW w:w="6489" w:type="dxa"/>
            <w:noWrap w:val="0"/>
            <w:vAlign w:val="top"/>
          </w:tcPr>
          <w:p w14:paraId="0D666C9D">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w:t>
            </w:r>
            <w:r>
              <w:rPr>
                <w:rFonts w:hint="eastAsia" w:ascii="宋体" w:hAnsi="宋体" w:eastAsia="宋体" w:cs="宋体"/>
                <w:color w:val="auto"/>
                <w:sz w:val="21"/>
                <w:szCs w:val="21"/>
                <w:highlight w:val="none"/>
                <w:lang w:val="en-US" w:eastAsia="zh-CN"/>
              </w:rPr>
              <w:t>发包人要求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要求</w:t>
            </w:r>
          </w:p>
        </w:tc>
      </w:tr>
      <w:tr w14:paraId="234B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14:paraId="0C7EC5F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r>
      <w:tr w14:paraId="2A4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67CDA9B9">
            <w:pPr>
              <w:adjustRightInd/>
              <w:snapToGrid/>
              <w:spacing w:beforeLines="0" w:afterLines="0"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2.2.1</w:t>
            </w:r>
          </w:p>
        </w:tc>
        <w:tc>
          <w:tcPr>
            <w:tcW w:w="1657" w:type="dxa"/>
            <w:noWrap w:val="0"/>
            <w:vAlign w:val="center"/>
          </w:tcPr>
          <w:p w14:paraId="75FC8BA4">
            <w:pPr>
              <w:tabs>
                <w:tab w:val="left" w:pos="1875"/>
              </w:tabs>
              <w:adjustRightInd/>
              <w:snapToGrid/>
              <w:spacing w:beforeLines="0" w:afterLines="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评</w:t>
            </w:r>
            <w:r>
              <w:rPr>
                <w:rFonts w:hint="eastAsia" w:ascii="宋体" w:hAnsi="宋体" w:eastAsia="宋体" w:cs="宋体"/>
                <w:bCs/>
                <w:color w:val="auto"/>
                <w:sz w:val="21"/>
                <w:szCs w:val="21"/>
                <w:highlight w:val="none"/>
                <w:lang w:val="en-US" w:eastAsia="zh-CN"/>
              </w:rPr>
              <w:t>选</w:t>
            </w:r>
            <w:r>
              <w:rPr>
                <w:rFonts w:hint="eastAsia" w:ascii="宋体" w:hAnsi="宋体" w:eastAsia="宋体" w:cs="宋体"/>
                <w:bCs/>
                <w:color w:val="auto"/>
                <w:sz w:val="21"/>
                <w:szCs w:val="21"/>
                <w:highlight w:val="none"/>
              </w:rPr>
              <w:t>基准价</w:t>
            </w:r>
          </w:p>
        </w:tc>
        <w:tc>
          <w:tcPr>
            <w:tcW w:w="6489" w:type="dxa"/>
            <w:noWrap w:val="0"/>
            <w:vAlign w:val="center"/>
          </w:tcPr>
          <w:p w14:paraId="3427DBC1">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default" w:ascii="宋体" w:hAnsi="宋体" w:eastAsia="宋体" w:cs="宋体"/>
                <w:bCs/>
                <w:strike w:val="0"/>
                <w:color w:val="auto"/>
                <w:sz w:val="21"/>
                <w:szCs w:val="21"/>
                <w:highlight w:val="none"/>
                <w:lang w:val="en-US" w:eastAsia="zh-CN"/>
              </w:rPr>
            </w:pPr>
            <w:r>
              <w:rPr>
                <w:rFonts w:hint="eastAsia" w:ascii="宋体" w:hAnsi="宋体" w:eastAsia="宋体" w:cs="宋体"/>
                <w:bCs/>
                <w:strike w:val="0"/>
                <w:color w:val="auto"/>
                <w:sz w:val="21"/>
                <w:szCs w:val="21"/>
                <w:highlight w:val="none"/>
                <w:lang w:val="en-US" w:eastAsia="zh-CN"/>
              </w:rPr>
              <w:t>所有通过初步评审的比选单位的不含税总价的算术平均值作为不含税总价的评标基准价。在评标基准价计算完成后（除计算错误外），在后续的评审过程中不得再对其做出调整</w:t>
            </w:r>
            <w:r>
              <w:rPr>
                <w:rFonts w:hint="eastAsia" w:ascii="宋体" w:hAnsi="宋体" w:cs="宋体"/>
                <w:bCs/>
                <w:strike w:val="0"/>
                <w:color w:val="auto"/>
                <w:sz w:val="21"/>
                <w:szCs w:val="21"/>
                <w:highlight w:val="none"/>
                <w:lang w:val="en-US" w:eastAsia="zh-CN"/>
              </w:rPr>
              <w:t>。</w:t>
            </w:r>
          </w:p>
        </w:tc>
      </w:tr>
      <w:tr w14:paraId="551B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5F4EC3B7">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2</w:t>
            </w:r>
          </w:p>
        </w:tc>
        <w:tc>
          <w:tcPr>
            <w:tcW w:w="1657" w:type="dxa"/>
            <w:noWrap w:val="0"/>
            <w:vAlign w:val="center"/>
          </w:tcPr>
          <w:p w14:paraId="0E844BDA">
            <w:pPr>
              <w:tabs>
                <w:tab w:val="left" w:pos="1875"/>
              </w:tabs>
              <w:adjustRightInd/>
              <w:snapToGrid/>
              <w:spacing w:beforeLines="0" w:afterLines="0" w:line="4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不合理低价判定</w:t>
            </w:r>
          </w:p>
        </w:tc>
        <w:tc>
          <w:tcPr>
            <w:tcW w:w="6489" w:type="dxa"/>
            <w:noWrap w:val="0"/>
            <w:vAlign w:val="center"/>
          </w:tcPr>
          <w:p w14:paraId="0ECA8151">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strike w:val="0"/>
                <w:color w:val="auto"/>
                <w:sz w:val="21"/>
                <w:szCs w:val="21"/>
                <w:highlight w:val="none"/>
                <w:lang w:val="en-US" w:eastAsia="zh-CN"/>
              </w:rPr>
            </w:pPr>
            <w:r>
              <w:rPr>
                <w:rFonts w:hint="eastAsia" w:ascii="宋体" w:hAnsi="宋体" w:eastAsia="宋体" w:cs="宋体"/>
                <w:bCs/>
                <w:strike w:val="0"/>
                <w:color w:val="auto"/>
                <w:sz w:val="21"/>
                <w:szCs w:val="21"/>
                <w:highlight w:val="none"/>
                <w:lang w:val="en-US" w:eastAsia="zh-CN"/>
              </w:rPr>
              <w:t>不含税总价比评标基准价低10%以上的，不参与后续报价排序，不被推荐为中选候选人。</w:t>
            </w:r>
          </w:p>
        </w:tc>
      </w:tr>
      <w:tr w14:paraId="29D1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3EDA807E">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57" w:type="dxa"/>
            <w:noWrap w:val="0"/>
            <w:vAlign w:val="center"/>
          </w:tcPr>
          <w:p w14:paraId="39550238">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评标程序</w:t>
            </w:r>
          </w:p>
        </w:tc>
        <w:tc>
          <w:tcPr>
            <w:tcW w:w="6489" w:type="dxa"/>
            <w:noWrap w:val="0"/>
            <w:vAlign w:val="center"/>
          </w:tcPr>
          <w:p w14:paraId="7C7A6ACE">
            <w:pPr>
              <w:keepNext w:val="0"/>
              <w:keepLines w:val="0"/>
              <w:pageBreakBefore w:val="0"/>
              <w:numPr>
                <w:ilvl w:val="-1"/>
                <w:numId w:val="0"/>
              </w:numPr>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比选各方人员在公司监督人员的见证下当众开启密封文件，查验投标文件。</w:t>
            </w:r>
          </w:p>
          <w:p w14:paraId="09DCC359">
            <w:pPr>
              <w:tabs>
                <w:tab w:val="left" w:pos="1875"/>
              </w:tabs>
              <w:spacing w:beforeLines="0" w:afterLines="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查验资格文件是否符合比选邀请函要求，若未能完全响应比选邀请函要求，视为无效文件，否决比选。</w:t>
            </w:r>
          </w:p>
          <w:p w14:paraId="7236AA4D">
            <w:pPr>
              <w:tabs>
                <w:tab w:val="left" w:pos="1875"/>
              </w:tabs>
              <w:spacing w:beforeLines="0" w:afterLines="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（2）</w:t>
            </w:r>
            <w:r>
              <w:rPr>
                <w:rFonts w:hint="eastAsia" w:ascii="宋体" w:hAnsi="宋体" w:eastAsia="宋体" w:cs="宋体"/>
                <w:bCs/>
                <w:color w:val="auto"/>
                <w:sz w:val="21"/>
                <w:szCs w:val="21"/>
                <w:highlight w:val="none"/>
              </w:rPr>
              <w:t>查验经济文件并宣读报价，委托代理人签字确认报价，若未能完全响应比选函，视为无效文件，否决比选。</w:t>
            </w:r>
          </w:p>
          <w:p w14:paraId="69A9E7FF">
            <w:pPr>
              <w:tabs>
                <w:tab w:val="left" w:pos="1875"/>
              </w:tabs>
              <w:adjustRightInd/>
              <w:snapToGrid/>
              <w:spacing w:beforeLines="0" w:after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rPr>
              <w:t>评审结束后当众宣读评审结果。</w:t>
            </w:r>
          </w:p>
        </w:tc>
      </w:tr>
      <w:tr w14:paraId="6CAA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0F612BFF">
            <w:pPr>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882" w:type="dxa"/>
            <w:noWrap w:val="0"/>
            <w:vAlign w:val="center"/>
          </w:tcPr>
          <w:p w14:paraId="7148B692">
            <w:pPr>
              <w:adjustRightInd/>
              <w:snapToGrid/>
              <w:spacing w:beforeLines="0" w:afterLines="0" w:line="40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评标结果</w:t>
            </w:r>
          </w:p>
        </w:tc>
        <w:tc>
          <w:tcPr>
            <w:tcW w:w="8146" w:type="dxa"/>
            <w:gridSpan w:val="2"/>
            <w:noWrap w:val="0"/>
            <w:vAlign w:val="top"/>
          </w:tcPr>
          <w:p w14:paraId="40B9C1E2">
            <w:pPr>
              <w:adjustRightInd/>
              <w:snapToGrid/>
              <w:spacing w:before="0" w:beforeLines="0" w:after="0" w:afterLines="0" w:line="400" w:lineRule="exact"/>
              <w:ind w:firstLine="42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评审委员会</w:t>
            </w:r>
            <w:r>
              <w:rPr>
                <w:rFonts w:hint="eastAsia" w:ascii="宋体" w:hAnsi="宋体" w:eastAsia="宋体" w:cs="宋体"/>
                <w:color w:val="auto"/>
                <w:sz w:val="21"/>
                <w:szCs w:val="21"/>
                <w:highlight w:val="none"/>
              </w:rPr>
              <w:t>完成评标后，应当向</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人提交书面评标报告和中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候选人名单。</w:t>
            </w:r>
          </w:p>
        </w:tc>
      </w:tr>
    </w:tbl>
    <w:p w14:paraId="417CD11C">
      <w:pPr>
        <w:pStyle w:val="6"/>
        <w:adjustRightInd w:val="0"/>
        <w:snapToGrid w:val="0"/>
        <w:spacing w:before="0" w:after="0" w:line="360" w:lineRule="auto"/>
        <w:ind w:firstLine="301" w:firstLineChars="15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93" w:name="_Toc32066"/>
      <w:bookmarkStart w:id="94" w:name="_Toc9512"/>
      <w:bookmarkStart w:id="95" w:name="_Toc27384_WPSOffice_Level3"/>
      <w:bookmarkStart w:id="96" w:name="_Toc23188"/>
      <w:bookmarkStart w:id="97" w:name="_Toc5920"/>
      <w:bookmarkStart w:id="98" w:name="_Toc505868064"/>
      <w:bookmarkStart w:id="99" w:name="_Toc18841"/>
      <w:r>
        <w:rPr>
          <w:rFonts w:hint="eastAsia" w:ascii="宋体" w:hAnsi="宋体" w:eastAsia="宋体" w:cs="宋体"/>
          <w:color w:val="auto"/>
          <w:sz w:val="21"/>
          <w:szCs w:val="21"/>
          <w:highlight w:val="none"/>
        </w:rPr>
        <w:t>1. 评审方法</w:t>
      </w:r>
      <w:bookmarkEnd w:id="93"/>
      <w:bookmarkEnd w:id="94"/>
      <w:bookmarkEnd w:id="95"/>
      <w:bookmarkEnd w:id="96"/>
      <w:bookmarkEnd w:id="97"/>
      <w:bookmarkEnd w:id="98"/>
      <w:bookmarkEnd w:id="99"/>
    </w:p>
    <w:p w14:paraId="2160B1C1">
      <w:pPr>
        <w:keepNext w:val="0"/>
        <w:keepLines w:val="0"/>
        <w:pageBreakBefore w:val="0"/>
        <w:numPr>
          <w:ilvl w:val="-1"/>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本次评审</w:t>
      </w:r>
      <w:r>
        <w:rPr>
          <w:rFonts w:hint="eastAsia" w:ascii="宋体" w:hAnsi="宋体" w:eastAsia="宋体" w:cs="宋体"/>
          <w:color w:val="auto"/>
          <w:sz w:val="21"/>
          <w:highlight w:val="none"/>
        </w:rPr>
        <w:t>采用</w:t>
      </w:r>
      <w:r>
        <w:rPr>
          <w:rFonts w:hint="eastAsia" w:ascii="宋体" w:hAnsi="宋体" w:eastAsia="宋体" w:cs="宋体"/>
          <w:color w:val="auto"/>
          <w:sz w:val="21"/>
          <w:highlight w:val="none"/>
          <w:lang w:val="en-US" w:eastAsia="zh-CN"/>
        </w:rPr>
        <w:t>经评审的最低投标价法</w:t>
      </w:r>
      <w:r>
        <w:rPr>
          <w:rFonts w:hint="eastAsia" w:ascii="宋体" w:hAnsi="宋体" w:eastAsia="宋体" w:cs="宋体"/>
          <w:color w:val="auto"/>
          <w:sz w:val="21"/>
          <w:highlight w:val="none"/>
        </w:rPr>
        <w:t>。</w:t>
      </w:r>
    </w:p>
    <w:p w14:paraId="3A37167C">
      <w:pPr>
        <w:keepNext w:val="0"/>
        <w:keepLines w:val="0"/>
        <w:pageBreakBefore w:val="0"/>
        <w:numPr>
          <w:ilvl w:val="-1"/>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不含税总价评标基准价计算方法：所有通过初步评审的比选单位的不含税总价的算术平均值作为不含税总价的评标基准价。在评标基准价计算完成后（除计算错误外），在后续的评审过程中不得再对其做出调整。</w:t>
      </w:r>
    </w:p>
    <w:p w14:paraId="644AA7EA">
      <w:pPr>
        <w:keepNext w:val="0"/>
        <w:keepLines w:val="0"/>
        <w:pageBreakBefore w:val="0"/>
        <w:numPr>
          <w:ilvl w:val="-1"/>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（2）不合理低价判定：不含税总价比评标基准价低10%以上的，不参与后续报价排序，不被推荐为中选候选人。</w:t>
      </w:r>
    </w:p>
    <w:p w14:paraId="6930AE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（3）含税总价排序</w:t>
      </w:r>
    </w:p>
    <w:p w14:paraId="0FD9E8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①按照剩余合格比选单位的含税总价由低到高依次排序推荐中选候选人，在合格评标基准价范围内，推荐含税总价最低的比选单位作为第一候选人，以此类推。</w:t>
      </w:r>
    </w:p>
    <w:p w14:paraId="69ECE61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kern w:val="0"/>
          <w:sz w:val="21"/>
          <w:szCs w:val="20"/>
          <w:highlight w:val="none"/>
          <w:lang w:val="en-US" w:eastAsia="zh-CN" w:bidi="ar-SA"/>
        </w:rPr>
        <w:t>②若出现两家及以上比选单位含税总价相同且最低的情况，须现场进行二次报价，直至出现价差为止，对未中选情况不做解释</w:t>
      </w:r>
      <w:r>
        <w:rPr>
          <w:rFonts w:hint="eastAsia" w:ascii="宋体" w:hAnsi="宋体" w:eastAsia="宋体" w:cs="宋体"/>
          <w:color w:val="auto"/>
          <w:spacing w:val="0"/>
          <w:kern w:val="0"/>
          <w:sz w:val="21"/>
          <w:szCs w:val="20"/>
          <w:highlight w:val="none"/>
        </w:rPr>
        <w:t>。</w:t>
      </w:r>
    </w:p>
    <w:p w14:paraId="432CE32E">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00" w:name="_Toc18585"/>
      <w:bookmarkStart w:id="101" w:name="_Toc25182"/>
      <w:bookmarkStart w:id="102" w:name="_Toc21716"/>
      <w:bookmarkStart w:id="103" w:name="_Toc505868065"/>
      <w:bookmarkStart w:id="104" w:name="_Toc22311"/>
      <w:bookmarkStart w:id="105" w:name="_Toc21079_WPSOffice_Level3"/>
      <w:bookmarkStart w:id="106" w:name="_Toc4822"/>
      <w:r>
        <w:rPr>
          <w:rFonts w:hint="eastAsia" w:ascii="宋体" w:hAnsi="宋体" w:eastAsia="宋体" w:cs="宋体"/>
          <w:color w:val="auto"/>
          <w:sz w:val="21"/>
          <w:szCs w:val="21"/>
          <w:highlight w:val="none"/>
        </w:rPr>
        <w:t>2. 评审标准</w:t>
      </w:r>
      <w:bookmarkEnd w:id="100"/>
      <w:bookmarkEnd w:id="101"/>
      <w:bookmarkEnd w:id="102"/>
      <w:bookmarkEnd w:id="103"/>
      <w:bookmarkEnd w:id="104"/>
      <w:bookmarkEnd w:id="105"/>
      <w:bookmarkEnd w:id="106"/>
    </w:p>
    <w:p w14:paraId="007D2E71">
      <w:pPr>
        <w:pStyle w:val="7"/>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07" w:name="_Toc505868066"/>
      <w:bookmarkStart w:id="108" w:name="_Toc7217"/>
      <w:bookmarkStart w:id="109" w:name="_Toc24431"/>
      <w:r>
        <w:rPr>
          <w:rFonts w:hint="eastAsia" w:ascii="宋体" w:hAnsi="宋体" w:eastAsia="宋体" w:cs="宋体"/>
          <w:color w:val="auto"/>
          <w:sz w:val="21"/>
          <w:szCs w:val="21"/>
          <w:highlight w:val="none"/>
        </w:rPr>
        <w:t>2.1 初步评审标准</w:t>
      </w:r>
      <w:bookmarkEnd w:id="107"/>
      <w:bookmarkEnd w:id="108"/>
      <w:bookmarkEnd w:id="109"/>
    </w:p>
    <w:p w14:paraId="7EA3613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2.1.1</w:t>
      </w:r>
      <w:r>
        <w:rPr>
          <w:rFonts w:hint="eastAsia" w:ascii="宋体" w:hAnsi="宋体" w:eastAsia="宋体" w:cs="宋体"/>
          <w:color w:val="auto"/>
          <w:sz w:val="21"/>
          <w:highlight w:val="none"/>
        </w:rPr>
        <w:t>形式评审标准：见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566283A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资格评审标准：见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573BC2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 xml:space="preserve"> 响应性评审标准：见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27253B72">
      <w:pPr>
        <w:pStyle w:val="7"/>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10" w:name="_Toc13835"/>
      <w:bookmarkStart w:id="111" w:name="_Toc22320"/>
      <w:bookmarkStart w:id="112" w:name="_Toc505868067"/>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价格评审</w:t>
      </w:r>
      <w:r>
        <w:rPr>
          <w:rFonts w:hint="eastAsia" w:ascii="宋体" w:hAnsi="宋体" w:eastAsia="宋体" w:cs="宋体"/>
          <w:color w:val="auto"/>
          <w:sz w:val="21"/>
          <w:szCs w:val="21"/>
          <w:highlight w:val="none"/>
        </w:rPr>
        <w:t>标准</w:t>
      </w:r>
      <w:bookmarkEnd w:id="110"/>
      <w:bookmarkEnd w:id="111"/>
      <w:bookmarkEnd w:id="112"/>
    </w:p>
    <w:p w14:paraId="4481823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2.2.1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w:t>
      </w:r>
    </w:p>
    <w:p w14:paraId="0D911B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基准价计算方法：见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063E1D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 xml:space="preserve"> 不合理低价判定</w:t>
      </w:r>
      <w:r>
        <w:rPr>
          <w:rFonts w:hint="eastAsia" w:ascii="宋体" w:hAnsi="宋体" w:eastAsia="宋体" w:cs="宋体"/>
          <w:color w:val="auto"/>
          <w:sz w:val="21"/>
          <w:highlight w:val="none"/>
          <w:lang w:val="en-US" w:eastAsia="zh-CN"/>
        </w:rPr>
        <w:t>(如有）：</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7F7059F9">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13" w:name="_Toc27446_WPSOffice_Level3"/>
      <w:bookmarkStart w:id="114" w:name="_Toc20269"/>
      <w:bookmarkStart w:id="115" w:name="_Toc12349"/>
      <w:bookmarkStart w:id="116" w:name="_Toc505868068"/>
      <w:bookmarkStart w:id="117" w:name="_Toc692"/>
      <w:bookmarkStart w:id="118" w:name="_Toc5071"/>
      <w:bookmarkStart w:id="119" w:name="_Toc18992"/>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w:t>
      </w:r>
      <w:bookmarkEnd w:id="113"/>
      <w:bookmarkEnd w:id="114"/>
      <w:bookmarkEnd w:id="115"/>
      <w:bookmarkEnd w:id="116"/>
      <w:bookmarkEnd w:id="117"/>
      <w:bookmarkEnd w:id="118"/>
      <w:bookmarkEnd w:id="119"/>
    </w:p>
    <w:p w14:paraId="70FBA3D4">
      <w:pPr>
        <w:pStyle w:val="7"/>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20" w:name="_Toc7771"/>
      <w:bookmarkStart w:id="121" w:name="_Toc505868069"/>
      <w:bookmarkStart w:id="122" w:name="_Toc12601"/>
      <w:r>
        <w:rPr>
          <w:rFonts w:hint="eastAsia" w:ascii="宋体" w:hAnsi="宋体" w:eastAsia="宋体" w:cs="宋体"/>
          <w:color w:val="auto"/>
          <w:sz w:val="21"/>
          <w:szCs w:val="21"/>
          <w:highlight w:val="none"/>
        </w:rPr>
        <w:t>3.1 初步评审</w:t>
      </w:r>
      <w:bookmarkEnd w:id="120"/>
      <w:bookmarkEnd w:id="121"/>
      <w:bookmarkEnd w:id="122"/>
    </w:p>
    <w:p w14:paraId="01A87A9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人提交第二章“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人须知”规定的有关证明和证件的原件，以便核验。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委员会依据本章第2.1款规定的标准对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文件进行初步评审。有一项不符合评审标准的，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1B01476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人有以下情形之一的，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0A6A09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文件没有对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文件的实质性要求和条件作出响应，或者对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文件的偏差超出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文件规定的偏差范围或最高项数；</w:t>
      </w:r>
    </w:p>
    <w:p w14:paraId="58AACEE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（2）有串通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、弄虚作假、行贿等违法行为。</w:t>
      </w:r>
    </w:p>
    <w:p w14:paraId="0385C91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报价有算术错误及其他错误的，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委员会按以下原则要求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报价进</w:t>
      </w:r>
      <w:bookmarkStart w:id="123" w:name="_Toc152045603"/>
      <w:bookmarkStart w:id="124" w:name="_Toc361508651"/>
      <w:bookmarkStart w:id="125" w:name="_Toc384308277"/>
      <w:bookmarkStart w:id="126" w:name="_Toc352691538"/>
      <w:bookmarkStart w:id="127" w:name="_Toc247527628"/>
      <w:bookmarkStart w:id="128" w:name="_Toc300835013"/>
      <w:bookmarkStart w:id="129" w:name="_Toc369531582"/>
      <w:bookmarkStart w:id="130" w:name="_Toc247514027"/>
      <w:bookmarkStart w:id="131" w:name="_Toc152042380"/>
      <w:bookmarkStart w:id="132" w:name="_Toc144974570"/>
      <w:bookmarkStart w:id="133" w:name="_Toc2907"/>
      <w:r>
        <w:rPr>
          <w:rFonts w:hint="eastAsia" w:ascii="宋体" w:hAnsi="宋体" w:eastAsia="宋体" w:cs="宋体"/>
          <w:color w:val="auto"/>
          <w:sz w:val="21"/>
          <w:highlight w:val="none"/>
        </w:rPr>
        <w:t>行修正，并要求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人书面澄清确认。</w:t>
      </w:r>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人拒不澄清确认的，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4012A5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文件中的大写金额与小写金额不一致的，以大写金额为准；</w:t>
      </w:r>
    </w:p>
    <w:p w14:paraId="39075BA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（2）总价金额与单价金额不一致的，以单价金额为准，但单价金额小数点有明显错误的除外；</w:t>
      </w:r>
    </w:p>
    <w:p w14:paraId="0E8489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p>
    <w:p w14:paraId="499E3C9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（4）如果分项报价中存在缺漏项，则视为缺漏项价格已包含在其他分项报价之中。</w:t>
      </w:r>
    </w:p>
    <w:p w14:paraId="055576CB">
      <w:pPr>
        <w:pStyle w:val="7"/>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34" w:name="_Toc25175"/>
      <w:bookmarkStart w:id="135" w:name="_Toc3831"/>
      <w:bookmarkStart w:id="136" w:name="_Toc505868070"/>
      <w:r>
        <w:rPr>
          <w:rFonts w:hint="eastAsia" w:ascii="宋体" w:hAnsi="宋体" w:eastAsia="宋体" w:cs="宋体"/>
          <w:color w:val="auto"/>
          <w:sz w:val="21"/>
          <w:szCs w:val="21"/>
          <w:highlight w:val="none"/>
        </w:rPr>
        <w:t xml:space="preserve">3.2 </w:t>
      </w:r>
      <w:bookmarkEnd w:id="134"/>
      <w:bookmarkEnd w:id="135"/>
      <w:bookmarkEnd w:id="136"/>
      <w:bookmarkStart w:id="137" w:name="_Toc26972"/>
      <w:bookmarkStart w:id="138" w:name="_Toc505868071"/>
      <w:bookmarkStart w:id="139" w:name="_Toc22775"/>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文件的澄清</w:t>
      </w:r>
      <w:bookmarkEnd w:id="137"/>
      <w:bookmarkEnd w:id="138"/>
      <w:bookmarkEnd w:id="139"/>
    </w:p>
    <w:p w14:paraId="224A328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 在评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过程中，评审委员会可以书面形式要求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文件中含义不明确、对同类问题表述不一致或者有明显文字和计算错误的内容</w:t>
      </w:r>
      <w:r>
        <w:rPr>
          <w:rFonts w:hint="eastAsia" w:ascii="宋体" w:hAnsi="宋体" w:cs="宋体"/>
          <w:color w:val="auto"/>
          <w:sz w:val="21"/>
          <w:highlight w:val="none"/>
          <w:lang w:eastAsia="zh-CN"/>
        </w:rPr>
        <w:t>做必要</w:t>
      </w:r>
      <w:r>
        <w:rPr>
          <w:rFonts w:hint="eastAsia" w:ascii="宋体" w:hAnsi="宋体" w:eastAsia="宋体" w:cs="宋体"/>
          <w:color w:val="auto"/>
          <w:sz w:val="21"/>
          <w:highlight w:val="none"/>
        </w:rPr>
        <w:t>的澄清、说明或补正。澄清、说明或补正应以书面方式进行。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委员会不接受</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人主动提出的澄清、说明或补正。</w:t>
      </w:r>
    </w:p>
    <w:p w14:paraId="2AD8DD1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 澄清、说明或补正不得超出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文件的范围且不得改变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文件的实质性内容，并构成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2B0246A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.3 评审委员会对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人提交的澄清、说明或补正有疑问的，可以要求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人进一步澄清、说明或补正，直至满足</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委员会的要求。</w:t>
      </w:r>
    </w:p>
    <w:p w14:paraId="307D96F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 评标结果</w:t>
      </w:r>
    </w:p>
    <w:p w14:paraId="534F3D9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除第二章“</w:t>
      </w:r>
      <w:r>
        <w:rPr>
          <w:rFonts w:hint="eastAsia" w:ascii="宋体" w:hAnsi="宋体" w:eastAsia="宋体" w:cs="宋体"/>
          <w:color w:val="auto"/>
          <w:sz w:val="21"/>
          <w:highlight w:val="none"/>
          <w:lang w:eastAsia="zh-CN"/>
        </w:rPr>
        <w:t>参选人</w:t>
      </w:r>
      <w:r>
        <w:rPr>
          <w:rFonts w:hint="eastAsia" w:ascii="宋体" w:hAnsi="宋体" w:eastAsia="宋体" w:cs="宋体"/>
          <w:color w:val="auto"/>
          <w:sz w:val="21"/>
          <w:highlight w:val="none"/>
        </w:rPr>
        <w:t>须知”前附表授权直接确定中标人外，</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按最低投标价法推荐</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w:t>
      </w:r>
    </w:p>
    <w:p w14:paraId="5D1BC0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3.3.2 </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完成评标后，应当向招标人提交书面评标报告和</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名单。</w:t>
      </w:r>
    </w:p>
    <w:p w14:paraId="71105B75">
      <w:pPr>
        <w:adjustRightInd w:val="0"/>
        <w:snapToGrid w:val="0"/>
        <w:spacing w:line="360" w:lineRule="auto"/>
        <w:ind w:firstLine="420" w:firstLineChars="200"/>
        <w:rPr>
          <w:rFonts w:hint="eastAsia" w:ascii="宋体" w:hAnsi="宋体" w:eastAsia="宋体" w:cs="宋体"/>
          <w:color w:val="auto"/>
          <w:sz w:val="21"/>
          <w:highlight w:val="none"/>
        </w:rPr>
      </w:pPr>
    </w:p>
    <w:p w14:paraId="221BE423">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B0140EA">
      <w:pPr>
        <w:pStyle w:val="10"/>
        <w:rPr>
          <w:rFonts w:hint="eastAsia" w:ascii="宋体" w:hAnsi="宋体" w:eastAsia="宋体" w:cs="宋体"/>
          <w:color w:val="auto"/>
          <w:highlight w:val="none"/>
        </w:rPr>
      </w:pPr>
    </w:p>
    <w:p w14:paraId="40D9E878">
      <w:pPr>
        <w:snapToGrid w:val="0"/>
        <w:spacing w:line="360" w:lineRule="auto"/>
        <w:outlineLvl w:val="0"/>
        <w:rPr>
          <w:rFonts w:hint="eastAsia" w:ascii="宋体" w:hAnsi="宋体" w:eastAsia="宋体" w:cs="宋体"/>
          <w:color w:val="auto"/>
          <w:sz w:val="30"/>
          <w:highlight w:val="none"/>
        </w:rPr>
      </w:pPr>
      <w:bookmarkStart w:id="140" w:name="_Toc24005"/>
      <w:bookmarkStart w:id="141" w:name="_Toc18945"/>
      <w:bookmarkStart w:id="142" w:name="_Toc10676"/>
      <w:bookmarkStart w:id="143" w:name="_Toc15334"/>
      <w:bookmarkStart w:id="144" w:name="_Toc3661"/>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140"/>
      <w:bookmarkEnd w:id="141"/>
      <w:bookmarkEnd w:id="142"/>
      <w:bookmarkEnd w:id="143"/>
      <w:bookmarkEnd w:id="144"/>
    </w:p>
    <w:p w14:paraId="4F9BE9FB">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最低投标价法否决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14:paraId="7BCDF1C7">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46D94B43">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17ADFE">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14:paraId="600F4E1A">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22BEAF">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9B41C">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14:paraId="769AE5B0">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F16F6">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879D82">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A773F">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1EBFC594">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A8A1BD">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9A5268">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5686B0">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1679BAD3">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EF8A26">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D1162E">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F0201B">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1.限价：</w:t>
            </w:r>
            <w:r>
              <w:rPr>
                <w:rFonts w:hint="eastAsia" w:ascii="宋体" w:hAnsi="宋体" w:eastAsia="宋体" w:cs="宋体"/>
                <w:b/>
                <w:color w:val="auto"/>
                <w:kern w:val="0"/>
                <w:szCs w:val="21"/>
                <w:highlight w:val="none"/>
              </w:rPr>
              <w:t>本</w:t>
            </w: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将设置最高限价</w:t>
            </w:r>
            <w:r>
              <w:rPr>
                <w:rFonts w:hint="eastAsia" w:ascii="宋体" w:hAnsi="宋体" w:eastAsia="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不</w:t>
            </w:r>
            <w:r>
              <w:rPr>
                <w:rFonts w:hint="eastAsia" w:ascii="宋体" w:hAnsi="宋体" w:eastAsia="宋体" w:cs="宋体"/>
                <w:b/>
                <w:bCs w:val="0"/>
                <w:color w:val="auto"/>
                <w:sz w:val="20"/>
                <w:szCs w:val="21"/>
                <w:highlight w:val="none"/>
                <w:lang w:val="en-US" w:eastAsia="zh-CN"/>
              </w:rPr>
              <w:t>含税总价</w:t>
            </w:r>
            <w:r>
              <w:rPr>
                <w:rFonts w:hint="eastAsia" w:ascii="宋体" w:hAnsi="宋体" w:eastAsia="宋体" w:cs="宋体"/>
                <w:b/>
                <w:color w:val="auto"/>
                <w:kern w:val="0"/>
                <w:szCs w:val="21"/>
                <w:highlight w:val="none"/>
              </w:rPr>
              <w:t>最高限价</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 w:val="20"/>
                <w:szCs w:val="21"/>
                <w:highlight w:val="none"/>
                <w:lang w:val="en-US" w:eastAsia="zh-CN"/>
              </w:rPr>
              <w:t>，报价超过限价的作否决比选处理</w:t>
            </w:r>
            <w:r>
              <w:rPr>
                <w:rFonts w:hint="eastAsia" w:ascii="宋体" w:hAnsi="宋体" w:cs="宋体"/>
                <w:b/>
                <w:color w:val="auto"/>
                <w:sz w:val="20"/>
                <w:szCs w:val="21"/>
                <w:highlight w:val="none"/>
                <w:lang w:val="en-US" w:eastAsia="zh-CN"/>
              </w:rPr>
              <w:t>。</w:t>
            </w:r>
          </w:p>
          <w:p w14:paraId="2F858A9B">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2.请</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根据自身情况自主报价。</w:t>
            </w:r>
          </w:p>
        </w:tc>
      </w:tr>
      <w:tr w14:paraId="3DFB1DE4">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75953">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3A05BE">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D0E56B3">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14:paraId="29D9112A">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B072C9">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A8CE63">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103A62">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14:paraId="2DF3AD22">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2AB06">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ECEE49">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BC28E">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14:paraId="48C49A10">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7067100F">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7FA80134">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1DABC2">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77F445">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2E0853">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文件进行初步评审。有一项不符合评审标准的，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0C35EFC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2629C371">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14:paraId="47A222D9">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14:paraId="72CA4984">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14:paraId="25459C24">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DB5A6E">
            <w:pPr>
              <w:widowControl/>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第三章3.</w:t>
            </w:r>
            <w:r>
              <w:rPr>
                <w:rFonts w:hint="eastAsia" w:ascii="宋体" w:hAnsi="宋体" w:eastAsia="宋体" w:cs="宋体"/>
                <w:color w:val="auto"/>
                <w:sz w:val="21"/>
                <w:szCs w:val="21"/>
                <w:highlight w:val="none"/>
                <w:lang w:val="en-US" w:eastAsia="zh-CN"/>
              </w:rPr>
              <w:t>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8EEBA8">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不合理低价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B48906">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不含税总价比评标基准价低10%以上的，不参与后续报价排序，不被推荐为中选候选人。</w:t>
            </w:r>
          </w:p>
        </w:tc>
      </w:tr>
      <w:tr w14:paraId="55FAF32E">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460DBA">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14:paraId="485A28C2">
      <w:pPr>
        <w:snapToGrid w:val="0"/>
        <w:spacing w:line="360" w:lineRule="auto"/>
        <w:rPr>
          <w:rFonts w:hint="eastAsia" w:ascii="宋体" w:hAnsi="宋体" w:eastAsia="宋体" w:cs="宋体"/>
          <w:b/>
          <w:color w:val="auto"/>
          <w:sz w:val="21"/>
          <w:highlight w:val="none"/>
        </w:rPr>
      </w:pPr>
    </w:p>
    <w:p w14:paraId="4429A9A5">
      <w:pPr>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p>
    <w:p w14:paraId="2C73B445">
      <w:pPr>
        <w:snapToGrid w:val="0"/>
        <w:spacing w:line="360" w:lineRule="auto"/>
        <w:rPr>
          <w:rFonts w:hint="eastAsia" w:ascii="宋体" w:hAnsi="宋体" w:eastAsia="宋体" w:cs="宋体"/>
          <w:b/>
          <w:color w:val="auto"/>
          <w:sz w:val="21"/>
          <w:highlight w:val="none"/>
        </w:rPr>
      </w:pPr>
    </w:p>
    <w:p w14:paraId="2FB267D0">
      <w:pPr>
        <w:snapToGrid w:val="0"/>
        <w:spacing w:line="360" w:lineRule="auto"/>
        <w:rPr>
          <w:rFonts w:hint="eastAsia" w:ascii="宋体" w:hAnsi="宋体" w:eastAsia="宋体" w:cs="宋体"/>
          <w:b/>
          <w:color w:val="auto"/>
          <w:sz w:val="21"/>
          <w:highlight w:val="none"/>
        </w:rPr>
      </w:pPr>
    </w:p>
    <w:p w14:paraId="36C05C83">
      <w:pPr>
        <w:snapToGrid w:val="0"/>
        <w:spacing w:line="360" w:lineRule="auto"/>
        <w:rPr>
          <w:rFonts w:hint="eastAsia" w:ascii="宋体" w:hAnsi="宋体" w:eastAsia="宋体" w:cs="宋体"/>
          <w:b/>
          <w:color w:val="auto"/>
          <w:sz w:val="21"/>
          <w:highlight w:val="none"/>
        </w:rPr>
      </w:pPr>
    </w:p>
    <w:p w14:paraId="22B89AAB">
      <w:pPr>
        <w:snapToGrid w:val="0"/>
        <w:spacing w:line="360" w:lineRule="auto"/>
        <w:rPr>
          <w:rFonts w:hint="eastAsia" w:ascii="宋体" w:hAnsi="宋体" w:eastAsia="宋体" w:cs="宋体"/>
          <w:b/>
          <w:color w:val="auto"/>
          <w:sz w:val="21"/>
          <w:highlight w:val="none"/>
        </w:rPr>
      </w:pPr>
    </w:p>
    <w:p w14:paraId="31FAD2A4">
      <w:pPr>
        <w:snapToGrid w:val="0"/>
        <w:spacing w:line="360" w:lineRule="auto"/>
        <w:rPr>
          <w:rFonts w:hint="eastAsia" w:ascii="宋体" w:hAnsi="宋体" w:eastAsia="宋体" w:cs="宋体"/>
          <w:b/>
          <w:color w:val="auto"/>
          <w:sz w:val="21"/>
          <w:highlight w:val="none"/>
        </w:rPr>
      </w:pPr>
    </w:p>
    <w:p w14:paraId="532219D3">
      <w:pPr>
        <w:snapToGrid w:val="0"/>
        <w:spacing w:line="360" w:lineRule="auto"/>
        <w:rPr>
          <w:rFonts w:hint="eastAsia" w:ascii="宋体" w:hAnsi="宋体" w:eastAsia="宋体" w:cs="宋体"/>
          <w:b/>
          <w:color w:val="auto"/>
          <w:sz w:val="21"/>
          <w:highlight w:val="none"/>
        </w:rPr>
      </w:pPr>
    </w:p>
    <w:p w14:paraId="5962DCAC">
      <w:pPr>
        <w:snapToGrid w:val="0"/>
        <w:spacing w:line="360" w:lineRule="auto"/>
        <w:rPr>
          <w:rFonts w:hint="eastAsia" w:ascii="宋体" w:hAnsi="宋体" w:eastAsia="宋体" w:cs="宋体"/>
          <w:b/>
          <w:color w:val="auto"/>
          <w:sz w:val="21"/>
          <w:highlight w:val="none"/>
        </w:rPr>
      </w:pPr>
    </w:p>
    <w:p w14:paraId="6BD6B82A">
      <w:pPr>
        <w:snapToGrid w:val="0"/>
        <w:spacing w:line="360" w:lineRule="auto"/>
        <w:rPr>
          <w:rFonts w:hint="eastAsia" w:ascii="宋体" w:hAnsi="宋体" w:eastAsia="宋体" w:cs="宋体"/>
          <w:b/>
          <w:color w:val="auto"/>
          <w:sz w:val="21"/>
          <w:highlight w:val="none"/>
        </w:rPr>
      </w:pPr>
    </w:p>
    <w:p w14:paraId="7D927ACC">
      <w:pPr>
        <w:snapToGrid w:val="0"/>
        <w:spacing w:line="360" w:lineRule="auto"/>
        <w:rPr>
          <w:rFonts w:hint="eastAsia" w:ascii="宋体" w:hAnsi="宋体" w:eastAsia="宋体" w:cs="宋体"/>
          <w:b/>
          <w:color w:val="auto"/>
          <w:sz w:val="21"/>
          <w:highlight w:val="none"/>
        </w:rPr>
      </w:pPr>
    </w:p>
    <w:p w14:paraId="619B959D">
      <w:pPr>
        <w:pStyle w:val="5"/>
        <w:numPr>
          <w:ilvl w:val="0"/>
          <w:numId w:val="0"/>
        </w:numPr>
        <w:tabs>
          <w:tab w:val="clear" w:pos="600"/>
        </w:tabs>
        <w:ind w:left="240" w:firstLine="0"/>
        <w:jc w:val="center"/>
        <w:rPr>
          <w:rFonts w:hint="eastAsia" w:ascii="宋体" w:hAnsi="宋体" w:eastAsia="宋体" w:cs="宋体"/>
          <w:b w:val="0"/>
          <w:color w:val="auto"/>
          <w:sz w:val="44"/>
          <w:highlight w:val="none"/>
        </w:rPr>
      </w:pPr>
      <w:bookmarkStart w:id="145" w:name="_Toc7637"/>
      <w:bookmarkStart w:id="146" w:name="_Toc20034"/>
      <w:bookmarkStart w:id="147" w:name="_Toc9669"/>
      <w:bookmarkStart w:id="148" w:name="_Toc18894"/>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145"/>
      <w:bookmarkEnd w:id="146"/>
      <w:bookmarkEnd w:id="147"/>
      <w:bookmarkEnd w:id="148"/>
    </w:p>
    <w:p w14:paraId="28E3ABE7">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highlight w:val="none"/>
        </w:rPr>
        <w:br w:type="page"/>
      </w:r>
    </w:p>
    <w:p w14:paraId="3BF740D9">
      <w:pPr>
        <w:adjustRightInd w:val="0"/>
        <w:spacing w:line="360" w:lineRule="auto"/>
        <w:jc w:val="center"/>
        <w:rPr>
          <w:rFonts w:hint="default" w:ascii="Times New Roman" w:hAnsi="Times New Roman" w:eastAsia="方正仿宋_GBK" w:cs="Times New Roman"/>
          <w:b/>
          <w:color w:val="000000"/>
          <w:kern w:val="0"/>
          <w:sz w:val="36"/>
          <w:szCs w:val="36"/>
          <w:highlight w:val="none"/>
        </w:rPr>
      </w:pPr>
      <w:bookmarkStart w:id="149" w:name="_Toc8251"/>
      <w:bookmarkStart w:id="150" w:name="_Toc505868077"/>
      <w:bookmarkStart w:id="151" w:name="_Toc4841"/>
      <w:bookmarkStart w:id="152" w:name="_Toc18089"/>
      <w:bookmarkStart w:id="153" w:name="_Toc19202_WPSOffice_Level1"/>
      <w:bookmarkStart w:id="154" w:name="_Toc23599"/>
      <w:bookmarkStart w:id="155" w:name="_Toc7481_WPSOffice_Level1"/>
      <w:bookmarkStart w:id="156" w:name="_Toc31941"/>
      <w:bookmarkStart w:id="157" w:name="_Toc7750"/>
      <w:bookmarkStart w:id="158" w:name="_Toc31947"/>
      <w:bookmarkStart w:id="159" w:name="_Toc9890"/>
      <w:bookmarkStart w:id="160" w:name="_Toc3892"/>
      <w:r>
        <w:rPr>
          <w:rFonts w:hint="eastAsia" w:ascii="宋体" w:hAnsi="宋体" w:eastAsia="宋体" w:cs="宋体"/>
          <w:color w:val="auto"/>
          <w:highlight w:val="none"/>
        </w:rPr>
        <w:br w:type="page"/>
      </w:r>
      <w:r>
        <w:rPr>
          <w:rFonts w:hint="eastAsia" w:ascii="Times New Roman" w:hAnsi="Times New Roman" w:eastAsia="方正仿宋_GBK" w:cs="Times New Roman"/>
          <w:b/>
          <w:color w:val="000000"/>
          <w:kern w:val="0"/>
          <w:sz w:val="36"/>
          <w:szCs w:val="36"/>
          <w:highlight w:val="none"/>
          <w:lang w:val="en-US" w:eastAsia="zh-CN"/>
        </w:rPr>
        <w:t>2026年度</w:t>
      </w:r>
      <w:r>
        <w:rPr>
          <w:rFonts w:hint="default" w:ascii="Times New Roman" w:hAnsi="Times New Roman" w:eastAsia="方正仿宋_GBK" w:cs="Times New Roman"/>
          <w:b/>
          <w:color w:val="000000"/>
          <w:kern w:val="0"/>
          <w:sz w:val="36"/>
          <w:szCs w:val="36"/>
          <w:highlight w:val="none"/>
        </w:rPr>
        <w:t>供配电设施设备</w:t>
      </w:r>
    </w:p>
    <w:p w14:paraId="03B65B37">
      <w:pPr>
        <w:adjustRightInd w:val="0"/>
        <w:spacing w:line="360" w:lineRule="auto"/>
        <w:jc w:val="center"/>
        <w:rPr>
          <w:rFonts w:hint="default" w:ascii="Times New Roman" w:hAnsi="Times New Roman" w:eastAsia="方正仿宋_GBK" w:cs="Times New Roman"/>
          <w:b/>
          <w:color w:val="000000"/>
          <w:kern w:val="0"/>
          <w:sz w:val="36"/>
          <w:szCs w:val="36"/>
          <w:highlight w:val="none"/>
        </w:rPr>
      </w:pPr>
      <w:r>
        <w:rPr>
          <w:rFonts w:hint="default" w:ascii="Times New Roman" w:hAnsi="Times New Roman" w:eastAsia="方正仿宋_GBK" w:cs="Times New Roman"/>
          <w:b/>
          <w:color w:val="000000"/>
          <w:kern w:val="0"/>
          <w:sz w:val="36"/>
          <w:szCs w:val="36"/>
          <w:highlight w:val="none"/>
        </w:rPr>
        <w:t>维修保养服务合同</w:t>
      </w:r>
    </w:p>
    <w:p w14:paraId="781035D6">
      <w:pPr>
        <w:adjustRightInd w:val="0"/>
        <w:spacing w:line="600" w:lineRule="exact"/>
        <w:jc w:val="center"/>
        <w:rPr>
          <w:rFonts w:hint="default" w:ascii="Times New Roman" w:hAnsi="Times New Roman" w:eastAsia="方正仿宋_GBK" w:cs="Times New Roman"/>
          <w:b/>
          <w:color w:val="000000"/>
          <w:sz w:val="24"/>
          <w:highlight w:val="none"/>
        </w:rPr>
      </w:pPr>
      <w:r>
        <w:rPr>
          <w:rFonts w:hint="default" w:ascii="Times New Roman" w:hAnsi="Times New Roman" w:eastAsia="方正仿宋_GBK" w:cs="Times New Roman"/>
          <w:b/>
          <w:color w:val="000000"/>
          <w:sz w:val="32"/>
          <w:szCs w:val="32"/>
          <w:highlight w:val="none"/>
        </w:rPr>
        <w:t xml:space="preserve">            </w:t>
      </w:r>
      <w:r>
        <w:rPr>
          <w:rFonts w:hint="eastAsia" w:ascii="Times New Roman" w:hAnsi="Times New Roman" w:eastAsia="方正仿宋_GBK" w:cs="Times New Roman"/>
          <w:b/>
          <w:color w:val="000000"/>
          <w:sz w:val="32"/>
          <w:szCs w:val="32"/>
          <w:highlight w:val="none"/>
          <w:lang w:val="en-US" w:eastAsia="zh-CN"/>
        </w:rPr>
        <w:t xml:space="preserve">                   </w:t>
      </w:r>
      <w:r>
        <w:rPr>
          <w:rFonts w:hint="default" w:ascii="Times New Roman" w:hAnsi="Times New Roman" w:eastAsia="方正仿宋_GBK" w:cs="Times New Roman"/>
          <w:b/>
          <w:color w:val="000000"/>
          <w:sz w:val="32"/>
          <w:szCs w:val="32"/>
          <w:highlight w:val="none"/>
        </w:rPr>
        <w:t xml:space="preserve">   </w:t>
      </w:r>
      <w:r>
        <w:rPr>
          <w:rFonts w:eastAsia="方正仿宋_GBK"/>
          <w:sz w:val="28"/>
          <w:szCs w:val="28"/>
          <w:highlight w:val="none"/>
        </w:rPr>
        <w:t>【合同编号：</w:t>
      </w:r>
      <w:r>
        <w:rPr>
          <w:rFonts w:eastAsia="方正仿宋_GBK"/>
          <w:sz w:val="28"/>
          <w:szCs w:val="28"/>
          <w:highlight w:val="none"/>
          <w:u w:val="single"/>
        </w:rPr>
        <w:t xml:space="preserve">            </w:t>
      </w:r>
      <w:r>
        <w:rPr>
          <w:rFonts w:eastAsia="方正仿宋_GBK"/>
          <w:sz w:val="28"/>
          <w:szCs w:val="28"/>
          <w:highlight w:val="none"/>
        </w:rPr>
        <w:t>】</w:t>
      </w:r>
      <w:r>
        <w:rPr>
          <w:rFonts w:hint="default" w:ascii="Times New Roman" w:hAnsi="Times New Roman" w:eastAsia="方正仿宋_GBK" w:cs="Times New Roman"/>
          <w:b/>
          <w:color w:val="000000"/>
          <w:sz w:val="32"/>
          <w:szCs w:val="32"/>
          <w:highlight w:val="none"/>
        </w:rPr>
        <w:t xml:space="preserve">                 </w:t>
      </w:r>
    </w:p>
    <w:p w14:paraId="0DEFB3DF">
      <w:pPr>
        <w:adjustRightInd w:val="0"/>
        <w:spacing w:line="6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委托方（以下简称甲方）：</w:t>
      </w:r>
      <w:r>
        <w:rPr>
          <w:rFonts w:hint="default" w:ascii="Times New Roman" w:hAnsi="Times New Roman" w:eastAsia="方正仿宋_GBK" w:cs="Times New Roman"/>
          <w:color w:val="000000"/>
          <w:kern w:val="0"/>
          <w:sz w:val="28"/>
          <w:szCs w:val="28"/>
          <w:highlight w:val="none"/>
          <w:u w:val="single"/>
        </w:rPr>
        <w:t xml:space="preserve"> </w:t>
      </w:r>
      <w:r>
        <w:rPr>
          <w:rFonts w:hint="eastAsia" w:ascii="Times New Roman" w:hAnsi="Times New Roman" w:eastAsia="方正仿宋_GBK" w:cs="Times New Roman"/>
          <w:color w:val="000000"/>
          <w:kern w:val="0"/>
          <w:sz w:val="28"/>
          <w:szCs w:val="28"/>
          <w:highlight w:val="none"/>
          <w:u w:val="single"/>
          <w:lang w:eastAsia="zh-CN"/>
        </w:rPr>
        <w:t>重庆通邑卫士智慧生活服务有限公司</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 xml:space="preserve">  </w:t>
      </w:r>
    </w:p>
    <w:p w14:paraId="2C36333F">
      <w:pPr>
        <w:adjustRightInd w:val="0"/>
        <w:spacing w:line="6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地址：</w:t>
      </w:r>
      <w:r>
        <w:rPr>
          <w:rFonts w:hint="default" w:ascii="Times New Roman" w:hAnsi="Times New Roman" w:eastAsia="方正仿宋_GBK" w:cs="Times New Roman"/>
          <w:color w:val="000000"/>
          <w:kern w:val="0"/>
          <w:sz w:val="28"/>
          <w:szCs w:val="28"/>
          <w:highlight w:val="none"/>
          <w:u w:val="single"/>
        </w:rPr>
        <w:t xml:space="preserve"> 重庆市南岸区腾龙大道58号附25号           </w:t>
      </w:r>
      <w:r>
        <w:rPr>
          <w:rFonts w:hint="default" w:ascii="Times New Roman" w:hAnsi="Times New Roman" w:eastAsia="方正仿宋_GBK" w:cs="Times New Roman"/>
          <w:color w:val="000000"/>
          <w:sz w:val="28"/>
          <w:szCs w:val="28"/>
          <w:highlight w:val="none"/>
        </w:rPr>
        <w:t xml:space="preserve">                                      </w:t>
      </w:r>
    </w:p>
    <w:p w14:paraId="30D279A1">
      <w:pPr>
        <w:adjustRightInd w:val="0"/>
        <w:spacing w:line="600" w:lineRule="exact"/>
        <w:jc w:val="left"/>
        <w:rPr>
          <w:rFonts w:hint="default" w:ascii="Times New Roman" w:hAnsi="Times New Roman" w:eastAsia="方正仿宋_GBK" w:cs="Times New Roman"/>
          <w:color w:val="000000"/>
          <w:kern w:val="0"/>
          <w:sz w:val="28"/>
          <w:szCs w:val="28"/>
          <w:highlight w:val="none"/>
        </w:rPr>
      </w:pPr>
    </w:p>
    <w:p w14:paraId="5E40C819">
      <w:pPr>
        <w:adjustRightInd w:val="0"/>
        <w:spacing w:line="600" w:lineRule="exact"/>
        <w:jc w:val="left"/>
        <w:rPr>
          <w:rFonts w:hint="default" w:ascii="Times New Roman" w:hAnsi="Times New Roman" w:eastAsia="方正仿宋_GBK" w:cs="Times New Roman"/>
          <w:color w:val="000000"/>
          <w:kern w:val="0"/>
          <w:sz w:val="28"/>
          <w:szCs w:val="28"/>
          <w:highlight w:val="none"/>
          <w:u w:val="single"/>
        </w:rPr>
      </w:pPr>
      <w:r>
        <w:rPr>
          <w:rFonts w:hint="default" w:ascii="Times New Roman" w:hAnsi="Times New Roman" w:eastAsia="方正仿宋_GBK" w:cs="Times New Roman"/>
          <w:color w:val="000000"/>
          <w:kern w:val="0"/>
          <w:sz w:val="28"/>
          <w:szCs w:val="28"/>
          <w:highlight w:val="none"/>
        </w:rPr>
        <w:t>承包方（以下简称乙方）：</w:t>
      </w:r>
      <w:r>
        <w:rPr>
          <w:rFonts w:hint="default" w:ascii="Times New Roman" w:hAnsi="Times New Roman" w:eastAsia="方正仿宋_GBK" w:cs="Times New Roman"/>
          <w:color w:val="000000"/>
          <w:kern w:val="0"/>
          <w:sz w:val="28"/>
          <w:szCs w:val="28"/>
          <w:highlight w:val="none"/>
          <w:u w:val="single"/>
        </w:rPr>
        <w:t xml:space="preserve">                           </w:t>
      </w:r>
    </w:p>
    <w:p w14:paraId="203250E6">
      <w:pPr>
        <w:adjustRightInd w:val="0"/>
        <w:spacing w:line="600" w:lineRule="exact"/>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地址：</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 xml:space="preserve">                            </w:t>
      </w:r>
    </w:p>
    <w:p w14:paraId="2CA6050D">
      <w:pPr>
        <w:adjustRightInd w:val="0"/>
        <w:spacing w:line="600" w:lineRule="exact"/>
        <w:rPr>
          <w:rFonts w:hint="default" w:ascii="Times New Roman" w:hAnsi="Times New Roman" w:eastAsia="方正仿宋_GBK" w:cs="Times New Roman"/>
          <w:color w:val="000000"/>
          <w:sz w:val="28"/>
          <w:szCs w:val="28"/>
          <w:highlight w:val="none"/>
          <w:u w:val="single"/>
        </w:rPr>
      </w:pPr>
    </w:p>
    <w:p w14:paraId="17EF3846">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依照</w:t>
      </w:r>
      <w:r>
        <w:rPr>
          <w:rFonts w:hint="eastAsia" w:ascii="Times New Roman" w:hAnsi="Times New Roman" w:eastAsia="方正仿宋_GBK" w:cs="Times New Roman"/>
          <w:color w:val="000000"/>
          <w:kern w:val="0"/>
          <w:sz w:val="28"/>
          <w:szCs w:val="28"/>
          <w:highlight w:val="none"/>
          <w:lang w:eastAsia="zh-CN"/>
        </w:rPr>
        <w:t>《</w:t>
      </w:r>
      <w:r>
        <w:rPr>
          <w:rFonts w:hint="default" w:ascii="Times New Roman" w:hAnsi="Times New Roman" w:eastAsia="方正仿宋_GBK" w:cs="Times New Roman"/>
          <w:color w:val="000000"/>
          <w:kern w:val="0"/>
          <w:sz w:val="28"/>
          <w:szCs w:val="28"/>
          <w:highlight w:val="none"/>
        </w:rPr>
        <w:t>中华人民共和国民法典</w:t>
      </w:r>
      <w:r>
        <w:rPr>
          <w:rFonts w:hint="eastAsia" w:ascii="Times New Roman" w:hAnsi="Times New Roman" w:eastAsia="方正仿宋_GBK" w:cs="Times New Roman"/>
          <w:color w:val="000000"/>
          <w:kern w:val="0"/>
          <w:sz w:val="28"/>
          <w:szCs w:val="28"/>
          <w:highlight w:val="none"/>
          <w:lang w:eastAsia="zh-CN"/>
        </w:rPr>
        <w:t>》</w:t>
      </w:r>
      <w:r>
        <w:rPr>
          <w:rFonts w:hint="default" w:ascii="Times New Roman" w:hAnsi="Times New Roman" w:eastAsia="方正仿宋_GBK" w:cs="Times New Roman"/>
          <w:color w:val="000000"/>
          <w:kern w:val="0"/>
          <w:sz w:val="28"/>
          <w:szCs w:val="28"/>
          <w:highlight w:val="none"/>
        </w:rPr>
        <w:t>及有关法律，在双方平等、自愿、协商一致的基础上，就甲方供配电设备设施维修保养服务有关事宜，达成以下协议，以兹双方共同遵守。</w:t>
      </w:r>
    </w:p>
    <w:p w14:paraId="23E308E4">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第一条  维护保养项目与合同期</w:t>
      </w:r>
    </w:p>
    <w:p w14:paraId="143E6B3E">
      <w:pPr>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u w:val="single"/>
        </w:rPr>
      </w:pPr>
      <w:r>
        <w:rPr>
          <w:rFonts w:hint="default" w:ascii="Times New Roman" w:hAnsi="Times New Roman" w:eastAsia="方正仿宋_GBK" w:cs="Times New Roman"/>
          <w:bCs/>
          <w:color w:val="000000"/>
          <w:kern w:val="0"/>
          <w:sz w:val="28"/>
          <w:szCs w:val="28"/>
          <w:highlight w:val="none"/>
        </w:rPr>
        <w:t xml:space="preserve">（一）工程项目地址： </w:t>
      </w:r>
      <w:r>
        <w:rPr>
          <w:rFonts w:hint="default" w:ascii="Times New Roman" w:hAnsi="Times New Roman" w:eastAsia="方正仿宋_GBK" w:cs="Times New Roman"/>
          <w:bCs/>
          <w:color w:val="000000"/>
          <w:kern w:val="0"/>
          <w:sz w:val="28"/>
          <w:szCs w:val="28"/>
          <w:highlight w:val="none"/>
          <w:u w:val="single"/>
        </w:rPr>
        <w:t>腾黄路公交站场、康庄公交枢纽站、</w:t>
      </w:r>
      <w:r>
        <w:rPr>
          <w:rFonts w:hint="eastAsia" w:ascii="Times New Roman" w:hAnsi="Times New Roman" w:eastAsia="方正仿宋_GBK" w:cs="Times New Roman"/>
          <w:bCs/>
          <w:color w:val="000000"/>
          <w:kern w:val="0"/>
          <w:sz w:val="28"/>
          <w:szCs w:val="28"/>
          <w:highlight w:val="none"/>
          <w:u w:val="single"/>
          <w:lang w:eastAsia="zh-CN"/>
        </w:rPr>
        <w:t>沙坪坝铁路枢纽社会停车场</w:t>
      </w:r>
      <w:r>
        <w:rPr>
          <w:rFonts w:hint="default" w:ascii="Times New Roman" w:hAnsi="Times New Roman" w:eastAsia="方正仿宋_GBK" w:cs="Times New Roman"/>
          <w:bCs/>
          <w:color w:val="000000"/>
          <w:kern w:val="0"/>
          <w:sz w:val="28"/>
          <w:szCs w:val="28"/>
          <w:highlight w:val="none"/>
          <w:u w:val="single"/>
        </w:rPr>
        <w:t>、盛德路公交站场、重庆西站场、白鹤公交站场、陈庹路公交站场及</w:t>
      </w:r>
      <w:r>
        <w:rPr>
          <w:rFonts w:hint="default" w:ascii="Times New Roman" w:hAnsi="Times New Roman" w:eastAsia="方正仿宋_GBK" w:cs="Times New Roman"/>
          <w:bCs/>
          <w:color w:val="000000"/>
          <w:kern w:val="0"/>
          <w:sz w:val="28"/>
          <w:szCs w:val="28"/>
          <w:highlight w:val="none"/>
          <w:u w:val="single"/>
          <w:lang w:eastAsia="zh-CN"/>
        </w:rPr>
        <w:t>重庆市交通运输委员会</w:t>
      </w:r>
      <w:r>
        <w:rPr>
          <w:rFonts w:hint="default" w:ascii="Times New Roman" w:hAnsi="Times New Roman" w:eastAsia="方正仿宋_GBK" w:cs="Times New Roman"/>
          <w:bCs/>
          <w:color w:val="000000"/>
          <w:kern w:val="0"/>
          <w:sz w:val="28"/>
          <w:szCs w:val="28"/>
          <w:highlight w:val="none"/>
          <w:u w:val="single"/>
        </w:rPr>
        <w:t>。</w:t>
      </w:r>
    </w:p>
    <w:p w14:paraId="18AAA6AA">
      <w:pPr>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bCs/>
          <w:color w:val="000000"/>
          <w:kern w:val="0"/>
          <w:sz w:val="28"/>
          <w:szCs w:val="28"/>
          <w:highlight w:val="none"/>
        </w:rPr>
        <w:t>（二）服务期限</w:t>
      </w:r>
    </w:p>
    <w:p w14:paraId="694D61D0">
      <w:pPr>
        <w:adjustRightInd w:val="0"/>
        <w:spacing w:line="600" w:lineRule="exact"/>
        <w:ind w:firstLine="560" w:firstLineChars="200"/>
        <w:rPr>
          <w:rFonts w:eastAsia="方正仿宋_GBK"/>
          <w:bCs/>
          <w:kern w:val="0"/>
          <w:sz w:val="28"/>
          <w:szCs w:val="28"/>
          <w:highlight w:val="none"/>
        </w:rPr>
      </w:pPr>
      <w:r>
        <w:rPr>
          <w:rFonts w:hint="default" w:ascii="Times New Roman" w:hAnsi="Times New Roman" w:eastAsia="方正仿宋_GBK" w:cs="Times New Roman"/>
          <w:bCs/>
          <w:color w:val="000000"/>
          <w:kern w:val="0"/>
          <w:sz w:val="28"/>
          <w:szCs w:val="28"/>
          <w:highlight w:val="none"/>
        </w:rPr>
        <w:t>1合同期限为</w:t>
      </w:r>
      <w:r>
        <w:rPr>
          <w:rFonts w:hint="default" w:ascii="Times New Roman" w:hAnsi="Times New Roman" w:eastAsia="方正仿宋_GBK" w:cs="Times New Roman"/>
          <w:bCs/>
          <w:color w:val="000000"/>
          <w:kern w:val="0"/>
          <w:sz w:val="28"/>
          <w:szCs w:val="28"/>
          <w:highlight w:val="none"/>
          <w:u w:val="single"/>
        </w:rPr>
        <w:t>12</w:t>
      </w:r>
      <w:r>
        <w:rPr>
          <w:rFonts w:hint="default" w:ascii="Times New Roman" w:hAnsi="Times New Roman" w:eastAsia="方正仿宋_GBK" w:cs="Times New Roman"/>
          <w:bCs/>
          <w:color w:val="000000"/>
          <w:kern w:val="0"/>
          <w:sz w:val="28"/>
          <w:szCs w:val="28"/>
          <w:highlight w:val="none"/>
        </w:rPr>
        <w:t xml:space="preserve">个月，自 </w:t>
      </w:r>
      <w:r>
        <w:rPr>
          <w:rFonts w:hint="default" w:ascii="Times New Roman" w:hAnsi="Times New Roman" w:eastAsia="方正仿宋_GBK" w:cs="Times New Roman"/>
          <w:bCs/>
          <w:color w:val="000000"/>
          <w:kern w:val="0"/>
          <w:sz w:val="28"/>
          <w:szCs w:val="28"/>
          <w:highlight w:val="none"/>
          <w:u w:val="single"/>
        </w:rPr>
        <w:t>202</w:t>
      </w:r>
      <w:r>
        <w:rPr>
          <w:rFonts w:hint="eastAsia" w:ascii="Times New Roman" w:hAnsi="Times New Roman" w:eastAsia="方正仿宋_GBK" w:cs="Times New Roman"/>
          <w:bCs/>
          <w:color w:val="000000"/>
          <w:kern w:val="0"/>
          <w:sz w:val="28"/>
          <w:szCs w:val="28"/>
          <w:highlight w:val="none"/>
          <w:u w:val="single"/>
          <w:lang w:val="en-US" w:eastAsia="zh-CN"/>
        </w:rPr>
        <w:t>6</w:t>
      </w:r>
      <w:r>
        <w:rPr>
          <w:rFonts w:hint="default" w:ascii="Times New Roman" w:hAnsi="Times New Roman" w:eastAsia="方正仿宋_GBK" w:cs="Times New Roman"/>
          <w:bCs/>
          <w:color w:val="000000"/>
          <w:kern w:val="0"/>
          <w:sz w:val="28"/>
          <w:szCs w:val="28"/>
          <w:highlight w:val="none"/>
        </w:rPr>
        <w:t>年</w:t>
      </w:r>
      <w:r>
        <w:rPr>
          <w:rFonts w:hint="default" w:ascii="Times New Roman" w:hAnsi="Times New Roman" w:eastAsia="方正仿宋_GBK" w:cs="Times New Roman"/>
          <w:bCs/>
          <w:color w:val="000000"/>
          <w:kern w:val="0"/>
          <w:sz w:val="28"/>
          <w:szCs w:val="28"/>
          <w:highlight w:val="none"/>
          <w:u w:val="single"/>
        </w:rPr>
        <w:t>1</w:t>
      </w:r>
      <w:r>
        <w:rPr>
          <w:rFonts w:hint="default" w:ascii="Times New Roman" w:hAnsi="Times New Roman" w:eastAsia="方正仿宋_GBK" w:cs="Times New Roman"/>
          <w:bCs/>
          <w:color w:val="000000"/>
          <w:kern w:val="0"/>
          <w:sz w:val="28"/>
          <w:szCs w:val="28"/>
          <w:highlight w:val="none"/>
        </w:rPr>
        <w:t>月</w:t>
      </w:r>
      <w:r>
        <w:rPr>
          <w:rFonts w:hint="default" w:ascii="Times New Roman" w:hAnsi="Times New Roman" w:eastAsia="方正仿宋_GBK" w:cs="Times New Roman"/>
          <w:bCs/>
          <w:color w:val="000000"/>
          <w:kern w:val="0"/>
          <w:sz w:val="28"/>
          <w:szCs w:val="28"/>
          <w:highlight w:val="none"/>
          <w:u w:val="single"/>
        </w:rPr>
        <w:t>1</w:t>
      </w:r>
      <w:r>
        <w:rPr>
          <w:rFonts w:hint="default" w:ascii="Times New Roman" w:hAnsi="Times New Roman" w:eastAsia="方正仿宋_GBK" w:cs="Times New Roman"/>
          <w:bCs/>
          <w:color w:val="000000"/>
          <w:kern w:val="0"/>
          <w:sz w:val="28"/>
          <w:szCs w:val="28"/>
          <w:highlight w:val="none"/>
        </w:rPr>
        <w:t>日起至</w:t>
      </w:r>
      <w:r>
        <w:rPr>
          <w:rFonts w:hint="default" w:ascii="Times New Roman" w:hAnsi="Times New Roman" w:eastAsia="方正仿宋_GBK" w:cs="Times New Roman"/>
          <w:bCs/>
          <w:color w:val="000000"/>
          <w:kern w:val="0"/>
          <w:sz w:val="28"/>
          <w:szCs w:val="28"/>
          <w:highlight w:val="none"/>
          <w:u w:val="single"/>
        </w:rPr>
        <w:t>202</w:t>
      </w:r>
      <w:r>
        <w:rPr>
          <w:rFonts w:hint="eastAsia" w:ascii="Times New Roman" w:hAnsi="Times New Roman" w:eastAsia="方正仿宋_GBK" w:cs="Times New Roman"/>
          <w:bCs/>
          <w:color w:val="000000"/>
          <w:kern w:val="0"/>
          <w:sz w:val="28"/>
          <w:szCs w:val="28"/>
          <w:highlight w:val="none"/>
          <w:u w:val="single"/>
          <w:lang w:val="en-US" w:eastAsia="zh-CN"/>
        </w:rPr>
        <w:t>6</w:t>
      </w:r>
      <w:r>
        <w:rPr>
          <w:rFonts w:hint="default" w:ascii="Times New Roman" w:hAnsi="Times New Roman" w:eastAsia="方正仿宋_GBK" w:cs="Times New Roman"/>
          <w:bCs/>
          <w:color w:val="000000"/>
          <w:kern w:val="0"/>
          <w:sz w:val="28"/>
          <w:szCs w:val="28"/>
          <w:highlight w:val="none"/>
        </w:rPr>
        <w:t>年</w:t>
      </w:r>
      <w:r>
        <w:rPr>
          <w:rFonts w:hint="default" w:ascii="Times New Roman" w:hAnsi="Times New Roman" w:eastAsia="方正仿宋_GBK" w:cs="Times New Roman"/>
          <w:bCs/>
          <w:color w:val="000000"/>
          <w:kern w:val="0"/>
          <w:sz w:val="28"/>
          <w:szCs w:val="28"/>
          <w:highlight w:val="none"/>
          <w:u w:val="single"/>
        </w:rPr>
        <w:t>12</w:t>
      </w:r>
      <w:r>
        <w:rPr>
          <w:rFonts w:hint="default" w:ascii="Times New Roman" w:hAnsi="Times New Roman" w:eastAsia="方正仿宋_GBK" w:cs="Times New Roman"/>
          <w:bCs/>
          <w:color w:val="000000"/>
          <w:kern w:val="0"/>
          <w:sz w:val="28"/>
          <w:szCs w:val="28"/>
          <w:highlight w:val="none"/>
        </w:rPr>
        <w:t>月</w:t>
      </w:r>
      <w:r>
        <w:rPr>
          <w:rFonts w:hint="default" w:ascii="Times New Roman" w:hAnsi="Times New Roman" w:eastAsia="方正仿宋_GBK" w:cs="Times New Roman"/>
          <w:bCs/>
          <w:color w:val="000000"/>
          <w:kern w:val="0"/>
          <w:sz w:val="28"/>
          <w:szCs w:val="28"/>
          <w:highlight w:val="none"/>
          <w:u w:val="single"/>
        </w:rPr>
        <w:t>31</w:t>
      </w:r>
      <w:r>
        <w:rPr>
          <w:rFonts w:hint="default" w:ascii="Times New Roman" w:hAnsi="Times New Roman" w:eastAsia="方正仿宋_GBK" w:cs="Times New Roman"/>
          <w:bCs/>
          <w:color w:val="000000"/>
          <w:kern w:val="0"/>
          <w:sz w:val="28"/>
          <w:szCs w:val="28"/>
          <w:highlight w:val="none"/>
        </w:rPr>
        <w:t>日止。</w:t>
      </w:r>
      <w:r>
        <w:rPr>
          <w:rFonts w:eastAsia="方正仿宋_GBK"/>
          <w:bCs/>
          <w:kern w:val="0"/>
          <w:sz w:val="28"/>
          <w:szCs w:val="28"/>
          <w:highlight w:val="none"/>
        </w:rPr>
        <w:t>首年合同到期后，经评审合格可续签合同，续签期限为</w:t>
      </w:r>
      <w:r>
        <w:rPr>
          <w:rFonts w:hint="eastAsia" w:eastAsia="方正仿宋_GBK"/>
          <w:bCs/>
          <w:kern w:val="0"/>
          <w:sz w:val="28"/>
          <w:szCs w:val="28"/>
          <w:highlight w:val="none"/>
          <w:u w:val="single"/>
        </w:rPr>
        <w:t>壹</w:t>
      </w:r>
      <w:r>
        <w:rPr>
          <w:rFonts w:eastAsia="方正仿宋_GBK"/>
          <w:bCs/>
          <w:kern w:val="0"/>
          <w:sz w:val="28"/>
          <w:szCs w:val="28"/>
          <w:highlight w:val="none"/>
        </w:rPr>
        <w:t>年</w:t>
      </w:r>
      <w:r>
        <w:rPr>
          <w:rFonts w:hint="eastAsia" w:eastAsia="方正仿宋_GBK"/>
          <w:bCs/>
          <w:kern w:val="0"/>
          <w:sz w:val="28"/>
          <w:szCs w:val="28"/>
          <w:highlight w:val="none"/>
        </w:rPr>
        <w:t>。</w:t>
      </w:r>
    </w:p>
    <w:p w14:paraId="7CAAE75A">
      <w:pPr>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bCs/>
          <w:color w:val="000000"/>
          <w:kern w:val="0"/>
          <w:sz w:val="28"/>
          <w:szCs w:val="28"/>
          <w:highlight w:val="none"/>
          <w:lang w:val="en-US" w:eastAsia="zh-CN"/>
        </w:rPr>
        <w:t>2</w:t>
      </w:r>
      <w:r>
        <w:rPr>
          <w:rFonts w:hint="default" w:ascii="Times New Roman" w:hAnsi="Times New Roman" w:eastAsia="方正仿宋_GBK" w:cs="Times New Roman"/>
          <w:bCs/>
          <w:color w:val="000000"/>
          <w:kern w:val="0"/>
          <w:sz w:val="28"/>
          <w:szCs w:val="28"/>
          <w:highlight w:val="none"/>
        </w:rPr>
        <w:t>.</w:t>
      </w:r>
      <w:r>
        <w:rPr>
          <w:rFonts w:eastAsia="方正仿宋_GBK"/>
          <w:bCs/>
          <w:kern w:val="0"/>
          <w:sz w:val="28"/>
          <w:szCs w:val="28"/>
          <w:highlight w:val="none"/>
        </w:rPr>
        <w:t>项目具体进场时间以我司书面进场通知函为准并按该时间作为服务费用起算时间。</w:t>
      </w:r>
      <w:r>
        <w:rPr>
          <w:rFonts w:hint="eastAsia" w:eastAsia="方正仿宋_GBK"/>
          <w:sz w:val="28"/>
          <w:szCs w:val="28"/>
          <w:highlight w:val="none"/>
        </w:rPr>
        <w:t>合同期内，如业主方与</w:t>
      </w:r>
      <w:r>
        <w:rPr>
          <w:rFonts w:hint="eastAsia" w:eastAsia="方正仿宋_GBK"/>
          <w:sz w:val="28"/>
          <w:szCs w:val="28"/>
          <w:highlight w:val="none"/>
          <w:lang w:eastAsia="zh-CN"/>
        </w:rPr>
        <w:t>甲方</w:t>
      </w:r>
      <w:r>
        <w:rPr>
          <w:rFonts w:hint="eastAsia" w:eastAsia="方正仿宋_GBK"/>
          <w:sz w:val="28"/>
          <w:szCs w:val="28"/>
          <w:highlight w:val="none"/>
        </w:rPr>
        <w:t>合同提前终止，则本合同同步终止且甲方不承担违约责任</w:t>
      </w:r>
      <w:r>
        <w:rPr>
          <w:rFonts w:hint="eastAsia" w:eastAsia="方正仿宋_GBK"/>
          <w:bCs/>
          <w:kern w:val="0"/>
          <w:sz w:val="28"/>
          <w:szCs w:val="28"/>
          <w:highlight w:val="none"/>
        </w:rPr>
        <w:t>。</w:t>
      </w:r>
    </w:p>
    <w:p w14:paraId="7167AAB4">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baseline"/>
        <w:rPr>
          <w:rFonts w:ascii="Times New Roman" w:hAnsi="Times New Roman" w:eastAsia="方正仿宋_GBK" w:cs="Times New Roman"/>
          <w:bCs/>
          <w:kern w:val="0"/>
          <w:sz w:val="28"/>
          <w:szCs w:val="28"/>
          <w:highlight w:val="none"/>
          <w:lang w:val="en-US" w:eastAsia="zh-CN" w:bidi="ar-SA"/>
        </w:rPr>
      </w:pPr>
      <w:r>
        <w:rPr>
          <w:rFonts w:hint="eastAsia" w:ascii="Times New Roman" w:hAnsi="Times New Roman" w:eastAsia="方正仿宋_GBK" w:cs="Times New Roman"/>
          <w:bCs/>
          <w:kern w:val="0"/>
          <w:sz w:val="28"/>
          <w:szCs w:val="28"/>
          <w:highlight w:val="none"/>
          <w:lang w:val="en-US" w:eastAsia="zh-CN" w:bidi="ar-SA"/>
        </w:rPr>
        <w:t>3.</w:t>
      </w:r>
      <w:r>
        <w:rPr>
          <w:rFonts w:ascii="Times New Roman" w:hAnsi="Times New Roman" w:eastAsia="方正仿宋_GBK" w:cs="Times New Roman"/>
          <w:bCs/>
          <w:kern w:val="0"/>
          <w:sz w:val="28"/>
          <w:szCs w:val="28"/>
          <w:highlight w:val="none"/>
          <w:lang w:val="en-US" w:eastAsia="zh-CN" w:bidi="ar-SA"/>
        </w:rPr>
        <w:t>履约保证金</w:t>
      </w:r>
      <w:r>
        <w:rPr>
          <w:rFonts w:hint="eastAsia" w:ascii="Times New Roman" w:hAnsi="Times New Roman" w:eastAsia="方正仿宋_GBK" w:cs="Times New Roman"/>
          <w:bCs/>
          <w:kern w:val="0"/>
          <w:sz w:val="28"/>
          <w:szCs w:val="28"/>
          <w:highlight w:val="none"/>
          <w:lang w:val="en-US" w:eastAsia="zh-CN" w:bidi="ar-SA"/>
        </w:rPr>
        <w:t>金额：¥</w:t>
      </w:r>
      <w:r>
        <w:rPr>
          <w:rFonts w:hint="eastAsia" w:ascii="Times New Roman" w:hAnsi="Times New Roman" w:eastAsia="方正仿宋_GBK" w:cs="Times New Roman"/>
          <w:bCs/>
          <w:kern w:val="0"/>
          <w:sz w:val="28"/>
          <w:szCs w:val="28"/>
          <w:highlight w:val="none"/>
          <w:u w:val="single"/>
          <w:lang w:val="en-US" w:eastAsia="zh-CN" w:bidi="ar-SA"/>
        </w:rPr>
        <w:t xml:space="preserve">         </w:t>
      </w:r>
      <w:r>
        <w:rPr>
          <w:rFonts w:hint="eastAsia" w:ascii="Times New Roman" w:hAnsi="Times New Roman" w:eastAsia="方正仿宋_GBK" w:cs="Times New Roman"/>
          <w:bCs/>
          <w:kern w:val="0"/>
          <w:sz w:val="28"/>
          <w:szCs w:val="28"/>
          <w:highlight w:val="none"/>
          <w:lang w:val="en-US" w:eastAsia="zh-CN" w:bidi="ar-SA"/>
        </w:rPr>
        <w:t>元（大写：</w:t>
      </w:r>
      <w:r>
        <w:rPr>
          <w:rFonts w:hint="eastAsia" w:ascii="Times New Roman" w:hAnsi="Times New Roman" w:eastAsia="方正仿宋_GBK" w:cs="Times New Roman"/>
          <w:bCs/>
          <w:kern w:val="0"/>
          <w:sz w:val="28"/>
          <w:szCs w:val="28"/>
          <w:highlight w:val="none"/>
          <w:u w:val="single"/>
          <w:lang w:val="en-US" w:eastAsia="zh-CN" w:bidi="ar-SA"/>
        </w:rPr>
        <w:t xml:space="preserve">         </w:t>
      </w:r>
      <w:r>
        <w:rPr>
          <w:rFonts w:hint="eastAsia" w:ascii="Times New Roman" w:hAnsi="Times New Roman" w:eastAsia="方正仿宋_GBK" w:cs="Times New Roman"/>
          <w:bCs/>
          <w:kern w:val="0"/>
          <w:sz w:val="28"/>
          <w:szCs w:val="28"/>
          <w:highlight w:val="none"/>
          <w:lang w:val="en-US" w:eastAsia="zh-CN" w:bidi="ar-SA"/>
        </w:rPr>
        <w:t>），合同履约期满，且经甲方确认无违约情况后，甲方收到乙方履约保证金缴纳收据原件后15个工作日内无息退还。甲方有权因乙方违约、服务不达标、未完成移交等原因扣减或不予退还履约保证金。</w:t>
      </w:r>
    </w:p>
    <w:p w14:paraId="11E16B87">
      <w:pPr>
        <w:tabs>
          <w:tab w:val="left" w:pos="326"/>
        </w:tabs>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（三）承包方式</w:t>
      </w:r>
    </w:p>
    <w:p w14:paraId="4A0E5E72">
      <w:pPr>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合同以总承包方式承包，即乙方负责本合同内各款服务所含人工（含劳动法相关规定之福利）、税金、安全要求、文明施工、设备材料（</w:t>
      </w:r>
      <w:r>
        <w:rPr>
          <w:rFonts w:hint="default" w:ascii="Times New Roman" w:hAnsi="Times New Roman" w:eastAsia="方正仿宋_GBK" w:cs="Times New Roman"/>
          <w:bCs/>
          <w:color w:val="000000"/>
          <w:kern w:val="0"/>
          <w:sz w:val="28"/>
          <w:szCs w:val="28"/>
          <w:highlight w:val="none"/>
        </w:rPr>
        <w:t>单件</w:t>
      </w:r>
      <w:r>
        <w:rPr>
          <w:rFonts w:hint="default" w:ascii="Times New Roman" w:hAnsi="Times New Roman" w:eastAsia="方正仿宋_GBK" w:cs="Times New Roman"/>
          <w:color w:val="000000"/>
          <w:kern w:val="0"/>
          <w:sz w:val="28"/>
          <w:szCs w:val="28"/>
          <w:highlight w:val="none"/>
        </w:rPr>
        <w:t>材料¥</w:t>
      </w:r>
      <w:r>
        <w:rPr>
          <w:rFonts w:hint="default" w:ascii="Times New Roman" w:hAnsi="Times New Roman" w:eastAsia="方正仿宋_GBK" w:cs="Times New Roman"/>
          <w:color w:val="000000"/>
          <w:kern w:val="0"/>
          <w:sz w:val="28"/>
          <w:szCs w:val="28"/>
          <w:highlight w:val="none"/>
          <w:u w:val="single"/>
        </w:rPr>
        <w:t xml:space="preserve"> 300 </w:t>
      </w:r>
      <w:r>
        <w:rPr>
          <w:rFonts w:hint="default" w:ascii="Times New Roman" w:hAnsi="Times New Roman" w:eastAsia="方正仿宋_GBK" w:cs="Times New Roman"/>
          <w:color w:val="000000"/>
          <w:kern w:val="0"/>
          <w:sz w:val="28"/>
          <w:szCs w:val="28"/>
          <w:highlight w:val="none"/>
        </w:rPr>
        <w:t>元及</w:t>
      </w:r>
      <w:r>
        <w:rPr>
          <w:rFonts w:hint="eastAsia" w:ascii="Times New Roman" w:hAnsi="Times New Roman" w:eastAsia="方正仿宋_GBK" w:cs="Times New Roman"/>
          <w:color w:val="000000"/>
          <w:kern w:val="0"/>
          <w:sz w:val="28"/>
          <w:szCs w:val="28"/>
          <w:highlight w:val="none"/>
          <w:lang w:val="en-US" w:eastAsia="zh-CN"/>
        </w:rPr>
        <w:t>300元</w:t>
      </w:r>
      <w:r>
        <w:rPr>
          <w:rFonts w:hint="default" w:ascii="Times New Roman" w:hAnsi="Times New Roman" w:eastAsia="方正仿宋_GBK" w:cs="Times New Roman"/>
          <w:color w:val="000000"/>
          <w:kern w:val="0"/>
          <w:sz w:val="28"/>
          <w:szCs w:val="28"/>
          <w:highlight w:val="none"/>
        </w:rPr>
        <w:t>以</w:t>
      </w:r>
      <w:r>
        <w:rPr>
          <w:rFonts w:hint="eastAsia" w:ascii="Times New Roman" w:hAnsi="Times New Roman" w:eastAsia="方正仿宋_GBK" w:cs="Times New Roman"/>
          <w:color w:val="000000"/>
          <w:kern w:val="0"/>
          <w:sz w:val="28"/>
          <w:szCs w:val="28"/>
          <w:highlight w:val="none"/>
          <w:lang w:val="en-US" w:eastAsia="zh-CN"/>
        </w:rPr>
        <w:t>内</w:t>
      </w:r>
      <w:r>
        <w:rPr>
          <w:rFonts w:hint="default" w:ascii="Times New Roman" w:hAnsi="Times New Roman" w:eastAsia="方正仿宋_GBK" w:cs="Times New Roman"/>
          <w:color w:val="000000"/>
          <w:kern w:val="0"/>
          <w:sz w:val="28"/>
          <w:szCs w:val="28"/>
          <w:highlight w:val="none"/>
        </w:rPr>
        <w:t>）等为完成维保所需的全部工作及费用。乙方不得将合同项内工作进行转包、分包。</w:t>
      </w:r>
    </w:p>
    <w:p w14:paraId="72D54066">
      <w:pPr>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kern w:val="0"/>
          <w:sz w:val="28"/>
          <w:szCs w:val="28"/>
          <w:highlight w:val="none"/>
        </w:rPr>
        <w:t>（四）维修保养服务范围</w:t>
      </w:r>
    </w:p>
    <w:p w14:paraId="21C24481">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甲乙双</w:t>
      </w:r>
      <w:r>
        <w:rPr>
          <w:rFonts w:hint="default" w:ascii="Times New Roman" w:hAnsi="Times New Roman" w:eastAsia="方正仿宋_GBK" w:cs="Times New Roman"/>
          <w:color w:val="000000"/>
          <w:sz w:val="28"/>
          <w:szCs w:val="28"/>
          <w:highlight w:val="none"/>
        </w:rPr>
        <w:t>方约定，由乙方对甲方所辖项目配电房的安全、正常运行负责，主要服务内容包括提供配电房设施设备日常维护、检修、保养和应急抢修；包括高压柜、真空断路器、避雷器、变压器、两段高低压母线及系统</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相关设备检测、检修、保养维护、接地检测、安全工器具检测、设备运行安全维护等工作。</w:t>
      </w:r>
    </w:p>
    <w:p w14:paraId="429F3B92">
      <w:pPr>
        <w:tabs>
          <w:tab w:val="left" w:pos="480"/>
        </w:tabs>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kern w:val="0"/>
          <w:sz w:val="28"/>
          <w:szCs w:val="28"/>
          <w:highlight w:val="none"/>
        </w:rPr>
        <w:t>（五）维修保养内容</w:t>
      </w:r>
    </w:p>
    <w:p w14:paraId="5DAB8A69">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1.故障排除：包括但不限于故障发生原因确认、故障的处理过程、更换零件的报价、更换故障的零件、未排除故障的跟进、填写有关记录表格。</w:t>
      </w:r>
    </w:p>
    <w:p w14:paraId="0C1D7EC7">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2.检查测试：包括但不限于通过对供配电设备设施的检查测试，以评定供配电设备设施运行的正常情况，发现设施设备隐藏的故障，并</w:t>
      </w:r>
      <w:r>
        <w:rPr>
          <w:rFonts w:hint="eastAsia" w:ascii="Times New Roman" w:hAnsi="Times New Roman" w:eastAsia="方正仿宋_GBK" w:cs="Times New Roman"/>
          <w:color w:val="000000"/>
          <w:sz w:val="28"/>
          <w:szCs w:val="28"/>
          <w:highlight w:val="none"/>
          <w:lang w:eastAsia="zh-CN"/>
        </w:rPr>
        <w:t>做</w:t>
      </w:r>
      <w:r>
        <w:rPr>
          <w:rFonts w:hint="default" w:ascii="Times New Roman" w:hAnsi="Times New Roman" w:eastAsia="方正仿宋_GBK" w:cs="Times New Roman"/>
          <w:color w:val="000000"/>
          <w:sz w:val="28"/>
          <w:szCs w:val="28"/>
          <w:highlight w:val="none"/>
        </w:rPr>
        <w:t>有计划的排除，乙方每月提供检测记录、维保报告。</w:t>
      </w:r>
    </w:p>
    <w:p w14:paraId="59450EFD">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3.保养：包括但不限于清洁、润滑、紧固接线等工作。通过对供配电设备的清洁、润滑、紧固接线，保障供配电设备处于正常工作状态、最大限度延长使用寿命。  </w:t>
      </w:r>
    </w:p>
    <w:p w14:paraId="30E27417">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sz w:val="28"/>
          <w:szCs w:val="28"/>
          <w:highlight w:val="none"/>
        </w:rPr>
        <w:t>（六）</w:t>
      </w:r>
      <w:r>
        <w:rPr>
          <w:rFonts w:hint="default" w:ascii="Times New Roman" w:hAnsi="Times New Roman" w:eastAsia="方正仿宋_GBK" w:cs="Times New Roman"/>
          <w:color w:val="000000"/>
          <w:kern w:val="0"/>
          <w:sz w:val="28"/>
          <w:szCs w:val="28"/>
          <w:highlight w:val="none"/>
        </w:rPr>
        <w:t>维修保养要求</w:t>
      </w:r>
    </w:p>
    <w:p w14:paraId="0D321560">
      <w:pPr>
        <w:adjustRightInd w:val="0"/>
        <w:spacing w:line="600" w:lineRule="exact"/>
        <w:ind w:firstLine="6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乙方应执行国家及重庆市现行的有关电气设备的法规和技术规范，如</w:t>
      </w:r>
      <w:r>
        <w:rPr>
          <w:rFonts w:hint="default" w:ascii="Times New Roman" w:hAnsi="Times New Roman" w:eastAsia="方正仿宋_GBK" w:cs="Times New Roman"/>
          <w:color w:val="000000"/>
          <w:kern w:val="0"/>
          <w:sz w:val="28"/>
          <w:szCs w:val="28"/>
          <w:highlight w:val="none"/>
        </w:rPr>
        <w:t>《电气设备预防性试验规程》（DL/T596-2019）、《电气设备交接试验标准》（GB50150-2016）</w:t>
      </w:r>
      <w:r>
        <w:rPr>
          <w:rFonts w:hint="default" w:ascii="Times New Roman" w:hAnsi="Times New Roman" w:eastAsia="方正仿宋_GBK" w:cs="Times New Roman"/>
          <w:color w:val="000000"/>
          <w:sz w:val="28"/>
          <w:szCs w:val="28"/>
          <w:highlight w:val="none"/>
        </w:rPr>
        <w:t>等。（</w:t>
      </w:r>
      <w:r>
        <w:rPr>
          <w:rFonts w:hint="default" w:ascii="Times New Roman" w:hAnsi="Times New Roman" w:eastAsia="方正仿宋_GBK" w:cs="Times New Roman"/>
          <w:color w:val="000000"/>
          <w:sz w:val="28"/>
          <w:szCs w:val="28"/>
          <w:highlight w:val="none"/>
          <w:lang w:bidi="ar"/>
        </w:rPr>
        <w:t>以上规章、标准不论有无年代号，除有特别说明的以外，均以最新有效版本为准）</w:t>
      </w:r>
      <w:r>
        <w:rPr>
          <w:rFonts w:hint="default" w:ascii="Times New Roman" w:hAnsi="Times New Roman" w:eastAsia="方正仿宋_GBK" w:cs="Times New Roman"/>
          <w:color w:val="000000"/>
          <w:sz w:val="28"/>
          <w:szCs w:val="28"/>
          <w:highlight w:val="none"/>
        </w:rPr>
        <w:t>乙方须按照以上规范对合同范围内</w:t>
      </w:r>
      <w:r>
        <w:rPr>
          <w:rFonts w:hint="default" w:ascii="Times New Roman" w:hAnsi="Times New Roman" w:eastAsia="方正仿宋_GBK" w:cs="Times New Roman"/>
          <w:color w:val="000000"/>
          <w:kern w:val="0"/>
          <w:sz w:val="28"/>
          <w:szCs w:val="28"/>
          <w:highlight w:val="none"/>
        </w:rPr>
        <w:t>配电房电气设备进行预防性试验，完成月、季度、半年、年度保养项目，并做好维护保养记录，并向使用单位出具预防性试验报告、维保服务报告。</w:t>
      </w:r>
      <w:r>
        <w:rPr>
          <w:rFonts w:hint="default" w:ascii="Times New Roman" w:hAnsi="Times New Roman" w:eastAsia="方正仿宋_GBK" w:cs="Times New Roman"/>
          <w:color w:val="000000"/>
          <w:sz w:val="28"/>
          <w:szCs w:val="28"/>
          <w:highlight w:val="none"/>
          <w:shd w:val="clear" w:color="auto" w:fill="FFFFFF"/>
        </w:rPr>
        <w:t>具体内容如下：</w:t>
      </w:r>
    </w:p>
    <w:p w14:paraId="3C21FF73">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1.</w:t>
      </w:r>
      <w:r>
        <w:rPr>
          <w:rFonts w:hint="default" w:ascii="Times New Roman" w:hAnsi="Times New Roman" w:eastAsia="方正仿宋_GBK" w:cs="Times New Roman"/>
          <w:color w:val="000000"/>
          <w:sz w:val="28"/>
          <w:szCs w:val="28"/>
          <w:highlight w:val="none"/>
        </w:rPr>
        <w:t>高压配电柜</w:t>
      </w:r>
    </w:p>
    <w:p w14:paraId="4688B53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（1）每月对电气设备进行一次检查：</w:t>
      </w:r>
    </w:p>
    <w:p w14:paraId="67E00342">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①检查母线接头处有无变形，有无放电变黑痕迹，紧固连接螺栓，螺栓若有生锈应予以更换，确保接头连接紧密；检查母线上绝缘子有无松动和损坏。</w:t>
      </w:r>
    </w:p>
    <w:p w14:paraId="398014E5">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②柜内的机械闭锁，电气闭锁应动作准确、可靠，开关小车推拉应灵活，无卡阻现象。</w:t>
      </w:r>
    </w:p>
    <w:p w14:paraId="2552E6A4">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③柜体的接地应牢固良好，装有电器的可开启的门，应以裸铜软线与接地金属构件可靠地连接。</w:t>
      </w:r>
    </w:p>
    <w:p w14:paraId="401B727D">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④柜体的正面各电器、端子排等应标明编号、名称、用途及操作位置，其标明的字迹应清晰、工整、不易脱落。</w:t>
      </w:r>
    </w:p>
    <w:p w14:paraId="2DC118F1">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⑤柜内二次回路的连接件均应采用铜质制品牢固紧接，绝缘体采用自</w:t>
      </w:r>
      <w:r>
        <w:rPr>
          <w:rFonts w:hint="eastAsia" w:ascii="Times New Roman" w:hAnsi="Times New Roman" w:eastAsia="方正仿宋_GBK" w:cs="Times New Roman"/>
          <w:color w:val="000000"/>
          <w:sz w:val="28"/>
          <w:szCs w:val="28"/>
          <w:highlight w:val="none"/>
          <w:lang w:eastAsia="zh-CN"/>
        </w:rPr>
        <w:t>熄型</w:t>
      </w:r>
      <w:r>
        <w:rPr>
          <w:rFonts w:hint="default" w:ascii="Times New Roman" w:hAnsi="Times New Roman" w:eastAsia="方正仿宋_GBK" w:cs="Times New Roman"/>
          <w:color w:val="000000"/>
          <w:sz w:val="28"/>
          <w:szCs w:val="28"/>
          <w:highlight w:val="none"/>
        </w:rPr>
        <w:t>阻燃材料，并应清洁干燥。</w:t>
      </w:r>
    </w:p>
    <w:p w14:paraId="3415C7AD">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⑥柜上装有继电保护装置设备或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有接地要求的电器，其外壳应可靠接地。</w:t>
      </w:r>
    </w:p>
    <w:p w14:paraId="511C1401">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（2）每季度对电气设备进行一次清理：</w:t>
      </w:r>
    </w:p>
    <w:p w14:paraId="69715848">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①高压柜必须清理干净，漆层完好，各构件间连接应牢固，接头温度应在允许范围。</w:t>
      </w:r>
    </w:p>
    <w:p w14:paraId="7945D933">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②柜体的接地应牢固良好，装有电器的可开启的门，应以裸铜软线与接地金属构件可靠地连接。</w:t>
      </w:r>
    </w:p>
    <w:p w14:paraId="761A8C2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③柜体的正面各电器、端子排等应标明编号、名称、用途及操作位置，其标明的字迹应清晰、工整、不易脱落。</w:t>
      </w:r>
    </w:p>
    <w:p w14:paraId="6059D49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④柜内二次回路的连接件均应铜质制品牢固紧接，绝缘件采用自</w:t>
      </w:r>
      <w:r>
        <w:rPr>
          <w:rFonts w:hint="eastAsia" w:ascii="Times New Roman" w:hAnsi="Times New Roman" w:eastAsia="方正仿宋_GBK" w:cs="Times New Roman"/>
          <w:color w:val="000000"/>
          <w:sz w:val="28"/>
          <w:szCs w:val="28"/>
          <w:highlight w:val="none"/>
          <w:lang w:eastAsia="zh-CN"/>
        </w:rPr>
        <w:t>熄型</w:t>
      </w:r>
      <w:r>
        <w:rPr>
          <w:rFonts w:hint="default" w:ascii="Times New Roman" w:hAnsi="Times New Roman" w:eastAsia="方正仿宋_GBK" w:cs="Times New Roman"/>
          <w:color w:val="000000"/>
          <w:sz w:val="28"/>
          <w:szCs w:val="28"/>
          <w:highlight w:val="none"/>
        </w:rPr>
        <w:t>阻燃材料，并应清洁干燥。</w:t>
      </w:r>
    </w:p>
    <w:p w14:paraId="51AF4BC8">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⑤柜上装有继电保护装置设备或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有接地要求的电器，其外壳应可靠接地。</w:t>
      </w:r>
    </w:p>
    <w:p w14:paraId="0B71BCF9">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⑥重要开关断路器定期检测保护是否可靠动作是否灵敏。</w:t>
      </w:r>
    </w:p>
    <w:p w14:paraId="09B9C7E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⑦后台远控定期测试是否数据正确。</w:t>
      </w:r>
    </w:p>
    <w:p w14:paraId="41CE05F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（3）每年一次按预防性试验规程对高压柜进行预防性试验，将预防性试验报告交业主存档，具体工作内容：</w:t>
      </w:r>
    </w:p>
    <w:p w14:paraId="602AEBAE">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①重复每季度的检查内容。</w:t>
      </w:r>
    </w:p>
    <w:p w14:paraId="5BDA50E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②开关及一次电气设备必须</w:t>
      </w:r>
      <w:r>
        <w:rPr>
          <w:rFonts w:hint="eastAsia" w:ascii="Times New Roman" w:hAnsi="Times New Roman" w:eastAsia="方正仿宋_GBK" w:cs="Times New Roman"/>
          <w:color w:val="000000"/>
          <w:sz w:val="28"/>
          <w:szCs w:val="28"/>
          <w:highlight w:val="none"/>
          <w:lang w:eastAsia="zh-CN"/>
        </w:rPr>
        <w:t>做</w:t>
      </w:r>
      <w:r>
        <w:rPr>
          <w:rFonts w:hint="default" w:ascii="Times New Roman" w:hAnsi="Times New Roman" w:eastAsia="方正仿宋_GBK" w:cs="Times New Roman"/>
          <w:color w:val="000000"/>
          <w:sz w:val="28"/>
          <w:szCs w:val="28"/>
          <w:highlight w:val="none"/>
        </w:rPr>
        <w:t>绝缘试验和耐压试验。</w:t>
      </w:r>
    </w:p>
    <w:p w14:paraId="4EEA3A52">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③柜内的互感器作变比检查和测量绝缘电阻。</w:t>
      </w:r>
    </w:p>
    <w:p w14:paraId="75A84667">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④测量开关的分、合闸线圈直流电阻，开关接触电阻，动作电压和返回电压以及分闸时间。</w:t>
      </w:r>
    </w:p>
    <w:p w14:paraId="18423BC1">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⑥校核继电保护装置的动作值、返回值、整定值。</w:t>
      </w:r>
    </w:p>
    <w:p w14:paraId="43646FB2">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2.</w:t>
      </w:r>
      <w:r>
        <w:rPr>
          <w:rFonts w:hint="default" w:ascii="Times New Roman" w:hAnsi="Times New Roman" w:eastAsia="方正仿宋_GBK" w:cs="Times New Roman"/>
          <w:color w:val="000000"/>
          <w:sz w:val="28"/>
          <w:szCs w:val="28"/>
          <w:highlight w:val="none"/>
        </w:rPr>
        <w:t>直流屏（蓄电池）</w:t>
      </w:r>
    </w:p>
    <w:p w14:paraId="2CA82AAA">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（1）每月工作内容：</w:t>
      </w:r>
    </w:p>
    <w:p w14:paraId="321F247D">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①对蓄电池进行恢复性的充放电。</w:t>
      </w:r>
    </w:p>
    <w:p w14:paraId="34F129D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w:t>
      </w:r>
      <w:r>
        <w:rPr>
          <w:rFonts w:hint="eastAsia" w:ascii="Times New Roman" w:hAnsi="Times New Roman" w:eastAsia="方正仿宋_GBK" w:cs="Times New Roman"/>
          <w:color w:val="000000"/>
          <w:sz w:val="28"/>
          <w:szCs w:val="28"/>
          <w:highlight w:val="none"/>
          <w:lang w:eastAsia="zh-CN"/>
        </w:rPr>
        <w:t>查看</w:t>
      </w:r>
      <w:r>
        <w:rPr>
          <w:rFonts w:hint="default" w:ascii="Times New Roman" w:hAnsi="Times New Roman" w:eastAsia="方正仿宋_GBK" w:cs="Times New Roman"/>
          <w:color w:val="000000"/>
          <w:sz w:val="28"/>
          <w:szCs w:val="28"/>
          <w:highlight w:val="none"/>
        </w:rPr>
        <w:t>蓄电池的液面是否符合要求，有无漏液发生。</w:t>
      </w:r>
    </w:p>
    <w:p w14:paraId="4FA680DE">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（2）季度工作内容：</w:t>
      </w:r>
    </w:p>
    <w:p w14:paraId="7B74FA7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①清除屏内充电机及设备上灰尘和蓄电池槽表面污垢，连接件上氧化物。</w:t>
      </w:r>
    </w:p>
    <w:p w14:paraId="6A412A5B">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②对充电机、输出回路进行绝缘测试以及各种特性测试。</w:t>
      </w:r>
    </w:p>
    <w:p w14:paraId="166A5D4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（3）年度工作内容：</w:t>
      </w:r>
    </w:p>
    <w:p w14:paraId="77E99A38">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①重复季度工作内容。</w:t>
      </w:r>
    </w:p>
    <w:p w14:paraId="76F1A479">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3.</w:t>
      </w:r>
      <w:r>
        <w:rPr>
          <w:rFonts w:hint="default" w:ascii="Times New Roman" w:hAnsi="Times New Roman" w:eastAsia="方正仿宋_GBK" w:cs="Times New Roman"/>
          <w:color w:val="000000"/>
          <w:sz w:val="28"/>
          <w:szCs w:val="28"/>
          <w:highlight w:val="none"/>
        </w:rPr>
        <w:t>变压器</w:t>
      </w:r>
    </w:p>
    <w:p w14:paraId="5FDA6B89">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（1）每月对变压器进行一次检查：</w:t>
      </w:r>
    </w:p>
    <w:p w14:paraId="39336D8D">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①变压器套管是否清洁，有无破损、裂纹和放电痕迹。</w:t>
      </w:r>
    </w:p>
    <w:p w14:paraId="7C93FCA8">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②变压器零部件必须无损伤或移位，接线是否松动、断裂、绝缘件和线圈是否有破损，是否有脏物或异物等。</w:t>
      </w:r>
    </w:p>
    <w:p w14:paraId="673C83DB">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③检查风机、温控设备等能否正常运行。</w:t>
      </w:r>
    </w:p>
    <w:p w14:paraId="4D93507B">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④变压器的主</w:t>
      </w:r>
      <w:r>
        <w:rPr>
          <w:rFonts w:hint="eastAsia" w:ascii="Times New Roman" w:hAnsi="Times New Roman" w:eastAsia="方正仿宋_GBK" w:cs="Times New Roman"/>
          <w:color w:val="000000"/>
          <w:sz w:val="28"/>
          <w:szCs w:val="28"/>
          <w:highlight w:val="none"/>
          <w:lang w:eastAsia="zh-CN"/>
        </w:rPr>
        <w:t>辅设备</w:t>
      </w:r>
      <w:r>
        <w:rPr>
          <w:rFonts w:hint="default" w:ascii="Times New Roman" w:hAnsi="Times New Roman" w:eastAsia="方正仿宋_GBK" w:cs="Times New Roman"/>
          <w:color w:val="000000"/>
          <w:sz w:val="28"/>
          <w:szCs w:val="28"/>
          <w:highlight w:val="none"/>
        </w:rPr>
        <w:t>的外壳接地是否良好。</w:t>
      </w:r>
    </w:p>
    <w:p w14:paraId="22DC7F0F">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（2）每季度对变压器进行一次清理、检查：</w:t>
      </w:r>
    </w:p>
    <w:p w14:paraId="3BD3521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①重复每月检查的内容：</w:t>
      </w:r>
    </w:p>
    <w:p w14:paraId="6A6FF9AF">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②高低压电缆头的接触情况，螺丝有无松动，接头是否过热。</w:t>
      </w:r>
    </w:p>
    <w:p w14:paraId="4CB6698F">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③检查所有的紧固件、连接件、标准件是否松动，并重新紧固一次。</w:t>
      </w:r>
    </w:p>
    <w:p w14:paraId="29AFFBF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④检查变压器的箱体和铁芯是否可靠接地，穿心螺杆的绝缘是否良好。</w:t>
      </w:r>
    </w:p>
    <w:p w14:paraId="23CBB057">
      <w:pPr>
        <w:pStyle w:val="19"/>
        <w:shd w:val="clear" w:color="auto" w:fill="FFFFFF"/>
        <w:spacing w:before="0" w:beforeAutospacing="0" w:after="0" w:afterAutospacing="0" w:line="6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⑤套管密封、顶部连接片、密封衬垫的检查，瓷绝缘的检查和清扫。</w:t>
      </w:r>
    </w:p>
    <w:p w14:paraId="6A87158D">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⑥各种保护装置、测量装置及操作控制箱的检修、试验。</w:t>
      </w:r>
    </w:p>
    <w:p w14:paraId="1EE2E449">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（3）每年一次进行年检：</w:t>
      </w:r>
    </w:p>
    <w:p w14:paraId="0E9B1990">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①重复每季度一次检查的内容。</w:t>
      </w:r>
    </w:p>
    <w:p w14:paraId="20D3E012">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②每年一次还必须进行下列预防性试验。</w:t>
      </w:r>
    </w:p>
    <w:p w14:paraId="4DBC965A">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A.测量变压器绕组直流电阻，测量前绕组应充分放电。</w:t>
      </w:r>
    </w:p>
    <w:p w14:paraId="78F91085">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B.测量变压器绕组的绝缘电阻，采用2500V兆欧表进行测量。</w:t>
      </w:r>
    </w:p>
    <w:p w14:paraId="27332A6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C.进行变压器绕组的交流耐压试验。</w:t>
      </w:r>
    </w:p>
    <w:p w14:paraId="383789E0">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D.在额定电压下对变压器进行冲击合闸试验。</w:t>
      </w:r>
    </w:p>
    <w:p w14:paraId="4BDEF284">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E.按标准要求完成避雷器相应测试。</w:t>
      </w:r>
    </w:p>
    <w:p w14:paraId="3298E574">
      <w:pPr>
        <w:pStyle w:val="19"/>
        <w:shd w:val="clear" w:color="auto" w:fill="FFFFFF"/>
        <w:spacing w:before="0" w:beforeAutospacing="0" w:after="0" w:afterAutospacing="0" w:line="6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w:t>
      </w:r>
      <w:r>
        <w:rPr>
          <w:rFonts w:hint="eastAsia" w:ascii="Times New Roman" w:hAnsi="Times New Roman" w:eastAsia="方正仿宋_GBK" w:cs="Times New Roman"/>
          <w:color w:val="000000"/>
          <w:sz w:val="28"/>
          <w:szCs w:val="28"/>
          <w:highlight w:val="none"/>
          <w:lang w:eastAsia="zh-CN"/>
        </w:rPr>
        <w:t>4.</w:t>
      </w:r>
      <w:r>
        <w:rPr>
          <w:rFonts w:hint="default" w:ascii="Times New Roman" w:hAnsi="Times New Roman" w:eastAsia="方正仿宋_GBK" w:cs="Times New Roman"/>
          <w:color w:val="000000"/>
          <w:sz w:val="28"/>
          <w:szCs w:val="28"/>
          <w:highlight w:val="none"/>
        </w:rPr>
        <w:t>低压配电柜</w:t>
      </w:r>
    </w:p>
    <w:p w14:paraId="58DEB070">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（1）每个月一次对电气设备进行检查：</w:t>
      </w:r>
    </w:p>
    <w:p w14:paraId="6BEB2A05">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①观察母排的发热程度，示温蜡片有否熔化，各连接螺丝有否松动。</w:t>
      </w:r>
    </w:p>
    <w:p w14:paraId="738E593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②测量电容柜的温度，检查容器的外观有无变形，熔断器有无熔断，运行时应无任何声音。</w:t>
      </w:r>
    </w:p>
    <w:p w14:paraId="0131E8BB">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③低压柜的机械闭锁、电气闭锁应动作准确、可靠。</w:t>
      </w:r>
    </w:p>
    <w:p w14:paraId="3F6C5543">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④配电柜抽屉推拉应灵活、无卡阻现象。</w:t>
      </w:r>
    </w:p>
    <w:p w14:paraId="396C47CD">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（2）每</w:t>
      </w:r>
      <w:r>
        <w:rPr>
          <w:rFonts w:hint="eastAsia" w:ascii="Times New Roman" w:hAnsi="Times New Roman" w:eastAsia="方正仿宋_GBK" w:cs="Times New Roman"/>
          <w:color w:val="000000"/>
          <w:sz w:val="28"/>
          <w:szCs w:val="28"/>
          <w:highlight w:val="none"/>
          <w:lang w:eastAsia="zh-CN"/>
        </w:rPr>
        <w:t>半年</w:t>
      </w:r>
      <w:r>
        <w:rPr>
          <w:rFonts w:hint="default" w:ascii="Times New Roman" w:hAnsi="Times New Roman" w:eastAsia="方正仿宋_GBK" w:cs="Times New Roman"/>
          <w:color w:val="000000"/>
          <w:sz w:val="28"/>
          <w:szCs w:val="28"/>
          <w:highlight w:val="none"/>
        </w:rPr>
        <w:t>一次对电气设备进行清理、检查</w:t>
      </w:r>
      <w:r>
        <w:rPr>
          <w:rFonts w:hint="eastAsia" w:ascii="Times New Roman" w:hAnsi="Times New Roman" w:eastAsia="方正仿宋_GBK" w:cs="Times New Roman"/>
          <w:color w:val="000000"/>
          <w:sz w:val="28"/>
          <w:szCs w:val="28"/>
          <w:highlight w:val="none"/>
          <w:lang w:eastAsia="zh-CN"/>
        </w:rPr>
        <w:t>和保养</w:t>
      </w:r>
      <w:r>
        <w:rPr>
          <w:rFonts w:hint="default" w:ascii="Times New Roman" w:hAnsi="Times New Roman" w:eastAsia="方正仿宋_GBK" w:cs="Times New Roman"/>
          <w:color w:val="000000"/>
          <w:sz w:val="28"/>
          <w:szCs w:val="28"/>
          <w:highlight w:val="none"/>
        </w:rPr>
        <w:t>：</w:t>
      </w:r>
    </w:p>
    <w:p w14:paraId="6BF1B375">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①低压柜内设备与各构件间连接应牢固，接头温度应在允许范围。</w:t>
      </w:r>
    </w:p>
    <w:p w14:paraId="401FB20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②低压柜的机械闭锁、电气闭锁应动作准确、可靠。</w:t>
      </w:r>
    </w:p>
    <w:p w14:paraId="4F01481B">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③配电柜抽屉推拉应灵活、无卡阻现象。</w:t>
      </w:r>
    </w:p>
    <w:p w14:paraId="0343FA4B">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④柜的固定及接地可靠，漆层应完好、清洁整齐。</w:t>
      </w:r>
    </w:p>
    <w:p w14:paraId="542FEA93">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3</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每年一次年检内容：</w:t>
      </w:r>
    </w:p>
    <w:p w14:paraId="5EAC0F99">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①重复每季度的清理检查。</w:t>
      </w:r>
    </w:p>
    <w:p w14:paraId="02412E6E">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②按预防性试验规程对设备进行预防性试验，并将预防性试验报告交业主存档。</w:t>
      </w:r>
    </w:p>
    <w:p w14:paraId="2D05FC39">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A.低压柜每段母线绝缘电阻不应小于0.5MQ，电力线路绝缘电阻不小于0.5MQ，试验采用500V兆欧表。</w:t>
      </w:r>
    </w:p>
    <w:p w14:paraId="69EF0815">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B.加1000V进行交流耐压试验。</w:t>
      </w:r>
    </w:p>
    <w:p w14:paraId="5645821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C.校核仪表、继电器的动作值和返回值。</w:t>
      </w:r>
    </w:p>
    <w:p w14:paraId="6C956A62">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5.</w:t>
      </w:r>
      <w:r>
        <w:rPr>
          <w:rFonts w:hint="default" w:ascii="Times New Roman" w:hAnsi="Times New Roman" w:eastAsia="方正仿宋_GBK" w:cs="Times New Roman"/>
          <w:color w:val="000000"/>
          <w:sz w:val="28"/>
          <w:szCs w:val="28"/>
          <w:highlight w:val="none"/>
        </w:rPr>
        <w:t>10kV高压电缆保养</w:t>
      </w:r>
    </w:p>
    <w:p w14:paraId="477D80EC">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l</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高压电缆的清尘：检查电缆终端头有无松动、发热变色及受损现象。</w:t>
      </w:r>
    </w:p>
    <w:p w14:paraId="3CA640C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2</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用无水酒精清洗电缆头；检查电缆外层有无破损现象。</w:t>
      </w:r>
    </w:p>
    <w:p w14:paraId="5FDD9C0D">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3</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检查电缆头有无放电痕迹。</w:t>
      </w:r>
    </w:p>
    <w:p w14:paraId="285FBBB3">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4</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检查电缆头三相有无交叉排列。</w:t>
      </w:r>
    </w:p>
    <w:p w14:paraId="7B07B29F">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5</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电缆头密封检查。</w:t>
      </w:r>
    </w:p>
    <w:p w14:paraId="70B533BB">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6</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电缆头与设备接触是否良好。</w:t>
      </w:r>
    </w:p>
    <w:p w14:paraId="56989423">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7</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电缆绝缘电阻测量。</w:t>
      </w:r>
    </w:p>
    <w:p w14:paraId="569E7DCE">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8</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电缆直流耐压及泄漏电流试验。</w:t>
      </w:r>
    </w:p>
    <w:p w14:paraId="26F986A5">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9</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电缆铠装接地线的检查。</w:t>
      </w:r>
    </w:p>
    <w:p w14:paraId="7E101D8A">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10</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做好检修保养记录。</w:t>
      </w:r>
    </w:p>
    <w:p w14:paraId="0AE93F66">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6.</w:t>
      </w:r>
      <w:r>
        <w:rPr>
          <w:rFonts w:hint="default" w:ascii="Times New Roman" w:hAnsi="Times New Roman" w:eastAsia="方正仿宋_GBK" w:cs="Times New Roman"/>
          <w:color w:val="000000"/>
          <w:sz w:val="28"/>
          <w:szCs w:val="28"/>
          <w:highlight w:val="none"/>
        </w:rPr>
        <w:t>接地系统</w:t>
      </w:r>
    </w:p>
    <w:p w14:paraId="670A1598">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l</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每个月及每季度检查地网有无脱漆、锈蚀、设备各接地处、导体搭接处是否牢固。</w:t>
      </w:r>
    </w:p>
    <w:p w14:paraId="346E1F07">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2</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每年进行接地系统的接地电阻测量。</w:t>
      </w:r>
    </w:p>
    <w:p w14:paraId="5FD47757">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7.</w:t>
      </w:r>
      <w:r>
        <w:rPr>
          <w:rFonts w:hint="default" w:ascii="Times New Roman" w:hAnsi="Times New Roman" w:eastAsia="方正仿宋_GBK" w:cs="Times New Roman"/>
          <w:color w:val="000000"/>
          <w:sz w:val="28"/>
          <w:szCs w:val="28"/>
          <w:highlight w:val="none"/>
        </w:rPr>
        <w:t>其他</w:t>
      </w:r>
    </w:p>
    <w:p w14:paraId="645135AB">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l</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检查配电房照明和防潮灯及通风机是否正常。</w:t>
      </w:r>
    </w:p>
    <w:p w14:paraId="09991627">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2</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检查配电房屋面有否漏水，电缆沟是否积水，门窗有否破损。</w:t>
      </w:r>
    </w:p>
    <w:p w14:paraId="6494441E">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3</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检查防鼠挡板是否完整，房内孔洞有否堵死。</w:t>
      </w:r>
    </w:p>
    <w:p w14:paraId="37FEA9AF">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4</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检查配电房门外通道是否畅顺，有否被堵现象。</w:t>
      </w:r>
    </w:p>
    <w:p w14:paraId="62BE1D48">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第二条  维修保养费用和支付方式</w:t>
      </w:r>
    </w:p>
    <w:p w14:paraId="715D393A">
      <w:pPr>
        <w:numPr>
          <w:ilvl w:val="0"/>
          <w:numId w:val="3"/>
        </w:numPr>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维修保养费用</w:t>
      </w:r>
    </w:p>
    <w:p w14:paraId="7A986260">
      <w:pPr>
        <w:tabs>
          <w:tab w:val="left" w:pos="0"/>
        </w:tabs>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合同含税总价为</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元（大写：人民币</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元整）</w:t>
      </w:r>
      <w:r>
        <w:rPr>
          <w:rFonts w:hint="default" w:ascii="Times New Roman" w:hAnsi="Times New Roman" w:eastAsia="方正仿宋_GBK" w:cs="Times New Roman"/>
          <w:bCs/>
          <w:color w:val="000000"/>
          <w:kern w:val="0"/>
          <w:sz w:val="28"/>
          <w:szCs w:val="28"/>
          <w:highlight w:val="none"/>
        </w:rPr>
        <w:t>，其中不含税合同价为人民币¥</w:t>
      </w:r>
      <w:r>
        <w:rPr>
          <w:rFonts w:hint="default" w:ascii="Times New Roman" w:hAnsi="Times New Roman" w:eastAsia="方正仿宋_GBK" w:cs="Times New Roman"/>
          <w:bCs/>
          <w:color w:val="000000"/>
          <w:kern w:val="0"/>
          <w:sz w:val="28"/>
          <w:szCs w:val="28"/>
          <w:highlight w:val="none"/>
          <w:u w:val="single"/>
        </w:rPr>
        <w:t xml:space="preserve">        </w:t>
      </w:r>
      <w:r>
        <w:rPr>
          <w:rFonts w:hint="default" w:ascii="Times New Roman" w:hAnsi="Times New Roman" w:eastAsia="方正仿宋_GBK" w:cs="Times New Roman"/>
          <w:bCs/>
          <w:color w:val="000000"/>
          <w:kern w:val="0"/>
          <w:sz w:val="28"/>
          <w:szCs w:val="28"/>
          <w:highlight w:val="none"/>
        </w:rPr>
        <w:t>元，税款为人民币¥</w:t>
      </w:r>
      <w:r>
        <w:rPr>
          <w:rFonts w:hint="default" w:ascii="Times New Roman" w:hAnsi="Times New Roman" w:eastAsia="方正仿宋_GBK" w:cs="Times New Roman"/>
          <w:bCs/>
          <w:color w:val="000000"/>
          <w:kern w:val="0"/>
          <w:sz w:val="28"/>
          <w:szCs w:val="28"/>
          <w:highlight w:val="none"/>
          <w:u w:val="single"/>
        </w:rPr>
        <w:t xml:space="preserve">     </w:t>
      </w:r>
      <w:r>
        <w:rPr>
          <w:rFonts w:hint="default" w:ascii="Times New Roman" w:hAnsi="Times New Roman" w:eastAsia="方正仿宋_GBK" w:cs="Times New Roman"/>
          <w:bCs/>
          <w:color w:val="000000"/>
          <w:kern w:val="0"/>
          <w:sz w:val="28"/>
          <w:szCs w:val="28"/>
          <w:highlight w:val="none"/>
        </w:rPr>
        <w:t>元</w:t>
      </w:r>
      <w:r>
        <w:rPr>
          <w:rFonts w:hint="default" w:ascii="Times New Roman" w:hAnsi="Times New Roman" w:eastAsia="方正仿宋_GBK" w:cs="Times New Roman"/>
          <w:bCs/>
          <w:color w:val="000000"/>
          <w:kern w:val="0"/>
          <w:sz w:val="28"/>
          <w:szCs w:val="28"/>
          <w:highlight w:val="none"/>
          <w:lang w:eastAsia="zh-CN"/>
        </w:rPr>
        <w:t>，</w:t>
      </w:r>
      <w:r>
        <w:rPr>
          <w:rFonts w:hint="default" w:ascii="Times New Roman" w:hAnsi="Times New Roman" w:eastAsia="方正仿宋_GBK" w:cs="Times New Roman"/>
          <w:bCs/>
          <w:color w:val="000000"/>
          <w:kern w:val="0"/>
          <w:sz w:val="28"/>
          <w:szCs w:val="28"/>
          <w:highlight w:val="none"/>
          <w:lang w:val="en-US" w:eastAsia="zh-CN"/>
        </w:rPr>
        <w:t>增值税专用发票税率为</w:t>
      </w:r>
      <w:r>
        <w:rPr>
          <w:rFonts w:hint="default" w:ascii="Times New Roman" w:hAnsi="Times New Roman" w:eastAsia="方正仿宋_GBK" w:cs="Times New Roman"/>
          <w:bCs/>
          <w:color w:val="000000"/>
          <w:kern w:val="0"/>
          <w:sz w:val="28"/>
          <w:szCs w:val="28"/>
          <w:highlight w:val="none"/>
          <w:u w:val="single"/>
        </w:rPr>
        <w:t xml:space="preserve">    </w:t>
      </w:r>
      <w:r>
        <w:rPr>
          <w:rFonts w:hint="default" w:ascii="Times New Roman" w:hAnsi="Times New Roman" w:eastAsia="方正仿宋_GBK" w:cs="Times New Roman"/>
          <w:bCs/>
          <w:color w:val="000000"/>
          <w:kern w:val="0"/>
          <w:sz w:val="28"/>
          <w:szCs w:val="28"/>
          <w:highlight w:val="none"/>
        </w:rPr>
        <w:t>。本合同为综合总价包干，包括但不限于维修、人工费（乙方人员工资、加班工资、社保、福利）、其他配套施工费、保险费、单件材料（¥</w:t>
      </w:r>
      <w:r>
        <w:rPr>
          <w:rFonts w:hint="default" w:ascii="Times New Roman" w:hAnsi="Times New Roman" w:eastAsia="方正仿宋_GBK" w:cs="Times New Roman"/>
          <w:bCs/>
          <w:color w:val="000000"/>
          <w:kern w:val="0"/>
          <w:sz w:val="28"/>
          <w:szCs w:val="28"/>
          <w:highlight w:val="none"/>
          <w:u w:val="single"/>
        </w:rPr>
        <w:t xml:space="preserve"> 300 </w:t>
      </w:r>
      <w:r>
        <w:rPr>
          <w:rFonts w:hint="default" w:ascii="Times New Roman" w:hAnsi="Times New Roman" w:eastAsia="方正仿宋_GBK" w:cs="Times New Roman"/>
          <w:bCs/>
          <w:color w:val="000000"/>
          <w:kern w:val="0"/>
          <w:sz w:val="28"/>
          <w:szCs w:val="28"/>
          <w:highlight w:val="none"/>
        </w:rPr>
        <w:t>元及以下）、更换安装费、税金等为完成维保所需的全部费用，即除此价款外，甲方不需为实现本合同项内的权益再向乙方或任何第三方支付</w:t>
      </w:r>
      <w:r>
        <w:rPr>
          <w:rFonts w:hint="eastAsia" w:ascii="Times New Roman" w:hAnsi="Times New Roman" w:eastAsia="方正仿宋_GBK" w:cs="Times New Roman"/>
          <w:bCs/>
          <w:color w:val="000000"/>
          <w:kern w:val="0"/>
          <w:sz w:val="28"/>
          <w:szCs w:val="28"/>
          <w:highlight w:val="none"/>
          <w:lang w:eastAsia="zh-CN"/>
        </w:rPr>
        <w:t>其他</w:t>
      </w:r>
      <w:r>
        <w:rPr>
          <w:rFonts w:hint="default" w:ascii="Times New Roman" w:hAnsi="Times New Roman" w:eastAsia="方正仿宋_GBK" w:cs="Times New Roman"/>
          <w:bCs/>
          <w:color w:val="000000"/>
          <w:kern w:val="0"/>
          <w:sz w:val="28"/>
          <w:szCs w:val="28"/>
          <w:highlight w:val="none"/>
        </w:rPr>
        <w:t>任何款项，合同期内不含税价及含税价均不因税率变化做调增。配电维保服务费明细如下：</w:t>
      </w:r>
    </w:p>
    <w:tbl>
      <w:tblPr>
        <w:tblStyle w:val="23"/>
        <w:tblpPr w:leftFromText="180" w:rightFromText="180" w:vertAnchor="text" w:horzAnchor="page" w:tblpX="572" w:tblpY="616"/>
        <w:tblOverlap w:val="never"/>
        <w:tblW w:w="10920" w:type="dxa"/>
        <w:tblInd w:w="0" w:type="dxa"/>
        <w:tblLayout w:type="fixed"/>
        <w:tblCellMar>
          <w:top w:w="0" w:type="dxa"/>
          <w:left w:w="108" w:type="dxa"/>
          <w:bottom w:w="0" w:type="dxa"/>
          <w:right w:w="108" w:type="dxa"/>
        </w:tblCellMar>
      </w:tblPr>
      <w:tblGrid>
        <w:gridCol w:w="444"/>
        <w:gridCol w:w="527"/>
        <w:gridCol w:w="1288"/>
        <w:gridCol w:w="657"/>
        <w:gridCol w:w="864"/>
        <w:gridCol w:w="792"/>
        <w:gridCol w:w="828"/>
        <w:gridCol w:w="864"/>
        <w:gridCol w:w="1080"/>
        <w:gridCol w:w="708"/>
        <w:gridCol w:w="828"/>
        <w:gridCol w:w="972"/>
        <w:gridCol w:w="1068"/>
      </w:tblGrid>
      <w:tr w14:paraId="4FBBE52A">
        <w:tblPrEx>
          <w:tblCellMar>
            <w:top w:w="0" w:type="dxa"/>
            <w:left w:w="108" w:type="dxa"/>
            <w:bottom w:w="0" w:type="dxa"/>
            <w:right w:w="108" w:type="dxa"/>
          </w:tblCellMar>
        </w:tblPrEx>
        <w:trPr>
          <w:trHeight w:val="540" w:hRule="atLeast"/>
        </w:trPr>
        <w:tc>
          <w:tcPr>
            <w:tcW w:w="10920" w:type="dxa"/>
            <w:gridSpan w:val="13"/>
            <w:tcBorders>
              <w:top w:val="single" w:color="000000" w:sz="4" w:space="0"/>
              <w:left w:val="single" w:color="000000" w:sz="4" w:space="0"/>
              <w:bottom w:val="single" w:color="000000" w:sz="4" w:space="0"/>
              <w:right w:val="single" w:color="000000" w:sz="4" w:space="0"/>
            </w:tcBorders>
            <w:noWrap w:val="0"/>
            <w:vAlign w:val="center"/>
          </w:tcPr>
          <w:p w14:paraId="6573588C">
            <w:pPr>
              <w:widowControl/>
              <w:jc w:val="left"/>
              <w:textAlignment w:val="center"/>
              <w:rPr>
                <w:rFonts w:hint="default" w:ascii="Times New Roman" w:hAnsi="Times New Roman" w:eastAsia="方正仿宋_GBK" w:cs="Times New Roman"/>
                <w:b/>
                <w:bCs/>
                <w:color w:val="000000"/>
                <w:szCs w:val="21"/>
                <w:highlight w:val="none"/>
              </w:rPr>
            </w:pPr>
            <w:r>
              <w:rPr>
                <w:rFonts w:hint="eastAsia" w:ascii="Times New Roman" w:hAnsi="Times New Roman" w:eastAsia="方正仿宋_GBK" w:cs="Times New Roman"/>
                <w:b/>
                <w:bCs/>
                <w:color w:val="000000"/>
                <w:kern w:val="0"/>
                <w:szCs w:val="21"/>
                <w:highlight w:val="none"/>
                <w:lang w:eastAsia="zh-CN" w:bidi="ar"/>
              </w:rPr>
              <w:t>一、</w:t>
            </w:r>
            <w:r>
              <w:rPr>
                <w:rFonts w:hint="default" w:ascii="Times New Roman" w:hAnsi="Times New Roman" w:eastAsia="方正仿宋_GBK" w:cs="Times New Roman"/>
                <w:b/>
                <w:bCs/>
                <w:color w:val="000000"/>
                <w:kern w:val="0"/>
                <w:szCs w:val="21"/>
                <w:highlight w:val="none"/>
                <w:lang w:eastAsia="zh-CN" w:bidi="ar"/>
              </w:rPr>
              <w:t>配电维保明细</w:t>
            </w:r>
            <w:r>
              <w:rPr>
                <w:rFonts w:hint="default" w:ascii="Times New Roman" w:hAnsi="Times New Roman" w:eastAsia="方正仿宋_GBK" w:cs="Times New Roman"/>
                <w:b/>
                <w:bCs/>
                <w:color w:val="000000"/>
                <w:kern w:val="0"/>
                <w:szCs w:val="21"/>
                <w:highlight w:val="none"/>
                <w:lang w:bidi="ar"/>
              </w:rPr>
              <w:t xml:space="preserve"> </w:t>
            </w:r>
          </w:p>
        </w:tc>
      </w:tr>
      <w:tr w14:paraId="102D5D04">
        <w:tblPrEx>
          <w:tblCellMar>
            <w:top w:w="0" w:type="dxa"/>
            <w:left w:w="108" w:type="dxa"/>
            <w:bottom w:w="0" w:type="dxa"/>
            <w:right w:w="108" w:type="dxa"/>
          </w:tblCellMar>
        </w:tblPrEx>
        <w:trPr>
          <w:trHeight w:val="312"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A4691">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序号</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47B5C">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项目名称</w:t>
            </w:r>
          </w:p>
        </w:tc>
        <w:tc>
          <w:tcPr>
            <w:tcW w:w="128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00CF2">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维保项目</w:t>
            </w:r>
          </w:p>
        </w:tc>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7544BE">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变压器</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ECDBA">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10KV高压柜</w:t>
            </w:r>
          </w:p>
        </w:tc>
        <w:tc>
          <w:tcPr>
            <w:tcW w:w="1620" w:type="dxa"/>
            <w:gridSpan w:val="2"/>
            <w:tcBorders>
              <w:top w:val="single" w:color="000000" w:sz="4" w:space="0"/>
              <w:left w:val="single" w:color="000000" w:sz="4" w:space="0"/>
              <w:bottom w:val="single" w:color="000000" w:sz="4" w:space="0"/>
              <w:right w:val="single" w:color="000000" w:sz="4" w:space="0"/>
            </w:tcBorders>
            <w:noWrap w:val="0"/>
            <w:vAlign w:val="center"/>
          </w:tcPr>
          <w:p w14:paraId="5C619D94">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避雷器</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6019E">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电缆</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28636">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继电保护装置</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F84D77">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地阻测试</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2CB130">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工具检测</w:t>
            </w:r>
          </w:p>
        </w:tc>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B8C79">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真空断路器</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B3BEA">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低压屏</w:t>
            </w:r>
          </w:p>
        </w:tc>
      </w:tr>
      <w:tr w14:paraId="074EFE21">
        <w:tblPrEx>
          <w:tblCellMar>
            <w:top w:w="0" w:type="dxa"/>
            <w:left w:w="108" w:type="dxa"/>
            <w:bottom w:w="0" w:type="dxa"/>
            <w:right w:w="108" w:type="dxa"/>
          </w:tblCellMar>
        </w:tblPrEx>
        <w:trPr>
          <w:trHeight w:val="312"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C09FB">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BB970">
            <w:pPr>
              <w:jc w:val="center"/>
              <w:rPr>
                <w:rFonts w:hint="default" w:ascii="Times New Roman" w:hAnsi="Times New Roman" w:eastAsia="方正仿宋_GBK" w:cs="Times New Roman"/>
                <w:b/>
                <w:bCs/>
                <w:color w:val="000000"/>
                <w:szCs w:val="21"/>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57AF0">
            <w:pPr>
              <w:jc w:val="center"/>
              <w:rPr>
                <w:rFonts w:hint="default" w:ascii="Times New Roman" w:hAnsi="Times New Roman" w:eastAsia="方正仿宋_GBK" w:cs="Times New Roman"/>
                <w:b/>
                <w:bCs/>
                <w:color w:val="000000"/>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2A428">
            <w:pPr>
              <w:jc w:val="center"/>
              <w:rPr>
                <w:rFonts w:hint="default" w:ascii="Times New Roman" w:hAnsi="Times New Roman" w:eastAsia="方正仿宋_GBK" w:cs="Times New Roman"/>
                <w:b/>
                <w:bCs/>
                <w:color w:val="000000"/>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96CC6">
            <w:pPr>
              <w:jc w:val="center"/>
              <w:rPr>
                <w:rFonts w:hint="default" w:ascii="Times New Roman" w:hAnsi="Times New Roman" w:eastAsia="方正仿宋_GBK" w:cs="Times New Roman"/>
                <w:b/>
                <w:bCs/>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559F540">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10KV</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C03F17C">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0.4KV</w:t>
            </w: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38F6F">
            <w:pPr>
              <w:jc w:val="center"/>
              <w:rPr>
                <w:rFonts w:hint="default" w:ascii="Times New Roman" w:hAnsi="Times New Roman" w:eastAsia="方正仿宋_GBK" w:cs="Times New Roman"/>
                <w:b/>
                <w:bCs/>
                <w:color w:val="000000"/>
                <w:szCs w:val="21"/>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7C127">
            <w:pPr>
              <w:jc w:val="center"/>
              <w:rPr>
                <w:rFonts w:hint="default" w:ascii="Times New Roman" w:hAnsi="Times New Roman" w:eastAsia="方正仿宋_GBK" w:cs="Times New Roman"/>
                <w:b/>
                <w:bCs/>
                <w:color w:val="000000"/>
                <w:szCs w:val="21"/>
                <w:highlight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2DBCE">
            <w:pPr>
              <w:jc w:val="center"/>
              <w:rPr>
                <w:rFonts w:hint="default" w:ascii="Times New Roman" w:hAnsi="Times New Roman" w:eastAsia="方正仿宋_GBK" w:cs="Times New Roman"/>
                <w:b/>
                <w:bCs/>
                <w:color w:val="000000"/>
                <w:szCs w:val="21"/>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54617">
            <w:pPr>
              <w:jc w:val="center"/>
              <w:rPr>
                <w:rFonts w:hint="default" w:ascii="Times New Roman" w:hAnsi="Times New Roman" w:eastAsia="方正仿宋_GBK" w:cs="Times New Roman"/>
                <w:b/>
                <w:bCs/>
                <w:color w:val="000000"/>
                <w:szCs w:val="21"/>
                <w:highlight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7B8FB">
            <w:pPr>
              <w:jc w:val="center"/>
              <w:rPr>
                <w:rFonts w:hint="default" w:ascii="Times New Roman" w:hAnsi="Times New Roman" w:eastAsia="方正仿宋_GBK" w:cs="Times New Roman"/>
                <w:b/>
                <w:bCs/>
                <w:color w:val="000000"/>
                <w:szCs w:val="21"/>
                <w:highlight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FB78A">
            <w:pPr>
              <w:jc w:val="center"/>
              <w:rPr>
                <w:rFonts w:hint="default" w:ascii="Times New Roman" w:hAnsi="Times New Roman" w:eastAsia="方正仿宋_GBK" w:cs="Times New Roman"/>
                <w:b/>
                <w:bCs/>
                <w:color w:val="000000"/>
                <w:szCs w:val="21"/>
                <w:highlight w:val="none"/>
              </w:rPr>
            </w:pPr>
          </w:p>
        </w:tc>
      </w:tr>
      <w:tr w14:paraId="6FDE67F9">
        <w:tblPrEx>
          <w:tblCellMar>
            <w:top w:w="0" w:type="dxa"/>
            <w:left w:w="108" w:type="dxa"/>
            <w:bottom w:w="0" w:type="dxa"/>
            <w:right w:w="108" w:type="dxa"/>
          </w:tblCellMar>
        </w:tblPrEx>
        <w:trPr>
          <w:trHeight w:val="660"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5C6DF">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51856">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5EFCD082">
            <w:pPr>
              <w:widowControl/>
              <w:jc w:val="left"/>
              <w:textAlignment w:val="center"/>
              <w:rPr>
                <w:rFonts w:hint="default" w:ascii="Times New Roman" w:hAnsi="Times New Roman" w:eastAsia="方正仿宋_GBK" w:cs="Times New Roman"/>
                <w:b/>
                <w:bCs/>
                <w:color w:val="000000"/>
                <w:kern w:val="0"/>
                <w:szCs w:val="21"/>
                <w:highlight w:val="none"/>
                <w:lang w:bidi="ar"/>
              </w:rPr>
            </w:pPr>
            <w:r>
              <w:rPr>
                <w:rFonts w:hint="default" w:ascii="Times New Roman" w:hAnsi="Times New Roman" w:eastAsia="方正仿宋_GBK" w:cs="Times New Roman"/>
                <w:b/>
                <w:bCs/>
                <w:color w:val="000000"/>
                <w:kern w:val="0"/>
                <w:szCs w:val="21"/>
                <w:highlight w:val="none"/>
                <w:lang w:bidi="ar"/>
              </w:rPr>
              <w:t xml:space="preserve">含税单价   </w:t>
            </w:r>
          </w:p>
          <w:p w14:paraId="4975FF76">
            <w:pPr>
              <w:widowControl/>
              <w:jc w:val="left"/>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（元/台/月）</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3F78FA0">
            <w:pPr>
              <w:widowControl/>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8D59840">
            <w:pPr>
              <w:widowControl/>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F204E83">
            <w:pPr>
              <w:widowControl/>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6E9F0CE">
            <w:pPr>
              <w:widowControl/>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011417B">
            <w:pPr>
              <w:widowControl/>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4FAC17">
            <w:pPr>
              <w:widowControl/>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FFF896D">
            <w:pPr>
              <w:widowControl/>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4D01F02">
            <w:pPr>
              <w:widowControl/>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73FBB1F">
            <w:pPr>
              <w:widowControl/>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20FC85">
            <w:pPr>
              <w:widowControl/>
              <w:jc w:val="center"/>
              <w:textAlignment w:val="center"/>
              <w:rPr>
                <w:rFonts w:hint="default" w:ascii="Times New Roman" w:hAnsi="Times New Roman" w:eastAsia="方正仿宋_GBK" w:cs="Times New Roman"/>
                <w:color w:val="000000"/>
                <w:szCs w:val="21"/>
                <w:highlight w:val="none"/>
              </w:rPr>
            </w:pPr>
          </w:p>
        </w:tc>
      </w:tr>
      <w:tr w14:paraId="66793861">
        <w:tblPrEx>
          <w:tblCellMar>
            <w:top w:w="0" w:type="dxa"/>
            <w:left w:w="108" w:type="dxa"/>
            <w:bottom w:w="0" w:type="dxa"/>
            <w:right w:w="108" w:type="dxa"/>
          </w:tblCellMar>
        </w:tblPrEx>
        <w:trPr>
          <w:trHeight w:val="404"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41F0D0">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0D46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白鹤</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229F83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69140C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FD1D55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F8CC3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6E9C72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B4C36F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0AC84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244DA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A500B6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48CAF4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C53381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33</w:t>
            </w:r>
          </w:p>
        </w:tc>
      </w:tr>
      <w:tr w14:paraId="3333A6CD">
        <w:tblPrEx>
          <w:tblCellMar>
            <w:top w:w="0" w:type="dxa"/>
            <w:left w:w="108" w:type="dxa"/>
            <w:bottom w:w="0" w:type="dxa"/>
            <w:right w:w="108" w:type="dxa"/>
          </w:tblCellMar>
        </w:tblPrEx>
        <w:trPr>
          <w:trHeight w:val="465"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09C3A">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DFF80">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009DDC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BC5E35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6C513C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B4CA2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1D27E3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679481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B17F0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1F5A1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5E60B8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A0442A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2CCE4E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1FFA412D">
        <w:tblPrEx>
          <w:tblCellMar>
            <w:top w:w="0" w:type="dxa"/>
            <w:left w:w="108" w:type="dxa"/>
            <w:bottom w:w="0" w:type="dxa"/>
            <w:right w:w="108" w:type="dxa"/>
          </w:tblCellMar>
        </w:tblPrEx>
        <w:trPr>
          <w:trHeight w:val="69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73F43">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494E8">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4B851008">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2B72E0F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42909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4E5F365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6286E4B2">
        <w:tblPrEx>
          <w:tblCellMar>
            <w:top w:w="0" w:type="dxa"/>
            <w:left w:w="108" w:type="dxa"/>
            <w:bottom w:w="0" w:type="dxa"/>
            <w:right w:w="108" w:type="dxa"/>
          </w:tblCellMar>
        </w:tblPrEx>
        <w:trPr>
          <w:trHeight w:val="415"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FE1E8">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C81B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腾黄路</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AE5589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71A6B3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F94672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17B58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08E5F1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D84493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19B08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F6E2B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4A6C30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8AEFEA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10F0A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72988713">
        <w:tblPrEx>
          <w:tblCellMar>
            <w:top w:w="0" w:type="dxa"/>
            <w:left w:w="108" w:type="dxa"/>
            <w:bottom w:w="0" w:type="dxa"/>
            <w:right w:w="108" w:type="dxa"/>
          </w:tblCellMar>
        </w:tblPrEx>
        <w:trPr>
          <w:trHeight w:val="477"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61C23">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A0709">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6010DB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4EDF76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2FE357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C9D542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A4277C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EA0DFF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AF073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95BD20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97D6FD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0A3616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1BCFE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46B49E19">
        <w:tblPrEx>
          <w:tblCellMar>
            <w:top w:w="0" w:type="dxa"/>
            <w:left w:w="108" w:type="dxa"/>
            <w:bottom w:w="0" w:type="dxa"/>
            <w:right w:w="108" w:type="dxa"/>
          </w:tblCellMar>
        </w:tblPrEx>
        <w:trPr>
          <w:trHeight w:val="734"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2C818">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BFCC8">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592F2C1">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45A5BFC3">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CEE16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4C749D7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661B7430">
        <w:tblPrEx>
          <w:tblCellMar>
            <w:top w:w="0" w:type="dxa"/>
            <w:left w:w="108" w:type="dxa"/>
            <w:bottom w:w="0" w:type="dxa"/>
            <w:right w:w="108" w:type="dxa"/>
          </w:tblCellMar>
        </w:tblPrEx>
        <w:trPr>
          <w:trHeight w:val="464"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EDA8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1C4CDD">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康庄</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C2F337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C5377F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FFBF10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63777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443D2D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AC90A8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F8087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ADA85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A6E8C6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FD0426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0DA4F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16</w:t>
            </w:r>
          </w:p>
        </w:tc>
      </w:tr>
      <w:tr w14:paraId="788D5AF9">
        <w:tblPrEx>
          <w:tblCellMar>
            <w:top w:w="0" w:type="dxa"/>
            <w:left w:w="108" w:type="dxa"/>
            <w:bottom w:w="0" w:type="dxa"/>
            <w:right w:w="108" w:type="dxa"/>
          </w:tblCellMar>
        </w:tblPrEx>
        <w:trPr>
          <w:trHeight w:val="477"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FD0FA">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8998B">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F60BE5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D0C86F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C48982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CC334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4F6CD6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FE28C2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CCD25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486D79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35B521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B63914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709A7C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61383277">
        <w:tblPrEx>
          <w:tblCellMar>
            <w:top w:w="0" w:type="dxa"/>
            <w:left w:w="108" w:type="dxa"/>
            <w:bottom w:w="0" w:type="dxa"/>
            <w:right w:w="108" w:type="dxa"/>
          </w:tblCellMar>
        </w:tblPrEx>
        <w:trPr>
          <w:trHeight w:val="710"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488E1">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CB660">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2FB6399">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197DBDAD">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8CC8AA">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6D44553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14E1077D">
        <w:tblPrEx>
          <w:tblCellMar>
            <w:top w:w="0" w:type="dxa"/>
            <w:left w:w="108" w:type="dxa"/>
            <w:bottom w:w="0" w:type="dxa"/>
            <w:right w:w="108" w:type="dxa"/>
          </w:tblCellMar>
        </w:tblPrEx>
        <w:trPr>
          <w:trHeight w:val="477"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92E2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4</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E1AF8">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盛德路</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E11EFD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C52588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56C2B9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08FF9C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AF3427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49B49C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ABB22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ED271D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3458B4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94B274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E31EE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w:t>
            </w:r>
          </w:p>
        </w:tc>
      </w:tr>
      <w:tr w14:paraId="43BF50E9">
        <w:tblPrEx>
          <w:tblCellMar>
            <w:top w:w="0" w:type="dxa"/>
            <w:left w:w="108" w:type="dxa"/>
            <w:bottom w:w="0" w:type="dxa"/>
            <w:right w:w="108" w:type="dxa"/>
          </w:tblCellMar>
        </w:tblPrEx>
        <w:trPr>
          <w:trHeight w:val="427"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19189">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CD0D2">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65F5A9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30D553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48CB88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933C20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8B7EE1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013FD4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C1399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0B9441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FE7455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8B4178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15091B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677AD5AC">
        <w:tblPrEx>
          <w:tblCellMar>
            <w:top w:w="0" w:type="dxa"/>
            <w:left w:w="108" w:type="dxa"/>
            <w:bottom w:w="0" w:type="dxa"/>
            <w:right w:w="108" w:type="dxa"/>
          </w:tblCellMar>
        </w:tblPrEx>
        <w:trPr>
          <w:trHeight w:val="90"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27182">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EACC1">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FE215DD">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248BB4CA">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D4D1F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09C02E19">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38CE798C">
        <w:tblPrEx>
          <w:tblCellMar>
            <w:top w:w="0" w:type="dxa"/>
            <w:left w:w="108" w:type="dxa"/>
            <w:bottom w:w="0" w:type="dxa"/>
            <w:right w:w="108" w:type="dxa"/>
          </w:tblCellMar>
        </w:tblPrEx>
        <w:trPr>
          <w:trHeight w:val="427"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823A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5</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7A236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沙坪坝</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58518A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D4834A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E9D6E7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90DC3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869DE9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B76E5D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277C1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748452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D5F614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474039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E30EC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17</w:t>
            </w:r>
          </w:p>
        </w:tc>
      </w:tr>
      <w:tr w14:paraId="48474081">
        <w:tblPrEx>
          <w:tblCellMar>
            <w:top w:w="0" w:type="dxa"/>
            <w:left w:w="108" w:type="dxa"/>
            <w:bottom w:w="0" w:type="dxa"/>
            <w:right w:w="108" w:type="dxa"/>
          </w:tblCellMar>
        </w:tblPrEx>
        <w:trPr>
          <w:trHeight w:val="464"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FF80A">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FD416">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2C136D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7CA577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9B3B0A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A9A68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7A2148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749FAB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8F112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4F422E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10C2B7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E18240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7C584C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33FDA7C4">
        <w:tblPrEx>
          <w:tblCellMar>
            <w:top w:w="0" w:type="dxa"/>
            <w:left w:w="108" w:type="dxa"/>
            <w:bottom w:w="0" w:type="dxa"/>
            <w:right w:w="108" w:type="dxa"/>
          </w:tblCellMar>
        </w:tblPrEx>
        <w:trPr>
          <w:trHeight w:val="69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67FE2">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274CA">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527D5CED">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16562A4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0579D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739A0E0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43D53E72">
        <w:tblPrEx>
          <w:tblCellMar>
            <w:top w:w="0" w:type="dxa"/>
            <w:left w:w="108" w:type="dxa"/>
            <w:bottom w:w="0" w:type="dxa"/>
            <w:right w:w="108" w:type="dxa"/>
          </w:tblCellMar>
        </w:tblPrEx>
        <w:trPr>
          <w:trHeight w:val="477"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9A744">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6</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02755">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西站</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246EB4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032449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9800CF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EBF113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97C891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F8D045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11D51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26689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3777DA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337C22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FDC9C4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58F72F21">
        <w:tblPrEx>
          <w:tblCellMar>
            <w:top w:w="0" w:type="dxa"/>
            <w:left w:w="108" w:type="dxa"/>
            <w:bottom w:w="0" w:type="dxa"/>
            <w:right w:w="108" w:type="dxa"/>
          </w:tblCellMar>
        </w:tblPrEx>
        <w:trPr>
          <w:trHeight w:val="452"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B7A82">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BE92D">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E0A78E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A1BDCA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EAA940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0E791E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D7E373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18669E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78B7F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37085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E4B491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E886EA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FE20D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29F99663">
        <w:tblPrEx>
          <w:tblCellMar>
            <w:top w:w="0" w:type="dxa"/>
            <w:left w:w="108" w:type="dxa"/>
            <w:bottom w:w="0" w:type="dxa"/>
            <w:right w:w="108" w:type="dxa"/>
          </w:tblCellMar>
        </w:tblPrEx>
        <w:trPr>
          <w:trHeight w:val="56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E7747">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59D7C">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5F3C77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4791B02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180734">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75DBB73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201E644C">
        <w:tblPrEx>
          <w:tblCellMar>
            <w:top w:w="0" w:type="dxa"/>
            <w:left w:w="108" w:type="dxa"/>
            <w:bottom w:w="0" w:type="dxa"/>
            <w:right w:w="108" w:type="dxa"/>
          </w:tblCellMar>
        </w:tblPrEx>
        <w:trPr>
          <w:trHeight w:val="377"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A9EDE9">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7</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E2DF3">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陈庹路</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904197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CF7512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17C99C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34947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63E5C3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1E8A56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616EE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450732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48D719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4D259B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7B5570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w:t>
            </w:r>
          </w:p>
        </w:tc>
      </w:tr>
      <w:tr w14:paraId="50DC3538">
        <w:tblPrEx>
          <w:tblCellMar>
            <w:top w:w="0" w:type="dxa"/>
            <w:left w:w="108" w:type="dxa"/>
            <w:bottom w:w="0" w:type="dxa"/>
            <w:right w:w="108" w:type="dxa"/>
          </w:tblCellMar>
        </w:tblPrEx>
        <w:trPr>
          <w:trHeight w:val="427"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48EF9">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D4A3F">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5F911B6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C9C605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E725DF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F28EB5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DD6039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057E02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5602F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11FCD8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4C3323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B52E6B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FDB813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251A315D">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644DB">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6AEC0">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43FB394">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2A851884">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FC999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3E64181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67D4866B">
        <w:tblPrEx>
          <w:tblCellMar>
            <w:top w:w="0" w:type="dxa"/>
            <w:left w:w="108" w:type="dxa"/>
            <w:bottom w:w="0" w:type="dxa"/>
            <w:right w:w="108" w:type="dxa"/>
          </w:tblCellMar>
        </w:tblPrEx>
        <w:trPr>
          <w:trHeight w:val="648"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3B599">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8</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2A75F">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交通局</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401722EB">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A9FFA3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20DE560">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49D3801">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AA094DC">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C02A8D0">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489876">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11E5A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B36F0C9">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27409DD">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7BC5EE">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r>
      <w:tr w14:paraId="41061662">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45C27">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E53B0">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5350EAC">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75AB4F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953E82C">
            <w:pPr>
              <w:keepNext w:val="0"/>
              <w:keepLines w:val="0"/>
              <w:widowControl/>
              <w:suppressLineNumbers w:val="0"/>
              <w:jc w:val="center"/>
              <w:textAlignment w:val="center"/>
              <w:rPr>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A7220F">
            <w:pPr>
              <w:keepNext w:val="0"/>
              <w:keepLines w:val="0"/>
              <w:widowControl/>
              <w:suppressLineNumbers w:val="0"/>
              <w:jc w:val="center"/>
              <w:textAlignment w:val="center"/>
              <w:rPr>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BB38455">
            <w:pPr>
              <w:keepNext w:val="0"/>
              <w:keepLines w:val="0"/>
              <w:widowControl/>
              <w:suppressLineNumbers w:val="0"/>
              <w:jc w:val="center"/>
              <w:textAlignment w:val="center"/>
              <w:rPr>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8FDDC48">
            <w:pPr>
              <w:keepNext w:val="0"/>
              <w:keepLines w:val="0"/>
              <w:widowControl/>
              <w:suppressLineNumbers w:val="0"/>
              <w:jc w:val="center"/>
              <w:textAlignment w:val="center"/>
              <w:rPr>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7E9916">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0CCB095">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A2F141F">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DFCE56E">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BCF008">
            <w:pPr>
              <w:keepNext w:val="0"/>
              <w:keepLines w:val="0"/>
              <w:widowControl/>
              <w:suppressLineNumbers w:val="0"/>
              <w:jc w:val="center"/>
              <w:textAlignment w:val="center"/>
              <w:rPr>
                <w:highlight w:val="none"/>
              </w:rPr>
            </w:pPr>
          </w:p>
        </w:tc>
      </w:tr>
      <w:tr w14:paraId="73D7001A">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B40FF">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43778">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9CBE1A0">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486A1A69">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0D99B1">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5B344A4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3F650D3B">
        <w:tblPrEx>
          <w:tblCellMar>
            <w:top w:w="0" w:type="dxa"/>
            <w:left w:w="108" w:type="dxa"/>
            <w:bottom w:w="0" w:type="dxa"/>
            <w:right w:w="108" w:type="dxa"/>
          </w:tblCellMar>
        </w:tblPrEx>
        <w:trPr>
          <w:trHeight w:val="648"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0170E1">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9</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EE55F3">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保税港</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4F1CED8E">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54C6DC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1EB6968">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AAF2FBF">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AFE26B5">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53F88B6">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08630E">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9970FB9">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A2FE76B">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5AB95C0">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85BD753">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2C251DC7">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DC642">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AD491">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3C8B6D5">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D2D3DE0">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ECDEE8B">
            <w:pPr>
              <w:keepNext w:val="0"/>
              <w:keepLines w:val="0"/>
              <w:widowControl/>
              <w:suppressLineNumbers w:val="0"/>
              <w:jc w:val="center"/>
              <w:textAlignment w:val="center"/>
              <w:rPr>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D634971">
            <w:pPr>
              <w:keepNext w:val="0"/>
              <w:keepLines w:val="0"/>
              <w:widowControl/>
              <w:suppressLineNumbers w:val="0"/>
              <w:jc w:val="center"/>
              <w:textAlignment w:val="center"/>
              <w:rPr>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785434E">
            <w:pPr>
              <w:keepNext w:val="0"/>
              <w:keepLines w:val="0"/>
              <w:widowControl/>
              <w:suppressLineNumbers w:val="0"/>
              <w:jc w:val="center"/>
              <w:textAlignment w:val="center"/>
              <w:rPr>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2AEFC62">
            <w:pPr>
              <w:keepNext w:val="0"/>
              <w:keepLines w:val="0"/>
              <w:widowControl/>
              <w:suppressLineNumbers w:val="0"/>
              <w:jc w:val="center"/>
              <w:textAlignment w:val="center"/>
              <w:rPr>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8F6B94">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888A3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37CE8B8">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A4F84BC">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8CA262">
            <w:pPr>
              <w:keepNext w:val="0"/>
              <w:keepLines w:val="0"/>
              <w:widowControl/>
              <w:suppressLineNumbers w:val="0"/>
              <w:jc w:val="center"/>
              <w:textAlignment w:val="center"/>
              <w:rPr>
                <w:highlight w:val="none"/>
              </w:rPr>
            </w:pPr>
          </w:p>
        </w:tc>
      </w:tr>
      <w:tr w14:paraId="76AF1C74">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952FC">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36871">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F67FF9E">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4A25B584">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B218A7">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5281238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6FBFB975">
        <w:tblPrEx>
          <w:tblCellMar>
            <w:top w:w="0" w:type="dxa"/>
            <w:left w:w="108" w:type="dxa"/>
            <w:bottom w:w="0" w:type="dxa"/>
            <w:right w:w="108" w:type="dxa"/>
          </w:tblCellMar>
        </w:tblPrEx>
        <w:trPr>
          <w:trHeight w:val="452"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57CE1">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F36D1">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金沙街</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7F2A12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667530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802601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07498B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0B2494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4F5B23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A0677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BB7A2D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7B53E5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04A2D5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52474C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21</w:t>
            </w:r>
          </w:p>
        </w:tc>
      </w:tr>
      <w:tr w14:paraId="6B092E6A">
        <w:tblPrEx>
          <w:tblCellMar>
            <w:top w:w="0" w:type="dxa"/>
            <w:left w:w="108" w:type="dxa"/>
            <w:bottom w:w="0" w:type="dxa"/>
            <w:right w:w="108" w:type="dxa"/>
          </w:tblCellMar>
        </w:tblPrEx>
        <w:trPr>
          <w:trHeight w:val="415"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19C32">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270E2">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644379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2DAFC5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C6FD66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33D99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85D2C2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17750F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EB20D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60DBC5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5CB266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5FCB82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19F0A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08720642">
        <w:tblPrEx>
          <w:tblCellMar>
            <w:top w:w="0" w:type="dxa"/>
            <w:left w:w="108" w:type="dxa"/>
            <w:bottom w:w="0" w:type="dxa"/>
            <w:right w:w="108" w:type="dxa"/>
          </w:tblCellMar>
        </w:tblPrEx>
        <w:trPr>
          <w:trHeight w:val="63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75A16">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B6316">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D51B56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14:paraId="562951F5">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E8056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14:paraId="7BB96B91">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2CAF9015">
        <w:tblPrEx>
          <w:tblCellMar>
            <w:top w:w="0" w:type="dxa"/>
            <w:left w:w="108" w:type="dxa"/>
            <w:bottom w:w="0" w:type="dxa"/>
            <w:right w:w="108" w:type="dxa"/>
          </w:tblCellMar>
        </w:tblPrEx>
        <w:trPr>
          <w:trHeight w:val="472" w:hRule="atLeast"/>
        </w:trPr>
        <w:tc>
          <w:tcPr>
            <w:tcW w:w="2259" w:type="dxa"/>
            <w:gridSpan w:val="3"/>
            <w:tcBorders>
              <w:top w:val="single" w:color="000000" w:sz="4" w:space="0"/>
              <w:left w:val="single" w:color="000000" w:sz="4" w:space="0"/>
              <w:right w:val="single" w:color="000000" w:sz="4" w:space="0"/>
            </w:tcBorders>
            <w:noWrap w:val="0"/>
            <w:vAlign w:val="center"/>
          </w:tcPr>
          <w:p w14:paraId="613002A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Style w:val="192"/>
                <w:rFonts w:hint="eastAsia" w:ascii="Times New Roman" w:hAnsi="Times New Roman" w:eastAsia="宋体" w:cs="Times New Roman"/>
                <w:color w:val="000000"/>
                <w:highlight w:val="none"/>
                <w:lang w:val="en-US" w:eastAsia="zh-CN" w:bidi="ar"/>
              </w:rPr>
              <w:t>10</w:t>
            </w:r>
            <w:r>
              <w:rPr>
                <w:rStyle w:val="193"/>
                <w:rFonts w:hint="default" w:ascii="Times New Roman" w:hAnsi="Times New Roman" w:cs="Times New Roman"/>
                <w:color w:val="000000"/>
                <w:highlight w:val="none"/>
                <w:lang w:val="en-US" w:eastAsia="zh-CN" w:bidi="ar"/>
              </w:rPr>
              <w:t>个项目含税总价（元）</w:t>
            </w:r>
          </w:p>
        </w:tc>
        <w:tc>
          <w:tcPr>
            <w:tcW w:w="4005" w:type="dxa"/>
            <w:gridSpan w:val="5"/>
            <w:tcBorders>
              <w:top w:val="single" w:color="000000" w:sz="4" w:space="0"/>
              <w:left w:val="single" w:color="000000" w:sz="4" w:space="0"/>
              <w:right w:val="single" w:color="000000" w:sz="4" w:space="0"/>
            </w:tcBorders>
            <w:noWrap w:val="0"/>
            <w:vAlign w:val="center"/>
          </w:tcPr>
          <w:p w14:paraId="547E5837">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auto" w:sz="4" w:space="0"/>
              <w:right w:val="single" w:color="000000" w:sz="4" w:space="0"/>
            </w:tcBorders>
            <w:noWrap w:val="0"/>
            <w:vAlign w:val="center"/>
          </w:tcPr>
          <w:p w14:paraId="5E899580">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auto" w:sz="4" w:space="0"/>
              <w:right w:val="single" w:color="000000" w:sz="4" w:space="0"/>
            </w:tcBorders>
            <w:noWrap w:val="0"/>
            <w:vAlign w:val="center"/>
          </w:tcPr>
          <w:p w14:paraId="54F67113">
            <w:pPr>
              <w:jc w:val="center"/>
              <w:rPr>
                <w:rFonts w:hint="default" w:ascii="Times New Roman" w:hAnsi="Times New Roman" w:eastAsia="方正仿宋_GBK" w:cs="Times New Roman"/>
                <w:b/>
                <w:bCs/>
                <w:color w:val="000000"/>
                <w:szCs w:val="21"/>
                <w:highlight w:val="none"/>
              </w:rPr>
            </w:pPr>
          </w:p>
        </w:tc>
      </w:tr>
      <w:tr w14:paraId="51A864D1">
        <w:tblPrEx>
          <w:tblCellMar>
            <w:top w:w="0" w:type="dxa"/>
            <w:left w:w="108" w:type="dxa"/>
            <w:bottom w:w="0" w:type="dxa"/>
            <w:right w:w="108" w:type="dxa"/>
          </w:tblCellMar>
        </w:tblPrEx>
        <w:trPr>
          <w:trHeight w:val="444"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14:paraId="3CB8E1B1">
            <w:pPr>
              <w:widowControl/>
              <w:ind w:firstLine="0" w:firstLineChars="0"/>
              <w:textAlignment w:val="center"/>
              <w:rPr>
                <w:rFonts w:hint="default" w:ascii="Times New Roman" w:hAnsi="Times New Roman" w:eastAsia="方正仿宋_GBK" w:cs="Times New Roman"/>
                <w:b/>
                <w:bCs/>
                <w:color w:val="000000"/>
                <w:kern w:val="0"/>
                <w:szCs w:val="21"/>
                <w:highlight w:val="none"/>
                <w:lang w:val="en-US" w:eastAsia="zh-CN" w:bidi="ar"/>
              </w:rPr>
            </w:pPr>
            <w:r>
              <w:rPr>
                <w:rFonts w:hint="default" w:ascii="Times New Roman" w:hAnsi="Times New Roman" w:eastAsia="方正仿宋_GBK" w:cs="Times New Roman"/>
                <w:b/>
                <w:bCs/>
                <w:i w:val="0"/>
                <w:iCs w:val="0"/>
                <w:color w:val="000000"/>
                <w:kern w:val="0"/>
                <w:sz w:val="21"/>
                <w:szCs w:val="21"/>
                <w:highlight w:val="none"/>
                <w:u w:val="none"/>
                <w:lang w:val="en-US" w:eastAsia="zh-CN" w:bidi="ar"/>
              </w:rPr>
              <w:t>专票税率</w:t>
            </w:r>
            <w:r>
              <w:rPr>
                <w:rFonts w:hint="eastAsia" w:ascii="Times New Roman" w:hAnsi="Times New Roman" w:eastAsia="方正仿宋_GBK" w:cs="Times New Roman"/>
                <w:b/>
                <w:bCs/>
                <w:i w:val="0"/>
                <w:iCs w:val="0"/>
                <w:color w:val="000000"/>
                <w:kern w:val="0"/>
                <w:sz w:val="21"/>
                <w:szCs w:val="21"/>
                <w:highlight w:val="none"/>
                <w:u w:val="none"/>
                <w:lang w:val="en-US" w:eastAsia="zh-CN" w:bidi="ar"/>
              </w:rPr>
              <w:t>：</w:t>
            </w:r>
          </w:p>
        </w:tc>
      </w:tr>
      <w:tr w14:paraId="0114A20D">
        <w:tblPrEx>
          <w:tblCellMar>
            <w:top w:w="0" w:type="dxa"/>
            <w:left w:w="108" w:type="dxa"/>
            <w:bottom w:w="0" w:type="dxa"/>
            <w:right w:w="108" w:type="dxa"/>
          </w:tblCellMar>
        </w:tblPrEx>
        <w:trPr>
          <w:trHeight w:val="444"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14:paraId="50E533E8">
            <w:pPr>
              <w:widowControl/>
              <w:ind w:firstLine="0" w:firstLineChars="0"/>
              <w:textAlignment w:val="center"/>
              <w:rPr>
                <w:rFonts w:hint="default" w:ascii="Times New Roman" w:hAnsi="Times New Roman" w:eastAsia="方正仿宋_GBK" w:cs="Times New Roman"/>
                <w:b/>
                <w:bCs/>
                <w:color w:val="000000"/>
                <w:kern w:val="0"/>
                <w:szCs w:val="21"/>
                <w:highlight w:val="none"/>
                <w:lang w:bidi="ar"/>
              </w:rPr>
            </w:pPr>
            <w:r>
              <w:rPr>
                <w:rFonts w:hint="default" w:ascii="Times New Roman" w:hAnsi="Times New Roman" w:eastAsia="方正仿宋_GBK" w:cs="Times New Roman"/>
                <w:b/>
                <w:bCs/>
                <w:color w:val="000000"/>
                <w:kern w:val="0"/>
                <w:szCs w:val="21"/>
                <w:highlight w:val="none"/>
                <w:lang w:val="en-US" w:eastAsia="zh-CN" w:bidi="ar"/>
              </w:rPr>
              <w:t>二、</w:t>
            </w:r>
            <w:r>
              <w:rPr>
                <w:rFonts w:hint="default" w:ascii="Times New Roman" w:hAnsi="Times New Roman" w:eastAsia="方正仿宋_GBK" w:cs="Times New Roman"/>
                <w:b/>
                <w:bCs/>
                <w:color w:val="000000"/>
                <w:kern w:val="0"/>
                <w:szCs w:val="21"/>
                <w:highlight w:val="none"/>
                <w:lang w:bidi="ar"/>
              </w:rPr>
              <w:t>服务期限：202</w:t>
            </w:r>
            <w:r>
              <w:rPr>
                <w:rFonts w:hint="eastAsia" w:ascii="Times New Roman" w:hAnsi="Times New Roman" w:eastAsia="方正仿宋_GBK" w:cs="Times New Roman"/>
                <w:b/>
                <w:bCs/>
                <w:color w:val="000000"/>
                <w:kern w:val="0"/>
                <w:szCs w:val="21"/>
                <w:highlight w:val="none"/>
                <w:lang w:val="en-US" w:eastAsia="zh-CN" w:bidi="ar"/>
              </w:rPr>
              <w:t>6</w:t>
            </w:r>
            <w:r>
              <w:rPr>
                <w:rFonts w:hint="default" w:ascii="Times New Roman" w:hAnsi="Times New Roman" w:eastAsia="方正仿宋_GBK" w:cs="Times New Roman"/>
                <w:b/>
                <w:bCs/>
                <w:color w:val="000000"/>
                <w:kern w:val="0"/>
                <w:szCs w:val="21"/>
                <w:highlight w:val="none"/>
                <w:lang w:bidi="ar"/>
              </w:rPr>
              <w:t>.1.1-202</w:t>
            </w:r>
            <w:r>
              <w:rPr>
                <w:rFonts w:hint="eastAsia" w:ascii="Times New Roman" w:hAnsi="Times New Roman" w:eastAsia="方正仿宋_GBK" w:cs="Times New Roman"/>
                <w:b/>
                <w:bCs/>
                <w:color w:val="000000"/>
                <w:kern w:val="0"/>
                <w:szCs w:val="21"/>
                <w:highlight w:val="none"/>
                <w:lang w:val="en-US" w:eastAsia="zh-CN" w:bidi="ar"/>
              </w:rPr>
              <w:t>6</w:t>
            </w:r>
            <w:r>
              <w:rPr>
                <w:rFonts w:hint="default" w:ascii="Times New Roman" w:hAnsi="Times New Roman" w:eastAsia="方正仿宋_GBK" w:cs="Times New Roman"/>
                <w:b/>
                <w:bCs/>
                <w:color w:val="000000"/>
                <w:kern w:val="0"/>
                <w:szCs w:val="21"/>
                <w:highlight w:val="none"/>
                <w:lang w:bidi="ar"/>
              </w:rPr>
              <w:t>.12.31，共计12个月。</w:t>
            </w:r>
          </w:p>
        </w:tc>
      </w:tr>
      <w:tr w14:paraId="27F9FC60">
        <w:tblPrEx>
          <w:tblCellMar>
            <w:top w:w="0" w:type="dxa"/>
            <w:left w:w="108" w:type="dxa"/>
            <w:bottom w:w="0" w:type="dxa"/>
            <w:right w:w="108" w:type="dxa"/>
          </w:tblCellMar>
        </w:tblPrEx>
        <w:trPr>
          <w:trHeight w:val="878"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14:paraId="2052748D">
            <w:pPr>
              <w:widowControl/>
              <w:textAlignment w:val="center"/>
              <w:rPr>
                <w:rFonts w:hint="eastAsia" w:ascii="Times New Roman" w:hAnsi="Times New Roman" w:eastAsia="方正仿宋_GBK" w:cs="Times New Roman"/>
                <w:b/>
                <w:bCs/>
                <w:color w:val="000000"/>
                <w:kern w:val="0"/>
                <w:szCs w:val="21"/>
                <w:highlight w:val="none"/>
                <w:lang w:val="en-US" w:eastAsia="zh-CN" w:bidi="ar"/>
              </w:rPr>
            </w:pPr>
            <w:r>
              <w:rPr>
                <w:rFonts w:hint="eastAsia" w:ascii="Times New Roman" w:hAnsi="Times New Roman" w:eastAsia="方正仿宋_GBK" w:cs="Times New Roman"/>
                <w:b/>
                <w:bCs/>
                <w:color w:val="000000"/>
                <w:kern w:val="0"/>
                <w:szCs w:val="21"/>
                <w:highlight w:val="none"/>
                <w:lang w:val="en-US" w:eastAsia="zh-CN" w:bidi="ar"/>
              </w:rPr>
              <w:t>三、备注：1.</w:t>
            </w:r>
            <w:r>
              <w:rPr>
                <w:rFonts w:hint="default" w:ascii="Times New Roman" w:hAnsi="Times New Roman" w:eastAsia="方正仿宋_GBK" w:cs="Times New Roman"/>
                <w:b/>
                <w:bCs/>
                <w:color w:val="000000"/>
                <w:kern w:val="0"/>
                <w:szCs w:val="21"/>
                <w:highlight w:val="none"/>
                <w:lang w:bidi="ar"/>
              </w:rPr>
              <w:t>上述报价为包干价，含300元及300元以内的配件免费更换。</w:t>
            </w:r>
          </w:p>
          <w:p w14:paraId="094C7797">
            <w:pPr>
              <w:widowControl/>
              <w:ind w:firstLine="1004" w:firstLineChars="500"/>
              <w:textAlignment w:val="center"/>
              <w:rPr>
                <w:rFonts w:hint="default" w:ascii="Times New Roman" w:hAnsi="Times New Roman" w:eastAsia="方正仿宋_GBK" w:cs="Times New Roman"/>
                <w:b/>
                <w:bCs/>
                <w:color w:val="000000"/>
                <w:kern w:val="0"/>
                <w:szCs w:val="21"/>
                <w:highlight w:val="none"/>
                <w:lang w:val="en-US" w:eastAsia="zh-CN" w:bidi="ar"/>
              </w:rPr>
            </w:pPr>
            <w:r>
              <w:rPr>
                <w:rFonts w:hint="eastAsia" w:ascii="Times New Roman" w:hAnsi="Times New Roman" w:eastAsia="方正仿宋_GBK" w:cs="Times New Roman"/>
                <w:b/>
                <w:bCs/>
                <w:color w:val="000000"/>
                <w:kern w:val="0"/>
                <w:szCs w:val="21"/>
                <w:highlight w:val="none"/>
                <w:lang w:val="en-US" w:eastAsia="zh-CN" w:bidi="ar"/>
              </w:rPr>
              <w:t>2.</w:t>
            </w:r>
            <w:r>
              <w:rPr>
                <w:rFonts w:hint="default" w:ascii="Times New Roman" w:hAnsi="Times New Roman" w:eastAsia="方正仿宋_GBK" w:cs="Times New Roman"/>
                <w:b/>
                <w:bCs/>
                <w:color w:val="000000"/>
                <w:kern w:val="0"/>
                <w:szCs w:val="21"/>
                <w:highlight w:val="none"/>
                <w:lang w:bidi="ar"/>
              </w:rPr>
              <w:t>所填报价格必须保留至小数点后2位，小数点后无数字时填写0</w:t>
            </w:r>
            <w:r>
              <w:rPr>
                <w:rFonts w:hint="eastAsia" w:ascii="Times New Roman" w:hAnsi="Times New Roman" w:eastAsia="方正仿宋_GBK" w:cs="Times New Roman"/>
                <w:b/>
                <w:bCs/>
                <w:color w:val="000000"/>
                <w:kern w:val="0"/>
                <w:szCs w:val="21"/>
                <w:highlight w:val="none"/>
                <w:lang w:eastAsia="zh-CN" w:bidi="ar"/>
              </w:rPr>
              <w:t>。</w:t>
            </w:r>
          </w:p>
        </w:tc>
      </w:tr>
    </w:tbl>
    <w:p w14:paraId="5FEACF5C">
      <w:pPr>
        <w:numPr>
          <w:ilvl w:val="0"/>
          <w:numId w:val="3"/>
        </w:num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结算方式</w:t>
      </w:r>
    </w:p>
    <w:p w14:paraId="2A7C3921">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维修保养费用按</w:t>
      </w:r>
      <w:r>
        <w:rPr>
          <w:rFonts w:hint="eastAsia" w:ascii="Times New Roman" w:hAnsi="Times New Roman" w:eastAsia="方正仿宋_GBK" w:cs="Times New Roman"/>
          <w:color w:val="000000"/>
          <w:kern w:val="0"/>
          <w:sz w:val="28"/>
          <w:szCs w:val="28"/>
          <w:highlight w:val="none"/>
          <w:lang w:eastAsia="zh-CN"/>
        </w:rPr>
        <w:t>月考核，按</w:t>
      </w:r>
      <w:r>
        <w:rPr>
          <w:rFonts w:hint="default" w:ascii="Times New Roman" w:hAnsi="Times New Roman" w:eastAsia="方正仿宋_GBK" w:cs="Times New Roman"/>
          <w:color w:val="000000"/>
          <w:kern w:val="0"/>
          <w:sz w:val="28"/>
          <w:szCs w:val="28"/>
          <w:highlight w:val="none"/>
        </w:rPr>
        <w:t>季度结算，即自合同起始日计算，每3个自然月为一个季度，先服务后付费。</w:t>
      </w:r>
    </w:p>
    <w:p w14:paraId="478D1ED4">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（三）付款方式</w:t>
      </w:r>
    </w:p>
    <w:p w14:paraId="3CA5021E">
      <w:pPr>
        <w:adjustRightInd w:val="0"/>
        <w:spacing w:line="600" w:lineRule="exact"/>
        <w:ind w:firstLine="560" w:firstLineChars="200"/>
        <w:rPr>
          <w:rFonts w:hint="default" w:ascii="Times New Roman" w:hAnsi="Times New Roman" w:eastAsia="方正仿宋_GBK" w:cs="Times New Roman"/>
          <w:b w:val="0"/>
          <w:bCs w:val="0"/>
          <w:color w:val="000000"/>
          <w:kern w:val="0"/>
          <w:sz w:val="28"/>
          <w:szCs w:val="28"/>
          <w:highlight w:val="none"/>
        </w:rPr>
      </w:pPr>
      <w:r>
        <w:rPr>
          <w:rFonts w:hint="default" w:ascii="Times New Roman" w:hAnsi="Times New Roman" w:eastAsia="方正仿宋_GBK" w:cs="Times New Roman"/>
          <w:b w:val="0"/>
          <w:bCs w:val="0"/>
          <w:color w:val="000000"/>
          <w:kern w:val="0"/>
          <w:sz w:val="28"/>
          <w:szCs w:val="28"/>
          <w:highlight w:val="none"/>
        </w:rPr>
        <w:t>1.每月考核总分100分，得分低于90分，扣除当月服务费的5％；得分低于85分，扣除当月服务费的10％；得分低于80分，扣除当月服务费的20％；连续2次出现或合同期内累积出现3次月考核分低于80分的情况，比选邀请人有权单方解除合同，履约保证金不予退还且不被视为违约，并要求比选被邀请人支付合同总金额20%的违约金。</w:t>
      </w:r>
    </w:p>
    <w:p w14:paraId="2225D9BF">
      <w:pPr>
        <w:adjustRightInd w:val="0"/>
        <w:spacing w:line="600" w:lineRule="exact"/>
        <w:ind w:firstLine="560" w:firstLineChars="200"/>
        <w:rPr>
          <w:rFonts w:hint="default" w:ascii="Times New Roman" w:hAnsi="Times New Roman" w:eastAsia="方正仿宋_GBK" w:cs="Times New Roman"/>
          <w:b w:val="0"/>
          <w:bCs w:val="0"/>
          <w:color w:val="000000"/>
          <w:kern w:val="0"/>
          <w:sz w:val="28"/>
          <w:szCs w:val="28"/>
          <w:highlight w:val="none"/>
        </w:rPr>
      </w:pPr>
      <w:r>
        <w:rPr>
          <w:rFonts w:hint="default" w:ascii="Times New Roman" w:hAnsi="Times New Roman" w:eastAsia="方正仿宋_GBK" w:cs="Times New Roman"/>
          <w:b w:val="0"/>
          <w:bCs w:val="0"/>
          <w:color w:val="000000"/>
          <w:kern w:val="0"/>
          <w:sz w:val="28"/>
          <w:szCs w:val="28"/>
          <w:highlight w:val="none"/>
        </w:rPr>
        <w:t>2.按月考核，按季度支付服务费。在中选单位全面履行合同的前提下，比选邀请人在下季度第一个月5日前完成该季度服务考核，并与中选单位进行费用对账，原则上在5个工作日内完成对账，如一方对数据有异议，可适当延长对账时间，直至双方确认无误。对账完成后，中选单位按照比选邀请人要求开具足额增值税专用发票，比选邀请人收到发票后一个月内付款。</w:t>
      </w:r>
    </w:p>
    <w:p w14:paraId="0AB31666">
      <w:pPr>
        <w:adjustRightInd w:val="0"/>
        <w:spacing w:line="600" w:lineRule="exact"/>
        <w:ind w:firstLine="560" w:firstLineChars="200"/>
        <w:rPr>
          <w:rFonts w:hint="default" w:ascii="Times New Roman" w:hAnsi="Times New Roman" w:eastAsia="方正仿宋_GBK" w:cs="Times New Roman"/>
          <w:b w:val="0"/>
          <w:bCs w:val="0"/>
          <w:color w:val="000000"/>
          <w:kern w:val="0"/>
          <w:sz w:val="28"/>
          <w:szCs w:val="28"/>
          <w:highlight w:val="none"/>
        </w:rPr>
      </w:pPr>
      <w:r>
        <w:rPr>
          <w:rFonts w:hint="default" w:ascii="Times New Roman" w:hAnsi="Times New Roman" w:eastAsia="方正仿宋_GBK" w:cs="Times New Roman"/>
          <w:b w:val="0"/>
          <w:bCs w:val="0"/>
          <w:color w:val="000000"/>
          <w:kern w:val="0"/>
          <w:sz w:val="28"/>
          <w:szCs w:val="28"/>
          <w:highlight w:val="none"/>
        </w:rPr>
        <w:t>3.服务费结算公式：</w:t>
      </w:r>
    </w:p>
    <w:p w14:paraId="3235CD7B">
      <w:pPr>
        <w:adjustRightInd w:val="0"/>
        <w:spacing w:line="600" w:lineRule="exact"/>
        <w:ind w:firstLine="562" w:firstLineChars="200"/>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b/>
          <w:bCs/>
          <w:color w:val="000000"/>
          <w:kern w:val="0"/>
          <w:sz w:val="28"/>
          <w:szCs w:val="28"/>
          <w:highlight w:val="none"/>
        </w:rPr>
        <w:t>项目每月服务费=合同约定支付金额-月度考核评分扣款-单项单次违约扣款。</w:t>
      </w:r>
    </w:p>
    <w:p w14:paraId="219AC7B6">
      <w:pPr>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eastAsia" w:eastAsia="方正仿宋_GBK" w:cs="Times New Roman"/>
          <w:color w:val="000000"/>
          <w:kern w:val="0"/>
          <w:sz w:val="28"/>
          <w:szCs w:val="28"/>
          <w:highlight w:val="none"/>
          <w:lang w:val="en-US" w:eastAsia="zh-CN"/>
        </w:rPr>
        <w:t>4.</w:t>
      </w:r>
      <w:r>
        <w:rPr>
          <w:rFonts w:hint="default" w:ascii="Times New Roman" w:hAnsi="Times New Roman" w:eastAsia="方正仿宋_GBK" w:cs="Times New Roman"/>
          <w:color w:val="000000"/>
          <w:kern w:val="0"/>
          <w:sz w:val="28"/>
          <w:szCs w:val="28"/>
          <w:highlight w:val="none"/>
        </w:rPr>
        <w:t>乙方在全面履行合同的前提下，甲乙双方在下季度第一个月5日前进行上一季度费用考核、对账，原则上在5个工作日内完成，如一方对数据有异议的，可适当延长对账时间，直至双方确认无误。对账完成后，乙方按照甲方要求开具足额增值税专用发票（税率为</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%），甲方收到发票后一个月内付款，乙方提供的发票应符合甲方的要求，因提供的发票不符合甲方的规定所导致的一切问题由乙方自行承担。</w:t>
      </w:r>
      <w:r>
        <w:rPr>
          <w:rFonts w:hint="default" w:ascii="Times New Roman" w:hAnsi="Times New Roman" w:eastAsia="方正仿宋_GBK" w:cs="Times New Roman"/>
          <w:b w:val="0"/>
          <w:bCs/>
          <w:color w:val="000000"/>
          <w:kern w:val="2"/>
          <w:sz w:val="28"/>
          <w:szCs w:val="28"/>
          <w:highlight w:val="none"/>
          <w:lang w:val="en-US" w:eastAsia="zh-CN" w:bidi="ar-SA"/>
        </w:rPr>
        <w:t>若乙方未提供增值税专用发票，甲方有权拒绝支付相应款项，且不承担违约责任</w:t>
      </w:r>
      <w:r>
        <w:rPr>
          <w:rFonts w:hint="eastAsia" w:ascii="Times New Roman" w:hAnsi="Times New Roman" w:eastAsia="方正仿宋_GBK" w:cs="Times New Roman"/>
          <w:b w:val="0"/>
          <w:bCs/>
          <w:color w:val="000000"/>
          <w:kern w:val="2"/>
          <w:sz w:val="28"/>
          <w:szCs w:val="28"/>
          <w:highlight w:val="none"/>
          <w:lang w:val="en-US" w:eastAsia="zh-CN" w:bidi="ar-SA"/>
        </w:rPr>
        <w:t>。</w:t>
      </w:r>
    </w:p>
    <w:p w14:paraId="68D2EB8F">
      <w:pPr>
        <w:adjustRightInd w:val="0"/>
        <w:spacing w:line="600" w:lineRule="exact"/>
        <w:ind w:firstLine="560" w:firstLineChars="200"/>
        <w:rPr>
          <w:rFonts w:hint="eastAsia" w:ascii="Times New Roman" w:hAnsi="Times New Roman" w:eastAsia="方正仿宋_GBK" w:cs="Times New Roman"/>
          <w:color w:val="000000"/>
          <w:kern w:val="0"/>
          <w:sz w:val="28"/>
          <w:szCs w:val="28"/>
          <w:highlight w:val="none"/>
          <w:lang w:val="en-US" w:eastAsia="zh-CN"/>
        </w:rPr>
      </w:pPr>
      <w:r>
        <w:rPr>
          <w:rFonts w:hint="default" w:ascii="Times New Roman" w:hAnsi="Times New Roman" w:eastAsia="方正仿宋_GBK" w:cs="Times New Roman"/>
          <w:color w:val="000000"/>
          <w:kern w:val="0"/>
          <w:sz w:val="28"/>
          <w:szCs w:val="28"/>
          <w:highlight w:val="none"/>
        </w:rPr>
        <w:t>（四）</w:t>
      </w:r>
      <w:r>
        <w:rPr>
          <w:rFonts w:hint="eastAsia" w:ascii="Times New Roman" w:hAnsi="Times New Roman" w:eastAsia="方正仿宋_GBK" w:cs="Times New Roman"/>
          <w:color w:val="000000"/>
          <w:kern w:val="0"/>
          <w:sz w:val="28"/>
          <w:szCs w:val="28"/>
          <w:highlight w:val="none"/>
          <w:lang w:val="en-US" w:eastAsia="zh-CN"/>
        </w:rPr>
        <w:t>账户信息</w:t>
      </w:r>
    </w:p>
    <w:p w14:paraId="5CB3AC9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color w:val="000000"/>
          <w:sz w:val="28"/>
          <w:szCs w:val="28"/>
          <w:highlight w:val="none"/>
          <w:lang w:val="en-US" w:eastAsia="zh-CN"/>
        </w:rPr>
      </w:pPr>
      <w:r>
        <w:rPr>
          <w:rFonts w:hint="eastAsia" w:ascii="Times New Roman" w:hAnsi="Times New Roman" w:eastAsia="方正仿宋_GBK" w:cs="Times New Roman"/>
          <w:color w:val="000000"/>
          <w:sz w:val="28"/>
          <w:szCs w:val="28"/>
          <w:highlight w:val="none"/>
          <w:lang w:val="en-US" w:eastAsia="zh-CN"/>
        </w:rPr>
        <w:t>1.</w:t>
      </w:r>
      <w:r>
        <w:rPr>
          <w:rFonts w:hint="default" w:ascii="Times New Roman" w:hAnsi="Times New Roman" w:eastAsia="方正仿宋_GBK" w:cs="Times New Roman"/>
          <w:color w:val="000000"/>
          <w:sz w:val="28"/>
          <w:szCs w:val="28"/>
          <w:highlight w:val="none"/>
          <w:lang w:val="en-US" w:eastAsia="zh-CN"/>
        </w:rPr>
        <w:t>甲方开票信息及账户：</w:t>
      </w:r>
    </w:p>
    <w:p w14:paraId="4C83C89F">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公司名称：</w:t>
      </w:r>
      <w:r>
        <w:rPr>
          <w:rFonts w:hint="eastAsia" w:ascii="Times New Roman" w:hAnsi="Times New Roman" w:eastAsia="方正仿宋_GBK" w:cs="Times New Roman"/>
          <w:color w:val="000000"/>
          <w:sz w:val="28"/>
          <w:szCs w:val="28"/>
          <w:highlight w:val="none"/>
          <w:u w:val="single"/>
          <w:lang w:eastAsia="zh-CN"/>
        </w:rPr>
        <w:t>重庆通邑卫士智慧生活服务有限公司</w:t>
      </w:r>
    </w:p>
    <w:p w14:paraId="5EBD0656">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社会信用代码：</w:t>
      </w:r>
      <w:r>
        <w:rPr>
          <w:rFonts w:hint="default" w:ascii="Times New Roman" w:hAnsi="Times New Roman" w:eastAsia="方正仿宋_GBK" w:cs="Times New Roman"/>
          <w:color w:val="000000"/>
          <w:sz w:val="28"/>
          <w:szCs w:val="28"/>
          <w:highlight w:val="none"/>
          <w:u w:val="single"/>
        </w:rPr>
        <w:t>91500108MAABR5292U</w:t>
      </w:r>
    </w:p>
    <w:p w14:paraId="4D4D602D">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银行账号：</w:t>
      </w:r>
      <w:r>
        <w:rPr>
          <w:rFonts w:hint="default" w:ascii="Times New Roman" w:hAnsi="Times New Roman" w:eastAsia="方正仿宋_GBK" w:cs="Times New Roman"/>
          <w:color w:val="000000"/>
          <w:sz w:val="28"/>
          <w:szCs w:val="28"/>
          <w:highlight w:val="none"/>
          <w:u w:val="single"/>
        </w:rPr>
        <w:t>648680030</w:t>
      </w:r>
    </w:p>
    <w:p w14:paraId="0E170A2D">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开户银行：</w:t>
      </w:r>
      <w:r>
        <w:rPr>
          <w:rFonts w:hint="default" w:ascii="Times New Roman" w:hAnsi="Times New Roman" w:eastAsia="方正仿宋_GBK" w:cs="Times New Roman"/>
          <w:color w:val="000000"/>
          <w:sz w:val="28"/>
          <w:szCs w:val="28"/>
          <w:highlight w:val="none"/>
          <w:u w:val="single"/>
        </w:rPr>
        <w:t>民生银行南坪支行</w:t>
      </w:r>
    </w:p>
    <w:p w14:paraId="394941CB">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公司地址及电话：</w:t>
      </w:r>
      <w:r>
        <w:rPr>
          <w:rFonts w:hint="default" w:ascii="Times New Roman" w:hAnsi="Times New Roman" w:eastAsia="方正仿宋_GBK" w:cs="Times New Roman"/>
          <w:color w:val="000000"/>
          <w:sz w:val="28"/>
          <w:szCs w:val="28"/>
          <w:highlight w:val="none"/>
          <w:u w:val="single"/>
        </w:rPr>
        <w:t>重庆市南岸区腾龙大道58号，023-61751773</w:t>
      </w:r>
    </w:p>
    <w:p w14:paraId="521C24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color w:val="000000"/>
          <w:sz w:val="28"/>
          <w:szCs w:val="28"/>
          <w:highlight w:val="none"/>
          <w:lang w:val="en-US" w:eastAsia="zh-CN"/>
        </w:rPr>
      </w:pPr>
      <w:r>
        <w:rPr>
          <w:rFonts w:hint="eastAsia" w:ascii="Times New Roman" w:hAnsi="Times New Roman" w:eastAsia="方正仿宋_GBK" w:cs="Times New Roman"/>
          <w:color w:val="000000"/>
          <w:sz w:val="28"/>
          <w:szCs w:val="28"/>
          <w:highlight w:val="none"/>
          <w:lang w:val="en-US" w:eastAsia="zh-CN"/>
        </w:rPr>
        <w:t>2.</w:t>
      </w:r>
      <w:r>
        <w:rPr>
          <w:rFonts w:hint="default" w:ascii="Times New Roman" w:hAnsi="Times New Roman" w:eastAsia="方正仿宋_GBK" w:cs="Times New Roman"/>
          <w:color w:val="000000"/>
          <w:sz w:val="28"/>
          <w:szCs w:val="28"/>
          <w:highlight w:val="none"/>
          <w:lang w:val="en-US" w:eastAsia="zh-CN"/>
        </w:rPr>
        <w:t>乙方指定收款账户：</w:t>
      </w:r>
    </w:p>
    <w:p w14:paraId="359DF0CB">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公司名称：</w:t>
      </w:r>
      <w:r>
        <w:rPr>
          <w:rFonts w:hint="default" w:ascii="Times New Roman" w:hAnsi="Times New Roman" w:eastAsia="方正仿宋_GBK" w:cs="Times New Roman"/>
          <w:color w:val="000000"/>
          <w:sz w:val="28"/>
          <w:szCs w:val="28"/>
          <w:highlight w:val="none"/>
          <w:u w:val="single"/>
        </w:rPr>
        <w:t xml:space="preserve">                           </w:t>
      </w:r>
    </w:p>
    <w:p w14:paraId="11641B5D">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cs="Times New Roman"/>
          <w:color w:val="000000"/>
          <w:highlight w:val="none"/>
        </w:rPr>
      </w:pPr>
      <w:r>
        <w:rPr>
          <w:rFonts w:hint="default" w:ascii="Times New Roman" w:hAnsi="Times New Roman" w:eastAsia="方正仿宋_GBK" w:cs="Times New Roman"/>
          <w:color w:val="000000"/>
          <w:sz w:val="28"/>
          <w:szCs w:val="28"/>
          <w:highlight w:val="none"/>
        </w:rPr>
        <w:t>社会信用代码：</w:t>
      </w:r>
      <w:r>
        <w:rPr>
          <w:rFonts w:hint="default" w:ascii="Times New Roman" w:hAnsi="Times New Roman" w:eastAsia="方正仿宋_GBK" w:cs="Times New Roman"/>
          <w:color w:val="000000"/>
          <w:sz w:val="28"/>
          <w:szCs w:val="28"/>
          <w:highlight w:val="none"/>
          <w:u w:val="single"/>
        </w:rPr>
        <w:t xml:space="preserve">                       </w:t>
      </w:r>
    </w:p>
    <w:p w14:paraId="17E052D3">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银行账号：</w:t>
      </w:r>
      <w:r>
        <w:rPr>
          <w:rFonts w:hint="default" w:ascii="Times New Roman" w:hAnsi="Times New Roman" w:eastAsia="方正仿宋_GBK" w:cs="Times New Roman"/>
          <w:color w:val="000000"/>
          <w:sz w:val="28"/>
          <w:szCs w:val="28"/>
          <w:highlight w:val="none"/>
          <w:u w:val="single"/>
        </w:rPr>
        <w:t xml:space="preserve">                           </w:t>
      </w:r>
    </w:p>
    <w:p w14:paraId="1646B396">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开户银行：</w:t>
      </w:r>
      <w:r>
        <w:rPr>
          <w:rFonts w:hint="default" w:ascii="Times New Roman" w:hAnsi="Times New Roman" w:eastAsia="方正仿宋_GBK" w:cs="Times New Roman"/>
          <w:color w:val="000000"/>
          <w:sz w:val="28"/>
          <w:szCs w:val="28"/>
          <w:highlight w:val="none"/>
          <w:u w:val="single"/>
        </w:rPr>
        <w:t xml:space="preserve">                           </w:t>
      </w:r>
    </w:p>
    <w:p w14:paraId="239AA0DF">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公司地址及电话：</w:t>
      </w:r>
      <w:r>
        <w:rPr>
          <w:rFonts w:hint="default" w:ascii="Times New Roman" w:hAnsi="Times New Roman" w:eastAsia="方正仿宋_GBK" w:cs="Times New Roman"/>
          <w:color w:val="000000"/>
          <w:sz w:val="28"/>
          <w:szCs w:val="28"/>
          <w:highlight w:val="none"/>
          <w:u w:val="single"/>
        </w:rPr>
        <w:t xml:space="preserve">                     </w:t>
      </w:r>
    </w:p>
    <w:p w14:paraId="5F814352">
      <w:pPr>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color w:val="000000"/>
          <w:sz w:val="28"/>
          <w:szCs w:val="28"/>
          <w:highlight w:val="none"/>
          <w:lang w:val="en-US" w:eastAsia="zh-CN"/>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14:paraId="0C1290FC">
      <w:pPr>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（五）付款要求</w:t>
      </w:r>
    </w:p>
    <w:p w14:paraId="55DBCE8E">
      <w:pPr>
        <w:adjustRightInd w:val="0"/>
        <w:spacing w:line="600" w:lineRule="exact"/>
        <w:ind w:firstLine="560" w:firstLineChars="200"/>
        <w:jc w:val="left"/>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bCs/>
          <w:color w:val="000000"/>
          <w:kern w:val="0"/>
          <w:sz w:val="28"/>
          <w:szCs w:val="28"/>
          <w:highlight w:val="none"/>
        </w:rPr>
        <w:t>乙方同意：在支付各期维修费用前，甲方有权先行抵扣乙方于相应各期内应承担的违约金、赔偿金</w:t>
      </w:r>
      <w:r>
        <w:rPr>
          <w:rFonts w:hint="eastAsia" w:ascii="Times New Roman" w:hAnsi="Times New Roman" w:eastAsia="方正仿宋_GBK" w:cs="Times New Roman"/>
          <w:bCs/>
          <w:color w:val="000000"/>
          <w:kern w:val="0"/>
          <w:sz w:val="28"/>
          <w:szCs w:val="28"/>
          <w:highlight w:val="none"/>
          <w:lang w:eastAsia="zh-CN"/>
        </w:rPr>
        <w:t>及其他</w:t>
      </w:r>
      <w:r>
        <w:rPr>
          <w:rFonts w:hint="default" w:ascii="Times New Roman" w:hAnsi="Times New Roman" w:eastAsia="方正仿宋_GBK" w:cs="Times New Roman"/>
          <w:bCs/>
          <w:color w:val="000000"/>
          <w:kern w:val="0"/>
          <w:sz w:val="28"/>
          <w:szCs w:val="28"/>
          <w:highlight w:val="none"/>
        </w:rPr>
        <w:t>费用，然后才支付抵扣后的余额</w:t>
      </w:r>
      <w:r>
        <w:rPr>
          <w:rFonts w:hint="eastAsia" w:ascii="Times New Roman" w:hAnsi="Times New Roman" w:eastAsia="方正仿宋_GBK" w:cs="Times New Roman"/>
          <w:bCs/>
          <w:color w:val="000000"/>
          <w:kern w:val="0"/>
          <w:sz w:val="28"/>
          <w:szCs w:val="28"/>
          <w:highlight w:val="none"/>
          <w:lang w:eastAsia="zh-CN"/>
        </w:rPr>
        <w:t>，</w:t>
      </w:r>
      <w:r>
        <w:rPr>
          <w:rFonts w:hint="default" w:ascii="Times New Roman" w:hAnsi="Times New Roman" w:eastAsia="方正仿宋_GBK" w:cs="Times New Roman"/>
          <w:bCs/>
          <w:color w:val="000000"/>
          <w:kern w:val="0"/>
          <w:sz w:val="28"/>
          <w:szCs w:val="28"/>
          <w:highlight w:val="none"/>
        </w:rPr>
        <w:t>乙方按照抵扣后的金额开具发票。乙方提供的维保报告需经甲方确认，未经甲方确认的，甲方有权暂不支付该季度款项。</w:t>
      </w:r>
    </w:p>
    <w:p w14:paraId="05AD3B79">
      <w:pPr>
        <w:bidi/>
        <w:adjustRightInd w:val="0"/>
        <w:spacing w:line="600" w:lineRule="exact"/>
        <w:ind w:left="0" w:right="0"/>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第三条  甲方责任与义务</w:t>
      </w:r>
    </w:p>
    <w:p w14:paraId="0226831F">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（一）甲方责任</w:t>
      </w:r>
    </w:p>
    <w:p w14:paraId="4C34326C">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1.免费向乙方提供维修保养所需的水、电供应，并协助办理乙方人员进入本维保现场的有关手续。</w:t>
      </w:r>
    </w:p>
    <w:p w14:paraId="636AF196">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2.甲方提供现有货梯供乙方使用。</w:t>
      </w:r>
    </w:p>
    <w:p w14:paraId="329D581C">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3.接到乙方检修测试报告后，通知各相关方维修保养的工作时间，避免造成不必要的恐慌。</w:t>
      </w:r>
    </w:p>
    <w:p w14:paraId="498534F8">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4.保证乙方人员能顺利进入为有效执行服务而需要进入的全部地点和现场，但乙方人员应服从甲方的监督和管理，乙方人员因自身原因造成的人身伤害、财产损失由乙方自行负责。</w:t>
      </w:r>
    </w:p>
    <w:p w14:paraId="18E04041">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5.协助及配合乙方的月检/维保、季检/维保及年检/维保等工作。</w:t>
      </w:r>
    </w:p>
    <w:p w14:paraId="1B4AE4A1">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6.检查乙方的维保质量、进度、安全是否符合有关的文明施工规定和维保的质量要求。</w:t>
      </w:r>
    </w:p>
    <w:p w14:paraId="376EFA9A">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7.甲方依法依约配合提供供配电设备设施相关资料（如操作说明），</w:t>
      </w:r>
      <w:r>
        <w:rPr>
          <w:rFonts w:hint="eastAsia" w:ascii="Times New Roman" w:hAnsi="Times New Roman" w:eastAsia="方正仿宋_GBK" w:cs="Times New Roman"/>
          <w:color w:val="000000"/>
          <w:kern w:val="0"/>
          <w:sz w:val="28"/>
          <w:szCs w:val="28"/>
          <w:highlight w:val="none"/>
          <w:lang w:eastAsia="zh-CN"/>
        </w:rPr>
        <w:t>其他</w:t>
      </w:r>
      <w:r>
        <w:rPr>
          <w:rFonts w:hint="default" w:ascii="Times New Roman" w:hAnsi="Times New Roman" w:eastAsia="方正仿宋_GBK" w:cs="Times New Roman"/>
          <w:color w:val="000000"/>
          <w:kern w:val="0"/>
          <w:sz w:val="28"/>
          <w:szCs w:val="28"/>
          <w:highlight w:val="none"/>
        </w:rPr>
        <w:t>工程资料及相关图纸由乙方自行负责。</w:t>
      </w:r>
    </w:p>
    <w:p w14:paraId="751358A4">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第四条  乙方责任与义务</w:t>
      </w:r>
    </w:p>
    <w:p w14:paraId="625D5761">
      <w:pPr>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kern w:val="0"/>
          <w:sz w:val="28"/>
          <w:szCs w:val="28"/>
          <w:highlight w:val="none"/>
        </w:rPr>
        <w:t>（一）乙方项目负责人</w:t>
      </w:r>
    </w:p>
    <w:p w14:paraId="6C8DAA1C">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1.乙方任命的项目负责人须具备5年及以上同岗位工作经历，持相应执业资格证书，具有工程类中级及以上职称，若</w:t>
      </w:r>
      <w:r>
        <w:rPr>
          <w:rFonts w:hint="default" w:ascii="Times New Roman" w:hAnsi="Times New Roman" w:eastAsia="方正仿宋_GBK" w:cs="Times New Roman"/>
          <w:bCs/>
          <w:color w:val="000000"/>
          <w:kern w:val="0"/>
          <w:sz w:val="28"/>
          <w:szCs w:val="28"/>
          <w:highlight w:val="none"/>
        </w:rPr>
        <w:t>乙方需更换项目负责人</w:t>
      </w:r>
      <w:r>
        <w:rPr>
          <w:rFonts w:hint="default" w:ascii="Times New Roman" w:hAnsi="Times New Roman" w:eastAsia="方正仿宋_GBK" w:cs="Times New Roman"/>
          <w:color w:val="000000"/>
          <w:kern w:val="0"/>
          <w:sz w:val="28"/>
          <w:szCs w:val="28"/>
          <w:highlight w:val="none"/>
        </w:rPr>
        <w:t>，须书面征得甲方同意，否则视为乙方违约。</w:t>
      </w:r>
    </w:p>
    <w:p w14:paraId="1F3DEE15">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2.乙方任命的项目负责人负责维修保养及值班工作的落实和管理，并对甲方在维修保养过程中提出的问题进行及时</w:t>
      </w:r>
      <w:r>
        <w:rPr>
          <w:rFonts w:hint="eastAsia" w:ascii="Times New Roman" w:hAnsi="Times New Roman" w:eastAsia="方正仿宋_GBK" w:cs="Times New Roman"/>
          <w:color w:val="000000"/>
          <w:kern w:val="0"/>
          <w:sz w:val="28"/>
          <w:szCs w:val="28"/>
          <w:highlight w:val="none"/>
          <w:lang w:eastAsia="zh-CN"/>
        </w:rPr>
        <w:t>地</w:t>
      </w:r>
      <w:r>
        <w:rPr>
          <w:rFonts w:hint="default" w:ascii="Times New Roman" w:hAnsi="Times New Roman" w:eastAsia="方正仿宋_GBK" w:cs="Times New Roman"/>
          <w:color w:val="000000"/>
          <w:kern w:val="0"/>
          <w:sz w:val="28"/>
          <w:szCs w:val="28"/>
          <w:highlight w:val="none"/>
        </w:rPr>
        <w:t>回复和处理。</w:t>
      </w:r>
    </w:p>
    <w:p w14:paraId="1A12252A">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3.乙方委派</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 xml:space="preserve"> 作为项目负责人，联系方式（手机：</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w:t>
      </w:r>
    </w:p>
    <w:p w14:paraId="0217C31E">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（二）乙方责任</w:t>
      </w:r>
    </w:p>
    <w:p w14:paraId="5D7D5FE6">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1.依照国家法律法规及行业规范提供服务，包括但不限于按照合同约定、《电气设备预防性试验规程》（DL/T596-2019）、《电气设备交接试验标准》（GB50150-2016）</w:t>
      </w:r>
      <w:r>
        <w:rPr>
          <w:rFonts w:hint="default" w:ascii="Times New Roman" w:hAnsi="Times New Roman" w:eastAsia="方正仿宋_GBK" w:cs="Times New Roman"/>
          <w:color w:val="000000"/>
          <w:sz w:val="28"/>
          <w:szCs w:val="28"/>
          <w:highlight w:val="none"/>
        </w:rPr>
        <w:t>等</w:t>
      </w:r>
      <w:r>
        <w:rPr>
          <w:rFonts w:hint="default" w:ascii="Times New Roman" w:hAnsi="Times New Roman" w:eastAsia="方正仿宋_GBK" w:cs="Times New Roman"/>
          <w:color w:val="000000"/>
          <w:kern w:val="0"/>
          <w:sz w:val="28"/>
          <w:szCs w:val="28"/>
          <w:highlight w:val="none"/>
        </w:rPr>
        <w:t>标准进行维修保养和检测。</w:t>
      </w:r>
    </w:p>
    <w:p w14:paraId="3BD28C77">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2.购买不低于100万元赔付额度的公众责任保险和一定赔付额度的雇主责任保险。乙方须按政府有关法规管理，与其维修保养人员签订劳动合同，购买有效、足额的劳动保险及第三者保险。乙方维修保养人员在履行本合同过程中发生的任何工伤、劳动纠纷、意外等事故或第三者索赔责任，概由乙方承担。乙方维修保养人员因维护自身劳动权益而提起劳动仲裁及诉讼时，由乙方承担全部责任，与甲方无关。</w:t>
      </w:r>
    </w:p>
    <w:p w14:paraId="5208EEA9">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3.在合同签订生效后，乙方应遵守甲方现场管理规定，对现场各种供配电设备设施进行全面检查，并在15天内向甲方提交书面报告。</w:t>
      </w:r>
    </w:p>
    <w:p w14:paraId="4F0308B8">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4.乙方至少派驻4名维保人员至项目，所有技术人员都必须取得国家认可的供配电维保从业资格证书，至少从事同类岗位工作两年。每月至少到场维修保养两次/巡视检查并有记录。乙方每年更换现场维保人员不得超过2人次，每次更换前须征得甲方书面同意，否则视为乙方违约。如遇特殊情况突发事件维修人数不够情况下，乙方应合理增加人数。</w:t>
      </w:r>
    </w:p>
    <w:p w14:paraId="04DDE521">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5.乙方根据相关法律法规及合同要求，对供配电设施设备及相应工具定期检查、维修和保养。在合同签订后十天内，向甲方提供《供配电设备设施年度维修保养计划》，在每月25日前提供下月《供配电设备设施月度维修保养计划》。</w:t>
      </w:r>
    </w:p>
    <w:p w14:paraId="00DFC8C4">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6.乙方每月按合同条款约定内容进行检查、维保，并出具书面维保报告和记录，次月5日前将检查记录、维保报告交由所在项目服务中心签字确认。经所在项目服务中心审核签字后的维保报告作为季度付款依据。乙方须每年向所在项目提交一份年度维保书面报告，若不能按要求出具书面报告，一次扣罚500元人民币。</w:t>
      </w:r>
    </w:p>
    <w:p w14:paraId="2FEFAD33">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7.接到甲方配电房故障通知后，乙方应迅速组织维护人员确保在最短时间内对配电设施故障进行排除、维保。原则上，一般故障应4小时内到场，8小时内修复；紧急情况1小时内到场，4小时内修复。在规定时间内不能修复的，必须提前以书面形式通知甲方，内容包括下一步如何处理的方案、计划修复完成的时间和在此时间内的安全措施。若无故不能准时达到，每次扣罚200元人民币。乙方若未能在规定的时间内赶到现场达到三次的将自动解除合同，</w:t>
      </w:r>
      <w:r>
        <w:rPr>
          <w:rFonts w:hint="eastAsia" w:ascii="Times New Roman" w:hAnsi="Times New Roman" w:eastAsia="方正仿宋_GBK" w:cs="Times New Roman"/>
          <w:color w:val="000000"/>
          <w:kern w:val="0"/>
          <w:sz w:val="28"/>
          <w:szCs w:val="28"/>
          <w:highlight w:val="none"/>
          <w:lang w:eastAsia="zh-CN"/>
        </w:rPr>
        <w:t>视同</w:t>
      </w:r>
      <w:r>
        <w:rPr>
          <w:rFonts w:hint="default" w:ascii="Times New Roman" w:hAnsi="Times New Roman" w:eastAsia="方正仿宋_GBK" w:cs="Times New Roman"/>
          <w:color w:val="000000"/>
          <w:kern w:val="0"/>
          <w:sz w:val="28"/>
          <w:szCs w:val="28"/>
          <w:highlight w:val="none"/>
        </w:rPr>
        <w:t>乙方违约并赔付甲方的损失。</w:t>
      </w:r>
    </w:p>
    <w:p w14:paraId="67337280">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8.乙方在维修保养过程中，若发现供配电设备设施存在不完善或安全隐患时，应按合同约定要求进行修复整改，如有改进措施应主动通知甲方，并配合甲方进行整改。</w:t>
      </w:r>
    </w:p>
    <w:p w14:paraId="7654FFB3">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9.乙方巡检、维保的每一设备、设施均必须按单项进行具体记录。其效果达到本合同约定及相关法律法规的要求。</w:t>
      </w:r>
    </w:p>
    <w:p w14:paraId="3B45C1F6">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10.在维修保养期中，因乙方人员操作不当造成检查、维保不当，或经甲方提示后，乙方未按甲方的提示要求操作，而造成不良影响和损失的，由乙方负责。非因乙方责任造成的事故，乙方仍须积极配合甲方进行处理。</w:t>
      </w:r>
    </w:p>
    <w:p w14:paraId="0A526694">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11.乙方值班人员及维修人员必须遵守甲方的管理制度和规定，不得</w:t>
      </w:r>
      <w:r>
        <w:rPr>
          <w:rFonts w:hint="eastAsia" w:ascii="Times New Roman" w:hAnsi="Times New Roman" w:eastAsia="方正仿宋_GBK" w:cs="Times New Roman"/>
          <w:color w:val="000000"/>
          <w:kern w:val="0"/>
          <w:sz w:val="28"/>
          <w:szCs w:val="28"/>
          <w:highlight w:val="none"/>
          <w:lang w:eastAsia="zh-CN"/>
        </w:rPr>
        <w:t>将其他</w:t>
      </w:r>
      <w:r>
        <w:rPr>
          <w:rFonts w:hint="default" w:ascii="Times New Roman" w:hAnsi="Times New Roman" w:eastAsia="方正仿宋_GBK" w:cs="Times New Roman"/>
          <w:color w:val="000000"/>
          <w:kern w:val="0"/>
          <w:sz w:val="28"/>
          <w:szCs w:val="28"/>
          <w:highlight w:val="none"/>
        </w:rPr>
        <w:t>单位的材料、设备带进/带出服务区域。乙方员工上班时应穿着工作服，文明作业。</w:t>
      </w:r>
    </w:p>
    <w:p w14:paraId="17CF00CD">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12.免费为甲方相关人员进行供配电设备设施维修保养常识、应急处理等相关知识培训，指导甲方相关人员熟悉和正确使用、操作供配电设备。</w:t>
      </w:r>
    </w:p>
    <w:p w14:paraId="3397CE1C">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13.甲方如有重大的项目接待或公众节假日前</w:t>
      </w:r>
      <w:r>
        <w:rPr>
          <w:rFonts w:hint="default" w:ascii="Times New Roman" w:hAnsi="Times New Roman" w:eastAsia="方正仿宋_GBK" w:cs="Times New Roman"/>
          <w:color w:val="000000"/>
          <w:sz w:val="28"/>
          <w:szCs w:val="28"/>
          <w:highlight w:val="none"/>
          <w:shd w:val="clear" w:color="auto" w:fill="FFFFFF"/>
        </w:rPr>
        <w:t>（包括但不限于五一、十一、元旦、春节等）</w:t>
      </w:r>
      <w:r>
        <w:rPr>
          <w:rFonts w:hint="default" w:ascii="Times New Roman" w:hAnsi="Times New Roman" w:eastAsia="方正仿宋_GBK" w:cs="Times New Roman"/>
          <w:color w:val="000000"/>
          <w:kern w:val="0"/>
          <w:sz w:val="28"/>
          <w:szCs w:val="28"/>
          <w:highlight w:val="none"/>
        </w:rPr>
        <w:t>，乙方负责协助甲方进行供配电设备设施设备测试检查；甲方如有临时保养需要（如政府检查或其他原因），甲方提前通知乙方公司或直接通知乙方的维修保养人员，则乙方应在甲方指定期限内提供保养服务。服务标准须符合本合同及附件约定的要求。</w:t>
      </w:r>
    </w:p>
    <w:p w14:paraId="3AF24224">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14.如合同到期不续约，乙方应在合同到期后无条件与甲方选择的维保服务供应商和甲方项目管理处</w:t>
      </w:r>
      <w:r>
        <w:rPr>
          <w:rFonts w:hint="eastAsia" w:ascii="Times New Roman" w:hAnsi="Times New Roman" w:eastAsia="方正仿宋_GBK" w:cs="Times New Roman"/>
          <w:color w:val="000000"/>
          <w:kern w:val="0"/>
          <w:sz w:val="28"/>
          <w:szCs w:val="28"/>
          <w:highlight w:val="none"/>
          <w:lang w:eastAsia="zh-CN"/>
        </w:rPr>
        <w:t>做好</w:t>
      </w:r>
      <w:r>
        <w:rPr>
          <w:rFonts w:hint="default" w:ascii="Times New Roman" w:hAnsi="Times New Roman" w:eastAsia="方正仿宋_GBK" w:cs="Times New Roman"/>
          <w:color w:val="000000"/>
          <w:kern w:val="0"/>
          <w:sz w:val="28"/>
          <w:szCs w:val="28"/>
          <w:highlight w:val="none"/>
        </w:rPr>
        <w:t>书面文件及物品交接工作，否则视为乙方违约，甲方除有权暂停支付最后一季度的维保</w:t>
      </w:r>
      <w:r>
        <w:rPr>
          <w:rFonts w:hint="eastAsia" w:ascii="Times New Roman" w:hAnsi="Times New Roman" w:eastAsia="方正仿宋_GBK" w:cs="Times New Roman"/>
          <w:color w:val="000000"/>
          <w:kern w:val="0"/>
          <w:sz w:val="28"/>
          <w:szCs w:val="28"/>
          <w:highlight w:val="none"/>
          <w:lang w:eastAsia="zh-CN"/>
        </w:rPr>
        <w:t>费用</w:t>
      </w:r>
      <w:r>
        <w:rPr>
          <w:rFonts w:hint="default" w:ascii="Times New Roman" w:hAnsi="Times New Roman" w:eastAsia="方正仿宋_GBK" w:cs="Times New Roman"/>
          <w:color w:val="000000"/>
          <w:kern w:val="0"/>
          <w:sz w:val="28"/>
          <w:szCs w:val="28"/>
          <w:highlight w:val="none"/>
        </w:rPr>
        <w:t>，并有权委托第三方对供配电设备设施进行检查（费用由乙方承担），且乙方应无条件对前述检查发现的问题进行整改。</w:t>
      </w:r>
    </w:p>
    <w:p w14:paraId="71718361">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15.乙方对供配电设施设备进行的月度、年度等检测、维保，都必须严格执行以不影响甲方及商户正常经营为原则，将保养和检测工作安排在甲方营业时间之外。</w:t>
      </w:r>
    </w:p>
    <w:p w14:paraId="65C5CF1E">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16.乙方人员作业时不得损坏甲方管理范围内任何建筑物、财产、设施设备、物品等；否则，乙方应照价赔偿。</w:t>
      </w:r>
    </w:p>
    <w:p w14:paraId="53AD32A8">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17.乙方在本工程使用的材料、设备、技术等不得侵犯他人的知识产权，否则因此引起的一切法律责任由乙方承担，并赔偿因此给甲方造成的损失。</w:t>
      </w:r>
    </w:p>
    <w:p w14:paraId="0BBF04E5">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18.履行本合同及其相关附件约定要求。</w:t>
      </w:r>
    </w:p>
    <w:p w14:paraId="1DBB84C4">
      <w:pPr>
        <w:spacing w:line="600" w:lineRule="exact"/>
        <w:jc w:val="center"/>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b/>
          <w:bCs/>
          <w:color w:val="000000"/>
          <w:sz w:val="28"/>
          <w:szCs w:val="28"/>
          <w:highlight w:val="none"/>
        </w:rPr>
        <w:t>第五条  维修保养标准及书面报告</w:t>
      </w:r>
    </w:p>
    <w:p w14:paraId="04074781">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如政府相关主管部门需要，乙方须无偿提供相应主管部门认可的供配电设备设施检查报告，并协助甲方将每月、每年供配电设施设备维修保养的情况和检查结果， 以书面形式向相应主管部门报告。其内容包括：</w:t>
      </w:r>
    </w:p>
    <w:p w14:paraId="6F3E6F4C">
      <w:pPr>
        <w:tabs>
          <w:tab w:val="left" w:pos="1200"/>
        </w:tabs>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1.供配电设施设备的运转情况；</w:t>
      </w:r>
    </w:p>
    <w:p w14:paraId="364F4715">
      <w:pPr>
        <w:tabs>
          <w:tab w:val="left" w:pos="1200"/>
        </w:tabs>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2.维修保养和检查记录；</w:t>
      </w:r>
    </w:p>
    <w:p w14:paraId="1BA414F7">
      <w:pPr>
        <w:tabs>
          <w:tab w:val="left" w:pos="1200"/>
        </w:tabs>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3.供配电设施设备稳定性和可靠性的分析；</w:t>
      </w:r>
    </w:p>
    <w:p w14:paraId="15C33FD8">
      <w:pPr>
        <w:tabs>
          <w:tab w:val="left" w:pos="1200"/>
        </w:tabs>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4.保证供配电设施设备正常运转的有关建议。</w:t>
      </w:r>
    </w:p>
    <w:p w14:paraId="25DC61A4">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第六条  更换材料、设备的供应</w:t>
      </w:r>
    </w:p>
    <w:p w14:paraId="477B9BCC">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（一）保养期内，自然损坏及按产品说明书规定需更换的材料、设备零配件单次价格在</w:t>
      </w:r>
      <w:r>
        <w:rPr>
          <w:rFonts w:hint="default" w:ascii="Times New Roman" w:hAnsi="Times New Roman" w:eastAsia="方正仿宋_GBK" w:cs="Times New Roman"/>
          <w:color w:val="000000"/>
          <w:kern w:val="0"/>
          <w:sz w:val="28"/>
          <w:szCs w:val="28"/>
          <w:highlight w:val="none"/>
          <w:u w:val="single"/>
        </w:rPr>
        <w:t xml:space="preserve"> 300 </w:t>
      </w:r>
      <w:r>
        <w:rPr>
          <w:rFonts w:hint="default" w:ascii="Times New Roman" w:hAnsi="Times New Roman" w:eastAsia="方正仿宋_GBK" w:cs="Times New Roman"/>
          <w:color w:val="000000"/>
          <w:kern w:val="0"/>
          <w:sz w:val="28"/>
          <w:szCs w:val="28"/>
          <w:highlight w:val="none"/>
        </w:rPr>
        <w:t>元以内</w:t>
      </w:r>
      <w:r>
        <w:rPr>
          <w:rFonts w:hint="eastAsia" w:ascii="Times New Roman" w:hAnsi="Times New Roman" w:eastAsia="方正仿宋_GBK" w:cs="Times New Roman"/>
          <w:color w:val="000000"/>
          <w:kern w:val="0"/>
          <w:sz w:val="28"/>
          <w:szCs w:val="28"/>
          <w:highlight w:val="none"/>
          <w:lang w:eastAsia="zh-CN"/>
        </w:rPr>
        <w:t>（</w:t>
      </w:r>
      <w:r>
        <w:rPr>
          <w:rFonts w:hint="default" w:ascii="Times New Roman" w:hAnsi="Times New Roman" w:eastAsia="方正仿宋_GBK" w:cs="Times New Roman"/>
          <w:color w:val="000000"/>
          <w:kern w:val="0"/>
          <w:sz w:val="28"/>
          <w:szCs w:val="28"/>
          <w:highlight w:val="none"/>
        </w:rPr>
        <w:t>含</w:t>
      </w:r>
      <w:r>
        <w:rPr>
          <w:rFonts w:hint="default" w:ascii="Times New Roman" w:hAnsi="Times New Roman" w:eastAsia="方正仿宋_GBK" w:cs="Times New Roman"/>
          <w:color w:val="000000"/>
          <w:kern w:val="0"/>
          <w:sz w:val="28"/>
          <w:szCs w:val="28"/>
          <w:highlight w:val="none"/>
          <w:u w:val="single"/>
        </w:rPr>
        <w:t xml:space="preserve"> 300  </w:t>
      </w:r>
      <w:r>
        <w:rPr>
          <w:rFonts w:hint="default" w:ascii="Times New Roman" w:hAnsi="Times New Roman" w:eastAsia="方正仿宋_GBK" w:cs="Times New Roman"/>
          <w:color w:val="000000"/>
          <w:kern w:val="0"/>
          <w:sz w:val="28"/>
          <w:szCs w:val="28"/>
          <w:highlight w:val="none"/>
        </w:rPr>
        <w:t>元</w:t>
      </w:r>
      <w:r>
        <w:rPr>
          <w:rFonts w:hint="eastAsia" w:ascii="Times New Roman" w:hAnsi="Times New Roman" w:eastAsia="方正仿宋_GBK" w:cs="Times New Roman"/>
          <w:color w:val="000000"/>
          <w:kern w:val="0"/>
          <w:sz w:val="28"/>
          <w:szCs w:val="28"/>
          <w:highlight w:val="none"/>
          <w:lang w:eastAsia="zh-CN"/>
        </w:rPr>
        <w:t>）</w:t>
      </w:r>
      <w:r>
        <w:rPr>
          <w:rFonts w:hint="default" w:ascii="Times New Roman" w:hAnsi="Times New Roman" w:eastAsia="方正仿宋_GBK" w:cs="Times New Roman"/>
          <w:color w:val="000000"/>
          <w:kern w:val="0"/>
          <w:sz w:val="28"/>
          <w:szCs w:val="28"/>
          <w:highlight w:val="none"/>
        </w:rPr>
        <w:t>由乙方承担。每次更换材料、设备零配件，须经甲方书面确认。</w:t>
      </w:r>
    </w:p>
    <w:p w14:paraId="63B64735">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（二）单件零配件维修、更换费用在</w:t>
      </w:r>
      <w:r>
        <w:rPr>
          <w:rFonts w:hint="default" w:ascii="Times New Roman" w:hAnsi="Times New Roman" w:eastAsia="方正仿宋_GBK" w:cs="Times New Roman"/>
          <w:color w:val="000000"/>
          <w:kern w:val="0"/>
          <w:sz w:val="28"/>
          <w:szCs w:val="28"/>
          <w:highlight w:val="none"/>
          <w:u w:val="single"/>
        </w:rPr>
        <w:t xml:space="preserve"> 300  </w:t>
      </w:r>
      <w:r>
        <w:rPr>
          <w:rFonts w:hint="default" w:ascii="Times New Roman" w:hAnsi="Times New Roman" w:eastAsia="方正仿宋_GBK" w:cs="Times New Roman"/>
          <w:color w:val="000000"/>
          <w:kern w:val="0"/>
          <w:sz w:val="28"/>
          <w:szCs w:val="28"/>
          <w:highlight w:val="none"/>
        </w:rPr>
        <w:t>元以上的，由乙方提出更换报告和清单，甲方如需乙方代购的，经甲方书面同意后，乙方方可代为采购，购置费用由甲方承担。乙方保证所提供的零部件是原厂原装、合格的产品，并提供有效符合要求的增值税专用发票，拆除的零配件由甲方收回。</w:t>
      </w:r>
    </w:p>
    <w:p w14:paraId="6AE4F84A">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第七条  违约责任</w:t>
      </w:r>
    </w:p>
    <w:p w14:paraId="03CC8552">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合同期内，乙方应派出足够的维修和管理人员负责维保工作，保证服务的质量及效果，如乙方工作未符合本合同、附件约定及甲方要求，在甲方发出通知后二十四小时内仍未能改善者，甲方有权单方解除本合同，</w:t>
      </w:r>
      <w:r>
        <w:rPr>
          <w:rFonts w:hint="default" w:ascii="Times New Roman" w:hAnsi="Times New Roman" w:eastAsia="方正仿宋_GBK" w:cs="Times New Roman"/>
          <w:color w:val="000000"/>
          <w:kern w:val="2"/>
          <w:sz w:val="28"/>
          <w:szCs w:val="28"/>
          <w:highlight w:val="none"/>
          <w:lang w:bidi="ar"/>
        </w:rPr>
        <w:t>并要求乙方支付</w:t>
      </w:r>
      <w:r>
        <w:rPr>
          <w:rFonts w:hint="default" w:ascii="Times New Roman" w:hAnsi="Times New Roman" w:eastAsia="方正仿宋_GBK" w:cs="Times New Roman"/>
          <w:color w:val="000000"/>
          <w:kern w:val="2"/>
          <w:sz w:val="28"/>
          <w:szCs w:val="28"/>
          <w:highlight w:val="none"/>
          <w:lang w:val="en-US" w:eastAsia="zh-CN" w:bidi="ar"/>
        </w:rPr>
        <w:t>本</w:t>
      </w:r>
      <w:r>
        <w:rPr>
          <w:rFonts w:hint="default" w:ascii="Times New Roman" w:hAnsi="Times New Roman" w:eastAsia="方正仿宋_GBK" w:cs="Times New Roman"/>
          <w:color w:val="000000"/>
          <w:kern w:val="2"/>
          <w:sz w:val="28"/>
          <w:szCs w:val="28"/>
          <w:highlight w:val="none"/>
          <w:lang w:bidi="ar"/>
        </w:rPr>
        <w:t>合同总金额20%的违约金。</w:t>
      </w:r>
      <w:r>
        <w:rPr>
          <w:rFonts w:hint="default" w:ascii="Times New Roman" w:hAnsi="Times New Roman" w:eastAsia="方正仿宋_GBK" w:cs="Times New Roman"/>
          <w:color w:val="000000"/>
          <w:sz w:val="28"/>
          <w:szCs w:val="28"/>
          <w:highlight w:val="none"/>
        </w:rPr>
        <w:t>由于乙方责任，造成甲方或第三方人身或经济损失的，乙方承担全部赔偿责任。经甲方管理人员检查发现乙方现场作业人员未持证上岗的，每人每次扣款</w:t>
      </w:r>
      <w:r>
        <w:rPr>
          <w:rFonts w:hint="default" w:ascii="Times New Roman" w:hAnsi="Times New Roman" w:eastAsia="方正仿宋_GBK" w:cs="Times New Roman"/>
          <w:color w:val="000000"/>
          <w:sz w:val="28"/>
          <w:szCs w:val="28"/>
          <w:highlight w:val="none"/>
          <w:u w:val="single"/>
        </w:rPr>
        <w:t>1000</w:t>
      </w:r>
      <w:r>
        <w:rPr>
          <w:rFonts w:hint="default" w:ascii="Times New Roman" w:hAnsi="Times New Roman" w:eastAsia="方正仿宋_GBK" w:cs="Times New Roman"/>
          <w:color w:val="000000"/>
          <w:sz w:val="28"/>
          <w:szCs w:val="28"/>
          <w:highlight w:val="none"/>
        </w:rPr>
        <w:t>元。</w:t>
      </w:r>
    </w:p>
    <w:p w14:paraId="74B27DAF">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因乙方未能按约履行维护保养义务或者在本合同项内标的物出现故障通知乙方后，乙方未能在规定时间内赶到现场排除故障，甲方有权委托第三方进行维修或保养，所产生该部分额外费用由乙方承担。该情形每出现一次，乙方应按</w:t>
      </w:r>
      <w:r>
        <w:rPr>
          <w:rFonts w:hint="default" w:ascii="Times New Roman" w:hAnsi="Times New Roman" w:eastAsia="方正仿宋_GBK" w:cs="Times New Roman"/>
          <w:color w:val="000000"/>
          <w:sz w:val="28"/>
          <w:szCs w:val="28"/>
          <w:highlight w:val="none"/>
          <w:u w:val="single"/>
        </w:rPr>
        <w:t>1000</w:t>
      </w:r>
      <w:r>
        <w:rPr>
          <w:rFonts w:hint="default" w:ascii="Times New Roman" w:hAnsi="Times New Roman" w:eastAsia="方正仿宋_GBK" w:cs="Times New Roman"/>
          <w:color w:val="000000"/>
          <w:sz w:val="28"/>
          <w:szCs w:val="28"/>
          <w:highlight w:val="none"/>
        </w:rPr>
        <w:t>元/次为标准向甲方支付违约金，出现三次以上</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含三次</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的，乙方应以当月承包费为标准向甲方支付违约金，且甲方有权单方解除本合同并不被视为违约。</w:t>
      </w:r>
    </w:p>
    <w:p w14:paraId="12B02004">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（三）对同一故障乙方维修二次后，本合同项内标的物再出现类似问题，乙方除须再次进行维修外，乙方每次每项还需向甲方支付工作成本及违约金人民币</w:t>
      </w:r>
      <w:r>
        <w:rPr>
          <w:rFonts w:hint="default" w:ascii="Times New Roman" w:hAnsi="Times New Roman" w:eastAsia="方正仿宋_GBK" w:cs="Times New Roman"/>
          <w:color w:val="000000"/>
          <w:sz w:val="28"/>
          <w:szCs w:val="28"/>
          <w:highlight w:val="none"/>
          <w:u w:val="single"/>
        </w:rPr>
        <w:t>2000</w:t>
      </w:r>
      <w:r>
        <w:rPr>
          <w:rFonts w:hint="default" w:ascii="Times New Roman" w:hAnsi="Times New Roman" w:eastAsia="方正仿宋_GBK" w:cs="Times New Roman"/>
          <w:color w:val="000000"/>
          <w:sz w:val="28"/>
          <w:szCs w:val="28"/>
          <w:highlight w:val="none"/>
        </w:rPr>
        <w:t>元。如经历三次以上</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含三次</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维修，仍然不能解决问题，甲方有权另行聘请第三方进行维修，由此引起的一切费用和责任由乙方承担（设备被盗、遗失或非乙方人为原因造成的除外）。</w:t>
      </w:r>
    </w:p>
    <w:p w14:paraId="4306E0EF">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（四）现场维保工作完成后，乙方负责将施工现场清理干净，否则甲方有权自行或委托第三方清理打扫</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所产生的费用</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包括但不限于卫生清理运输费等</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由乙方承担。维修过程中给甲方、第三方造成损失的，由乙方赔偿。</w:t>
      </w:r>
    </w:p>
    <w:p w14:paraId="7F9FDCD3">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（五）未经甲方同意，乙方不得将合同项内工作进行转包、分包，否则甲方有权立即解除合同并要求乙方承担</w:t>
      </w:r>
      <w:r>
        <w:rPr>
          <w:rFonts w:hint="default" w:ascii="Times New Roman" w:hAnsi="Times New Roman" w:eastAsia="方正仿宋_GBK" w:cs="Times New Roman"/>
          <w:color w:val="000000"/>
          <w:sz w:val="28"/>
          <w:szCs w:val="28"/>
          <w:highlight w:val="none"/>
          <w:lang w:val="en-US" w:eastAsia="zh-CN"/>
        </w:rPr>
        <w:t>本</w:t>
      </w:r>
      <w:r>
        <w:rPr>
          <w:rFonts w:hint="default" w:ascii="Times New Roman" w:hAnsi="Times New Roman" w:eastAsia="方正仿宋_GBK" w:cs="Times New Roman"/>
          <w:color w:val="000000"/>
          <w:sz w:val="28"/>
          <w:szCs w:val="28"/>
          <w:highlight w:val="none"/>
        </w:rPr>
        <w:t>合同总金额</w:t>
      </w:r>
      <w:r>
        <w:rPr>
          <w:rFonts w:hint="default" w:ascii="Times New Roman" w:hAnsi="Times New Roman" w:eastAsia="方正仿宋_GBK" w:cs="Times New Roman"/>
          <w:color w:val="000000"/>
          <w:sz w:val="28"/>
          <w:szCs w:val="28"/>
          <w:highlight w:val="none"/>
          <w:u w:val="single"/>
        </w:rPr>
        <w:t>20%</w:t>
      </w:r>
      <w:r>
        <w:rPr>
          <w:rFonts w:hint="default" w:ascii="Times New Roman" w:hAnsi="Times New Roman" w:eastAsia="方正仿宋_GBK" w:cs="Times New Roman"/>
          <w:color w:val="000000"/>
          <w:sz w:val="28"/>
          <w:szCs w:val="28"/>
          <w:highlight w:val="none"/>
        </w:rPr>
        <w:t>的违约金。</w:t>
      </w:r>
    </w:p>
    <w:p w14:paraId="67AF47EB">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（六）合同期内项目负责人更换次数不超过一次，维保人员更换不超过拟派驻人员的50%，每次更换前必须提供书面申请且需取得甲方同意后方可更换，否则视为违约，乙方应按</w:t>
      </w:r>
      <w:r>
        <w:rPr>
          <w:rFonts w:hint="default" w:ascii="Times New Roman" w:hAnsi="Times New Roman" w:eastAsia="方正仿宋_GBK" w:cs="Times New Roman"/>
          <w:color w:val="000000"/>
          <w:sz w:val="28"/>
          <w:szCs w:val="28"/>
          <w:highlight w:val="none"/>
          <w:u w:val="single"/>
        </w:rPr>
        <w:t>2000</w:t>
      </w:r>
      <w:r>
        <w:rPr>
          <w:rFonts w:hint="default" w:ascii="Times New Roman" w:hAnsi="Times New Roman" w:eastAsia="方正仿宋_GBK" w:cs="Times New Roman"/>
          <w:color w:val="000000"/>
          <w:sz w:val="28"/>
          <w:szCs w:val="28"/>
          <w:highlight w:val="none"/>
        </w:rPr>
        <w:t>元/人为标准向甲方支付违约金。</w:t>
      </w:r>
    </w:p>
    <w:p w14:paraId="4B81B008">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（七）乙方未按本合同约定的各项标准、要求提供服务的，甲方可每次计收</w:t>
      </w:r>
      <w:r>
        <w:rPr>
          <w:rFonts w:hint="default" w:ascii="Times New Roman" w:hAnsi="Times New Roman" w:eastAsia="方正仿宋_GBK" w:cs="Times New Roman"/>
          <w:color w:val="000000"/>
          <w:sz w:val="28"/>
          <w:szCs w:val="28"/>
          <w:highlight w:val="none"/>
          <w:lang w:val="en-US" w:eastAsia="zh-CN"/>
        </w:rPr>
        <w:t>该项目</w:t>
      </w:r>
      <w:r>
        <w:rPr>
          <w:rFonts w:hint="default" w:ascii="Times New Roman" w:hAnsi="Times New Roman" w:eastAsia="方正仿宋_GBK" w:cs="Times New Roman"/>
          <w:color w:val="000000"/>
          <w:sz w:val="28"/>
          <w:szCs w:val="28"/>
          <w:highlight w:val="none"/>
        </w:rPr>
        <w:t>季度维保总服务费</w:t>
      </w:r>
      <w:r>
        <w:rPr>
          <w:rFonts w:hint="default" w:ascii="Times New Roman" w:hAnsi="Times New Roman" w:eastAsia="方正仿宋_GBK" w:cs="Times New Roman"/>
          <w:color w:val="000000"/>
          <w:sz w:val="28"/>
          <w:szCs w:val="28"/>
          <w:highlight w:val="none"/>
          <w:u w:val="single"/>
        </w:rPr>
        <w:t>5%</w:t>
      </w:r>
      <w:r>
        <w:rPr>
          <w:rFonts w:hint="default" w:ascii="Times New Roman" w:hAnsi="Times New Roman" w:eastAsia="方正仿宋_GBK" w:cs="Times New Roman"/>
          <w:color w:val="000000"/>
          <w:sz w:val="28"/>
          <w:szCs w:val="28"/>
          <w:highlight w:val="none"/>
        </w:rPr>
        <w:t>的违约金。</w:t>
      </w:r>
    </w:p>
    <w:p w14:paraId="6E482AFB">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w:t>
      </w:r>
      <w:r>
        <w:rPr>
          <w:rFonts w:hint="default" w:ascii="Times New Roman" w:hAnsi="Times New Roman" w:eastAsia="方正仿宋_GBK" w:cs="Times New Roman"/>
          <w:color w:val="000000"/>
          <w:sz w:val="28"/>
          <w:szCs w:val="28"/>
          <w:highlight w:val="none"/>
          <w:lang w:val="en-US" w:eastAsia="zh-CN"/>
        </w:rPr>
        <w:t>八</w:t>
      </w:r>
      <w:r>
        <w:rPr>
          <w:rFonts w:hint="default" w:ascii="Times New Roman" w:hAnsi="Times New Roman" w:eastAsia="方正仿宋_GBK" w:cs="Times New Roman"/>
          <w:color w:val="000000"/>
          <w:sz w:val="28"/>
          <w:szCs w:val="28"/>
          <w:highlight w:val="none"/>
        </w:rPr>
        <w:t>）</w:t>
      </w:r>
      <w:r>
        <w:rPr>
          <w:rFonts w:hint="eastAsia" w:eastAsia="方正仿宋_GBK" w:cs="Times New Roman"/>
          <w:color w:val="000000"/>
          <w:sz w:val="28"/>
          <w:szCs w:val="28"/>
          <w:highlight w:val="none"/>
          <w:lang w:eastAsia="zh-CN"/>
        </w:rPr>
        <w:t>除合同约定的解约条款外，</w:t>
      </w:r>
      <w:r>
        <w:rPr>
          <w:rFonts w:hint="default" w:ascii="Times New Roman" w:hAnsi="Times New Roman" w:eastAsia="方正仿宋_GBK" w:cs="Times New Roman"/>
          <w:color w:val="000000"/>
          <w:sz w:val="28"/>
          <w:szCs w:val="28"/>
          <w:highlight w:val="none"/>
          <w:lang w:val="en-US" w:eastAsia="zh-CN"/>
        </w:rPr>
        <w:t>甲乙双方任何一方不得</w:t>
      </w:r>
      <w:r>
        <w:rPr>
          <w:rFonts w:hint="default" w:ascii="Times New Roman" w:hAnsi="Times New Roman" w:eastAsia="方正仿宋_GBK" w:cs="Times New Roman"/>
          <w:color w:val="000000"/>
          <w:sz w:val="28"/>
          <w:szCs w:val="28"/>
          <w:highlight w:val="none"/>
        </w:rPr>
        <w:t>提前终止本</w:t>
      </w:r>
      <w:r>
        <w:rPr>
          <w:rFonts w:hint="default" w:ascii="Times New Roman" w:hAnsi="Times New Roman" w:eastAsia="方正仿宋_GBK" w:cs="Times New Roman"/>
          <w:color w:val="000000"/>
          <w:sz w:val="28"/>
          <w:szCs w:val="28"/>
          <w:highlight w:val="none"/>
          <w:lang w:val="en-US" w:eastAsia="zh-CN"/>
        </w:rPr>
        <w:t>合同</w:t>
      </w:r>
      <w:r>
        <w:rPr>
          <w:rFonts w:hint="default" w:ascii="Times New Roman" w:hAnsi="Times New Roman" w:eastAsia="方正仿宋_GBK" w:cs="Times New Roman"/>
          <w:color w:val="000000"/>
          <w:sz w:val="28"/>
          <w:szCs w:val="28"/>
          <w:highlight w:val="none"/>
        </w:rPr>
        <w:t>，</w:t>
      </w:r>
      <w:r>
        <w:rPr>
          <w:rFonts w:hint="default" w:ascii="Times New Roman" w:hAnsi="Times New Roman" w:eastAsia="方正仿宋_GBK" w:cs="Times New Roman"/>
          <w:color w:val="000000"/>
          <w:sz w:val="28"/>
          <w:szCs w:val="28"/>
          <w:highlight w:val="none"/>
          <w:lang w:val="en-US" w:eastAsia="zh-CN"/>
        </w:rPr>
        <w:t>如提前终止本合同，违约方</w:t>
      </w:r>
      <w:r>
        <w:rPr>
          <w:rFonts w:hint="default" w:ascii="Times New Roman" w:hAnsi="Times New Roman" w:eastAsia="方正仿宋_GBK" w:cs="Times New Roman"/>
          <w:color w:val="000000"/>
          <w:sz w:val="28"/>
          <w:szCs w:val="28"/>
          <w:highlight w:val="none"/>
        </w:rPr>
        <w:t>应按照本</w:t>
      </w:r>
      <w:r>
        <w:rPr>
          <w:rFonts w:hint="default" w:ascii="Times New Roman" w:hAnsi="Times New Roman" w:eastAsia="方正仿宋_GBK" w:cs="Times New Roman"/>
          <w:color w:val="000000"/>
          <w:sz w:val="28"/>
          <w:szCs w:val="28"/>
          <w:highlight w:val="none"/>
          <w:lang w:val="en-US" w:eastAsia="zh-CN"/>
        </w:rPr>
        <w:t>合同</w:t>
      </w:r>
      <w:r>
        <w:rPr>
          <w:rFonts w:hint="default" w:ascii="Times New Roman" w:hAnsi="Times New Roman" w:eastAsia="方正仿宋_GBK" w:cs="Times New Roman"/>
          <w:color w:val="000000"/>
          <w:sz w:val="28"/>
          <w:szCs w:val="28"/>
          <w:highlight w:val="none"/>
        </w:rPr>
        <w:t>总金额的</w:t>
      </w:r>
      <w:r>
        <w:rPr>
          <w:rFonts w:hint="default" w:ascii="Times New Roman" w:hAnsi="Times New Roman" w:eastAsia="方正仿宋_GBK" w:cs="Times New Roman"/>
          <w:color w:val="000000"/>
          <w:sz w:val="28"/>
          <w:szCs w:val="28"/>
          <w:highlight w:val="none"/>
          <w:u w:val="single"/>
        </w:rPr>
        <w:t>20%</w:t>
      </w:r>
      <w:r>
        <w:rPr>
          <w:rFonts w:hint="default" w:ascii="Times New Roman" w:hAnsi="Times New Roman" w:eastAsia="方正仿宋_GBK" w:cs="Times New Roman"/>
          <w:color w:val="000000"/>
          <w:sz w:val="28"/>
          <w:szCs w:val="28"/>
          <w:highlight w:val="none"/>
        </w:rPr>
        <w:t>向</w:t>
      </w:r>
      <w:r>
        <w:rPr>
          <w:rFonts w:hint="default" w:ascii="Times New Roman" w:hAnsi="Times New Roman" w:eastAsia="方正仿宋_GBK" w:cs="Times New Roman"/>
          <w:color w:val="000000"/>
          <w:sz w:val="28"/>
          <w:szCs w:val="28"/>
          <w:highlight w:val="none"/>
          <w:lang w:val="en-US" w:eastAsia="zh-CN"/>
        </w:rPr>
        <w:t>守约方</w:t>
      </w:r>
      <w:r>
        <w:rPr>
          <w:rFonts w:hint="default" w:ascii="Times New Roman" w:hAnsi="Times New Roman" w:eastAsia="方正仿宋_GBK" w:cs="Times New Roman"/>
          <w:color w:val="000000"/>
          <w:sz w:val="28"/>
          <w:szCs w:val="28"/>
          <w:highlight w:val="none"/>
        </w:rPr>
        <w:t>支付违约金。</w:t>
      </w:r>
    </w:p>
    <w:p w14:paraId="6061D41A">
      <w:pPr>
        <w:spacing w:line="600" w:lineRule="exact"/>
        <w:jc w:val="center"/>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b/>
          <w:bCs/>
          <w:color w:val="000000"/>
          <w:sz w:val="28"/>
          <w:szCs w:val="28"/>
          <w:highlight w:val="none"/>
        </w:rPr>
        <w:t>第八条  安全工作</w:t>
      </w:r>
      <w:r>
        <w:rPr>
          <w:rFonts w:hint="eastAsia" w:ascii="Times New Roman" w:hAnsi="Times New Roman" w:eastAsia="方正仿宋_GBK" w:cs="Times New Roman"/>
          <w:b/>
          <w:bCs/>
          <w:color w:val="000000"/>
          <w:sz w:val="28"/>
          <w:szCs w:val="28"/>
          <w:highlight w:val="none"/>
          <w:lang w:val="en-US" w:eastAsia="zh-CN"/>
        </w:rPr>
        <w:t>及</w:t>
      </w:r>
      <w:r>
        <w:rPr>
          <w:rFonts w:hint="default" w:ascii="Times New Roman" w:hAnsi="Times New Roman" w:eastAsia="方正仿宋_GBK" w:cs="Times New Roman"/>
          <w:b/>
          <w:bCs/>
          <w:color w:val="000000"/>
          <w:sz w:val="28"/>
          <w:szCs w:val="28"/>
          <w:highlight w:val="none"/>
        </w:rPr>
        <w:t>考核扣分标准</w:t>
      </w:r>
    </w:p>
    <w:p w14:paraId="7F0E277B">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（一）乙方应按安全工作有关规定，采取严格、科学的安全防护措施，由于乙方原因（包含乙方工作人员操作失误）造成的事故，所产生的一切责任（包括但不限于人身伤亡、财产损失等责任）由乙方自行承担。</w:t>
      </w:r>
    </w:p>
    <w:p w14:paraId="71FFB8E8">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（二）乙方现场人员若发生重大伤亡事故，乙方应按有关规定立即报告政府相应管理部门并通知甲方代表。甲方为抢救提供必要条件，发生的一切费用由乙方承担。</w:t>
      </w:r>
    </w:p>
    <w:p w14:paraId="4F4A5030">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乙方在动力设备、易燃易爆和高空作业、有限空间进行维修保养时，应拟定书面安全保护措施，经有资格的相关部门审核后方可施工。施工期间，应乙方要求，甲方可指派人员进行跟进和协调。乙方应当为其提供安全保护措施和因乙方操作不当引起的安全事故负责。</w:t>
      </w:r>
    </w:p>
    <w:p w14:paraId="6E7FFF03">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（四）在有毒有害环境中施工，乙方必须按有关规定提供相应的防护措施，并承担相关的费用支出。</w:t>
      </w:r>
    </w:p>
    <w:p w14:paraId="75C59996">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（五）合同履行的考核方法和考核扣分标准按本合同附件三《供配电维保工作考核标准》执行，每月考核得分不得低于90分，得分低于90分，扣除当月服务费</w:t>
      </w:r>
      <w:r>
        <w:rPr>
          <w:rFonts w:hint="default" w:ascii="Times New Roman" w:hAnsi="Times New Roman" w:eastAsia="方正仿宋_GBK" w:cs="Times New Roman"/>
          <w:color w:val="000000"/>
          <w:sz w:val="28"/>
          <w:szCs w:val="28"/>
          <w:highlight w:val="none"/>
          <w:u w:val="single"/>
        </w:rPr>
        <w:t>5％</w:t>
      </w:r>
      <w:r>
        <w:rPr>
          <w:rFonts w:hint="default" w:ascii="Times New Roman" w:hAnsi="Times New Roman" w:eastAsia="方正仿宋_GBK" w:cs="Times New Roman"/>
          <w:color w:val="000000"/>
          <w:sz w:val="28"/>
          <w:szCs w:val="28"/>
          <w:highlight w:val="none"/>
        </w:rPr>
        <w:t>；得分低于85分，扣除当月服务费</w:t>
      </w:r>
      <w:r>
        <w:rPr>
          <w:rFonts w:hint="default" w:ascii="Times New Roman" w:hAnsi="Times New Roman" w:eastAsia="方正仿宋_GBK" w:cs="Times New Roman"/>
          <w:color w:val="000000"/>
          <w:sz w:val="28"/>
          <w:szCs w:val="28"/>
          <w:highlight w:val="none"/>
          <w:u w:val="single"/>
        </w:rPr>
        <w:t>10％</w:t>
      </w:r>
      <w:r>
        <w:rPr>
          <w:rFonts w:hint="default" w:ascii="Times New Roman" w:hAnsi="Times New Roman" w:eastAsia="方正仿宋_GBK" w:cs="Times New Roman"/>
          <w:color w:val="000000"/>
          <w:sz w:val="28"/>
          <w:szCs w:val="28"/>
          <w:highlight w:val="none"/>
        </w:rPr>
        <w:t>；得分低于80分，扣除当月服务费</w:t>
      </w:r>
      <w:r>
        <w:rPr>
          <w:rFonts w:hint="default" w:ascii="Times New Roman" w:hAnsi="Times New Roman" w:eastAsia="方正仿宋_GBK" w:cs="Times New Roman"/>
          <w:color w:val="000000"/>
          <w:sz w:val="28"/>
          <w:szCs w:val="28"/>
          <w:highlight w:val="none"/>
          <w:u w:val="single"/>
        </w:rPr>
        <w:t>20％</w:t>
      </w:r>
      <w:r>
        <w:rPr>
          <w:rFonts w:hint="default" w:ascii="Times New Roman" w:hAnsi="Times New Roman" w:eastAsia="方正仿宋_GBK" w:cs="Times New Roman"/>
          <w:color w:val="000000"/>
          <w:sz w:val="28"/>
          <w:szCs w:val="28"/>
          <w:highlight w:val="none"/>
        </w:rPr>
        <w:t>；连续2次出现或合同期内累积出现3次月考核分低于80分的，甲方有权单方解除合同，履约保证金不予退还且不被视为违约</w:t>
      </w:r>
      <w:r>
        <w:rPr>
          <w:rFonts w:hint="default"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并要求乙方支付</w:t>
      </w:r>
      <w:r>
        <w:rPr>
          <w:rFonts w:hint="default" w:ascii="Times New Roman" w:hAnsi="Times New Roman" w:eastAsia="方正仿宋_GBK" w:cs="Times New Roman"/>
          <w:color w:val="000000"/>
          <w:sz w:val="28"/>
          <w:szCs w:val="28"/>
          <w:highlight w:val="none"/>
          <w:lang w:val="en-US" w:eastAsia="zh-CN"/>
        </w:rPr>
        <w:t>本</w:t>
      </w:r>
      <w:r>
        <w:rPr>
          <w:rFonts w:hint="default" w:ascii="Times New Roman" w:hAnsi="Times New Roman" w:eastAsia="方正仿宋_GBK" w:cs="Times New Roman"/>
          <w:color w:val="000000"/>
          <w:sz w:val="28"/>
          <w:szCs w:val="28"/>
          <w:highlight w:val="none"/>
        </w:rPr>
        <w:t>合同总金额20%的违约金</w:t>
      </w:r>
      <w:r>
        <w:rPr>
          <w:rFonts w:hint="eastAsia" w:ascii="Times New Roman" w:hAnsi="Times New Roman" w:eastAsia="方正仿宋_GBK" w:cs="Times New Roman"/>
          <w:color w:val="000000"/>
          <w:sz w:val="28"/>
          <w:szCs w:val="28"/>
          <w:highlight w:val="none"/>
          <w:lang w:eastAsia="zh-CN"/>
        </w:rPr>
        <w:t>【</w:t>
      </w:r>
      <w:r>
        <w:rPr>
          <w:rFonts w:hint="eastAsia" w:ascii="Times New Roman" w:hAnsi="Times New Roman" w:eastAsia="方正仿宋_GBK" w:cs="Times New Roman"/>
          <w:color w:val="000000"/>
          <w:sz w:val="28"/>
          <w:szCs w:val="28"/>
          <w:highlight w:val="none"/>
          <w:lang w:val="en-US" w:eastAsia="zh-CN"/>
        </w:rPr>
        <w:t>补充说明：履约保证金，是指乙方中选后，其缴纳的</w:t>
      </w:r>
      <w:r>
        <w:rPr>
          <w:rFonts w:hint="eastAsia" w:ascii="Times New Roman" w:hAnsi="Times New Roman" w:eastAsia="方正仿宋_GBK" w:cs="Times New Roman"/>
          <w:color w:val="000000"/>
          <w:sz w:val="28"/>
          <w:szCs w:val="28"/>
          <w:highlight w:val="none"/>
          <w:lang w:eastAsia="zh-CN"/>
        </w:rPr>
        <w:t>比选保证金</w:t>
      </w:r>
      <w:r>
        <w:rPr>
          <w:rFonts w:hint="eastAsia" w:ascii="Times New Roman" w:hAnsi="Times New Roman" w:eastAsia="方正仿宋_GBK" w:cs="Times New Roman"/>
          <w:color w:val="000000"/>
          <w:sz w:val="28"/>
          <w:szCs w:val="28"/>
          <w:highlight w:val="none"/>
          <w:lang w:val="en-US" w:eastAsia="zh-CN"/>
        </w:rPr>
        <w:t>直接</w:t>
      </w:r>
      <w:r>
        <w:rPr>
          <w:rFonts w:hint="eastAsia" w:ascii="Times New Roman" w:hAnsi="Times New Roman" w:eastAsia="方正仿宋_GBK" w:cs="Times New Roman"/>
          <w:color w:val="000000"/>
          <w:sz w:val="28"/>
          <w:szCs w:val="28"/>
          <w:highlight w:val="none"/>
          <w:lang w:eastAsia="zh-CN"/>
        </w:rPr>
        <w:t>转为履约保证金，履约保证金在合同期满，且经</w:t>
      </w:r>
      <w:r>
        <w:rPr>
          <w:rFonts w:hint="eastAsia" w:ascii="Times New Roman" w:hAnsi="Times New Roman" w:eastAsia="方正仿宋_GBK" w:cs="Times New Roman"/>
          <w:color w:val="000000"/>
          <w:sz w:val="28"/>
          <w:szCs w:val="28"/>
          <w:highlight w:val="none"/>
          <w:lang w:val="en-US" w:eastAsia="zh-CN"/>
        </w:rPr>
        <w:t>甲方</w:t>
      </w:r>
      <w:r>
        <w:rPr>
          <w:rFonts w:hint="eastAsia" w:ascii="Times New Roman" w:hAnsi="Times New Roman" w:eastAsia="方正仿宋_GBK" w:cs="Times New Roman"/>
          <w:color w:val="000000"/>
          <w:sz w:val="28"/>
          <w:szCs w:val="28"/>
          <w:highlight w:val="none"/>
          <w:lang w:eastAsia="zh-CN"/>
        </w:rPr>
        <w:t>确认</w:t>
      </w:r>
      <w:r>
        <w:rPr>
          <w:rFonts w:hint="eastAsia" w:ascii="Times New Roman" w:hAnsi="Times New Roman" w:eastAsia="方正仿宋_GBK" w:cs="Times New Roman"/>
          <w:color w:val="000000"/>
          <w:sz w:val="28"/>
          <w:szCs w:val="28"/>
          <w:highlight w:val="none"/>
          <w:lang w:val="en-US" w:eastAsia="zh-CN"/>
        </w:rPr>
        <w:t>乙方</w:t>
      </w:r>
      <w:r>
        <w:rPr>
          <w:rFonts w:hint="eastAsia" w:ascii="Times New Roman" w:hAnsi="Times New Roman" w:eastAsia="方正仿宋_GBK" w:cs="Times New Roman"/>
          <w:color w:val="000000"/>
          <w:sz w:val="28"/>
          <w:szCs w:val="28"/>
          <w:highlight w:val="none"/>
          <w:lang w:eastAsia="zh-CN"/>
        </w:rPr>
        <w:t>无违约欠款或其他应付未付款项后，</w:t>
      </w:r>
      <w:r>
        <w:rPr>
          <w:rFonts w:hint="eastAsia" w:ascii="Times New Roman" w:hAnsi="Times New Roman" w:eastAsia="方正仿宋_GBK" w:cs="Times New Roman"/>
          <w:color w:val="000000"/>
          <w:sz w:val="28"/>
          <w:szCs w:val="28"/>
          <w:highlight w:val="none"/>
          <w:lang w:val="en-US" w:eastAsia="zh-CN"/>
        </w:rPr>
        <w:t>甲方</w:t>
      </w:r>
      <w:r>
        <w:rPr>
          <w:rFonts w:hint="eastAsia" w:ascii="Times New Roman" w:hAnsi="Times New Roman" w:eastAsia="方正仿宋_GBK" w:cs="Times New Roman"/>
          <w:color w:val="000000"/>
          <w:sz w:val="28"/>
          <w:szCs w:val="28"/>
          <w:highlight w:val="none"/>
          <w:lang w:eastAsia="zh-CN"/>
        </w:rPr>
        <w:t>收到</w:t>
      </w:r>
      <w:r>
        <w:rPr>
          <w:rFonts w:hint="eastAsia" w:ascii="Times New Roman" w:hAnsi="Times New Roman" w:eastAsia="方正仿宋_GBK" w:cs="Times New Roman"/>
          <w:color w:val="000000"/>
          <w:sz w:val="28"/>
          <w:szCs w:val="28"/>
          <w:highlight w:val="none"/>
          <w:lang w:val="en-US" w:eastAsia="zh-CN"/>
        </w:rPr>
        <w:t>乙方</w:t>
      </w:r>
      <w:r>
        <w:rPr>
          <w:rFonts w:hint="eastAsia" w:ascii="Times New Roman" w:hAnsi="Times New Roman" w:eastAsia="方正仿宋_GBK" w:cs="Times New Roman"/>
          <w:color w:val="000000"/>
          <w:sz w:val="28"/>
          <w:szCs w:val="28"/>
          <w:highlight w:val="none"/>
          <w:lang w:eastAsia="zh-CN"/>
        </w:rPr>
        <w:t>的履约保证金缴纳收据原件后15个工作日内无息退还；</w:t>
      </w:r>
      <w:r>
        <w:rPr>
          <w:rFonts w:hint="eastAsia" w:ascii="Times New Roman" w:hAnsi="Times New Roman" w:eastAsia="方正仿宋_GBK" w:cs="Times New Roman"/>
          <w:color w:val="000000"/>
          <w:sz w:val="28"/>
          <w:szCs w:val="28"/>
          <w:highlight w:val="none"/>
          <w:lang w:val="en-US" w:eastAsia="zh-CN"/>
        </w:rPr>
        <w:t>乙方在服务过程中因违约产生违约金或给甲方造成损失的，甲方有权从履约保证金中扣除违约金及损失赔偿金，履约保证金不足以扣除的，乙方应按照甲方书面通知规定的时间及金额即时给付甲方。同时，乙方须于甲方发出通知之日起7天内一次性补足履约保证金，乙方逾期补足的，每逾期一日，乙方以逾期未补足金额0.5‰的标准向甲方支付滞纳金</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w:t>
      </w:r>
    </w:p>
    <w:p w14:paraId="79236AF4">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第九条  反商业贿赂</w:t>
      </w:r>
    </w:p>
    <w:p w14:paraId="3A9874AA">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（一）基本定义</w:t>
      </w:r>
    </w:p>
    <w:p w14:paraId="70C7CAF5">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本条（协议）所指的商业贿赂是指：乙方为获取与甲方（含甲方关联公司及机构，下文中“甲方”均指此范围）的合作及合作的利益，乙方或乙方工作人员给予甲方工作人员或其指定关系人的相关直接或间接的不正当利益。</w:t>
      </w:r>
    </w:p>
    <w:p w14:paraId="5392F5E1">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其中不正当利益是指：乙方或乙方工作人员以乙方或个人名义向甲方工作人员或其指定关系人直接或间接赠送礼金、物品、有价证券或采取其他变相手段提供不正当利益，包括但不限于：1）促销费、宣传费、赞助费、科研费、劳务费、咨询费、佣金或报销各种费用、含有金额的会员卡、代币卡（</w:t>
      </w:r>
      <w:r>
        <w:rPr>
          <w:rFonts w:hint="eastAsia" w:ascii="Times New Roman" w:hAnsi="Times New Roman" w:eastAsia="方正仿宋_GBK" w:cs="Times New Roman"/>
          <w:color w:val="000000"/>
          <w:sz w:val="28"/>
          <w:szCs w:val="28"/>
          <w:highlight w:val="none"/>
          <w:lang w:eastAsia="zh-CN"/>
        </w:rPr>
        <w:t>券</w:t>
      </w:r>
      <w:r>
        <w:rPr>
          <w:rFonts w:hint="default" w:ascii="Times New Roman" w:hAnsi="Times New Roman" w:eastAsia="方正仿宋_GBK" w:cs="Times New Roman"/>
          <w:color w:val="000000"/>
          <w:sz w:val="28"/>
          <w:szCs w:val="28"/>
          <w:highlight w:val="none"/>
        </w:rPr>
        <w:t>）、旅游、考察、房屋装修等；2</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借款、融资担保、商品赊销、回扣、购物折扣、置业、礼品（如纪念品、节日礼品等）、馈赠、娱乐、招待等；3）提供或介绍就业、就学、参股或参与经营机会等；4）通过分包、转包等形式对甲方工作人员或其指定关系人进行利益输送。</w:t>
      </w:r>
    </w:p>
    <w:p w14:paraId="0735D2B9">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（二）协助义务与违约责任</w:t>
      </w:r>
    </w:p>
    <w:p w14:paraId="40046C12">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1.乙方理解并同意，甲方任何工作人员、部门不得以任何名义向乙方或乙方工作人员索取或收受商业贿赂；乙方或乙方工作人员不得以任何名义向甲方工作人员或其指定关系人进行商业贿赂。</w:t>
      </w:r>
    </w:p>
    <w:p w14:paraId="2BFA5AA4">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乙方理解并同意，如违反约定向甲方工作人员或其指定关系人提供商业贿赂的，将构成乙方根本违约，无论是否造成损害结果，甲方有权采取下列一项或多项措施：1）立即解除双方签订的合作协议，终止合作；2）冻结应付款项等直至甲方相关案件调查结束，且无需承担任何违约责任；3）要求乙方向甲方支付</w:t>
      </w:r>
      <w:r>
        <w:rPr>
          <w:rFonts w:hint="default" w:ascii="Times New Roman" w:hAnsi="Times New Roman" w:eastAsia="方正仿宋_GBK" w:cs="Times New Roman"/>
          <w:color w:val="000000"/>
          <w:sz w:val="28"/>
          <w:szCs w:val="28"/>
          <w:highlight w:val="none"/>
          <w:u w:val="single"/>
        </w:rPr>
        <w:t>5万元</w:t>
      </w:r>
      <w:r>
        <w:rPr>
          <w:rFonts w:hint="default" w:ascii="Times New Roman" w:hAnsi="Times New Roman" w:eastAsia="方正仿宋_GBK" w:cs="Times New Roman"/>
          <w:color w:val="000000"/>
          <w:sz w:val="28"/>
          <w:szCs w:val="28"/>
          <w:highlight w:val="none"/>
        </w:rPr>
        <w:t>违约金或者支付所涉合同金额的</w:t>
      </w:r>
      <w:r>
        <w:rPr>
          <w:rFonts w:hint="default" w:ascii="Times New Roman" w:hAnsi="Times New Roman" w:eastAsia="方正仿宋_GBK" w:cs="Times New Roman"/>
          <w:color w:val="000000"/>
          <w:sz w:val="28"/>
          <w:szCs w:val="28"/>
          <w:highlight w:val="none"/>
          <w:u w:val="single"/>
        </w:rPr>
        <w:t>20%</w:t>
      </w:r>
      <w:r>
        <w:rPr>
          <w:rFonts w:hint="default" w:ascii="Times New Roman" w:hAnsi="Times New Roman" w:eastAsia="方正仿宋_GBK" w:cs="Times New Roman"/>
          <w:color w:val="000000"/>
          <w:sz w:val="28"/>
          <w:szCs w:val="28"/>
          <w:highlight w:val="none"/>
        </w:rPr>
        <w:t>作为违约金，以两者中较高者为准。同时，乙方应于甲方发现违约行为之日起5个工作日内支付违约金，如未及时支付，甲方有权从合同款项中直接扣除。</w:t>
      </w:r>
    </w:p>
    <w:p w14:paraId="3618A62D">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27C64176">
      <w:pPr>
        <w:adjustRightInd w:val="0"/>
        <w:spacing w:line="600" w:lineRule="exact"/>
        <w:jc w:val="center"/>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kern w:val="0"/>
          <w:sz w:val="28"/>
          <w:szCs w:val="28"/>
          <w:highlight w:val="none"/>
        </w:rPr>
        <w:t>第十条  争议解决</w:t>
      </w:r>
    </w:p>
    <w:p w14:paraId="3A441136">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双方在履行合同中产生争议，应协商解决，协</w:t>
      </w:r>
      <w:r>
        <w:rPr>
          <w:rFonts w:hint="default" w:ascii="Times New Roman" w:hAnsi="Times New Roman" w:eastAsia="方正仿宋_GBK" w:cs="Times New Roman"/>
          <w:color w:val="000000"/>
          <w:kern w:val="0"/>
          <w:sz w:val="28"/>
          <w:szCs w:val="28"/>
          <w:highlight w:val="none"/>
        </w:rPr>
        <w:drawing>
          <wp:anchor distT="0" distB="0" distL="114300" distR="114300" simplePos="0" relativeHeight="251663360"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3" name="Picture 15577"/>
            <wp:cNvGraphicFramePr/>
            <a:graphic xmlns:a="http://schemas.openxmlformats.org/drawingml/2006/main">
              <a:graphicData uri="http://schemas.openxmlformats.org/drawingml/2006/picture">
                <pic:pic xmlns:pic="http://schemas.openxmlformats.org/drawingml/2006/picture">
                  <pic:nvPicPr>
                    <pic:cNvPr id="3" name="Picture 15577"/>
                    <pic:cNvPicPr/>
                  </pic:nvPicPr>
                  <pic:blipFill>
                    <a:blip r:embed="rId19"/>
                    <a:stretch>
                      <a:fillRect/>
                    </a:stretch>
                  </pic:blipFill>
                  <pic:spPr>
                    <a:xfrm>
                      <a:off x="0" y="0"/>
                      <a:ext cx="8890" cy="4445"/>
                    </a:xfrm>
                    <a:prstGeom prst="rect">
                      <a:avLst/>
                    </a:prstGeom>
                    <a:noFill/>
                    <a:ln>
                      <a:noFill/>
                    </a:ln>
                  </pic:spPr>
                </pic:pic>
              </a:graphicData>
            </a:graphic>
          </wp:anchor>
        </w:drawing>
      </w:r>
      <w:r>
        <w:rPr>
          <w:rFonts w:hint="default" w:ascii="Times New Roman" w:hAnsi="Times New Roman" w:eastAsia="方正仿宋_GBK" w:cs="Times New Roman"/>
          <w:color w:val="000000"/>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达法律文书除直接送达外，均可按照如下地址及方式送</w:t>
      </w:r>
      <w:r>
        <w:rPr>
          <w:rFonts w:hint="eastAsia" w:ascii="Times New Roman" w:hAnsi="Times New Roman" w:eastAsia="方正仿宋_GBK" w:cs="Times New Roman"/>
          <w:color w:val="000000"/>
          <w:kern w:val="0"/>
          <w:sz w:val="28"/>
          <w:szCs w:val="28"/>
          <w:highlight w:val="none"/>
          <w:lang w:eastAsia="zh-CN"/>
        </w:rPr>
        <w:t>达</w:t>
      </w:r>
      <w:r>
        <w:rPr>
          <w:rFonts w:hint="default" w:ascii="Times New Roman" w:hAnsi="Times New Roman" w:eastAsia="方正仿宋_GBK" w:cs="Times New Roman"/>
          <w:color w:val="000000"/>
          <w:kern w:val="0"/>
          <w:sz w:val="28"/>
          <w:szCs w:val="28"/>
          <w:highlight w:val="none"/>
        </w:rPr>
        <w:t>：</w:t>
      </w:r>
    </w:p>
    <w:p w14:paraId="35E163B6">
      <w:pPr>
        <w:spacing w:line="600" w:lineRule="exact"/>
        <w:ind w:firstLine="562" w:firstLineChars="200"/>
        <w:jc w:val="left"/>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b/>
          <w:bCs/>
          <w:color w:val="000000"/>
          <w:kern w:val="0"/>
          <w:sz w:val="28"/>
          <w:szCs w:val="28"/>
          <w:highlight w:val="none"/>
        </w:rPr>
        <w:t>甲方</w:t>
      </w:r>
    </w:p>
    <w:p w14:paraId="489E2CC3">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联系人</w:t>
      </w:r>
      <w:r>
        <w:rPr>
          <w:rFonts w:hint="eastAsia" w:ascii="Times New Roman" w:hAnsi="Times New Roman" w:eastAsia="方正仿宋_GBK" w:cs="Times New Roman"/>
          <w:color w:val="000000"/>
          <w:kern w:val="0"/>
          <w:sz w:val="28"/>
          <w:szCs w:val="28"/>
          <w:highlight w:val="none"/>
          <w:lang w:eastAsia="zh-CN"/>
        </w:rPr>
        <w:t>：</w:t>
      </w:r>
    </w:p>
    <w:p w14:paraId="183FF824">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联系电话：</w:t>
      </w:r>
    </w:p>
    <w:p w14:paraId="6C628B01">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联系地址：</w:t>
      </w:r>
    </w:p>
    <w:p w14:paraId="0E3D76E1">
      <w:pPr>
        <w:spacing w:line="600" w:lineRule="exact"/>
        <w:ind w:firstLine="562" w:firstLineChars="200"/>
        <w:jc w:val="left"/>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b/>
          <w:bCs/>
          <w:color w:val="000000"/>
          <w:kern w:val="0"/>
          <w:sz w:val="28"/>
          <w:szCs w:val="28"/>
          <w:highlight w:val="none"/>
        </w:rPr>
        <w:t>乙方</w:t>
      </w:r>
    </w:p>
    <w:p w14:paraId="79E6B055">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联系人：</w:t>
      </w:r>
    </w:p>
    <w:p w14:paraId="05DC52AD">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联系电话：</w:t>
      </w:r>
    </w:p>
    <w:p w14:paraId="2F03C1B7">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联系地址：</w:t>
      </w:r>
    </w:p>
    <w:p w14:paraId="57993170">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按照</w:t>
      </w:r>
      <w:r>
        <w:rPr>
          <w:rFonts w:hint="default" w:ascii="Times New Roman" w:hAnsi="Times New Roman" w:eastAsia="方正仿宋_GBK" w:cs="Times New Roman"/>
          <w:color w:val="000000"/>
          <w:kern w:val="0"/>
          <w:sz w:val="28"/>
          <w:szCs w:val="28"/>
          <w:highlight w:val="none"/>
          <w:lang w:val="en-US" w:eastAsia="zh-CN"/>
        </w:rPr>
        <w:t>该</w:t>
      </w:r>
      <w:r>
        <w:rPr>
          <w:rFonts w:hint="default" w:ascii="Times New Roman" w:hAnsi="Times New Roman" w:eastAsia="方正仿宋_GBK" w:cs="Times New Roman"/>
          <w:color w:val="000000"/>
          <w:kern w:val="0"/>
          <w:sz w:val="28"/>
          <w:szCs w:val="28"/>
          <w:highlight w:val="none"/>
        </w:rPr>
        <w:t>地址送达的，视为当事人签收；受送达人拒收的，不影响送达效力。一方变更地址的应当提前三日书面通知对方，否则按照前述地址送达的视为有效送达。</w:t>
      </w:r>
    </w:p>
    <w:p w14:paraId="12D39A5A">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第十一条  合同的生效、解除与终止</w:t>
      </w:r>
    </w:p>
    <w:p w14:paraId="6D0F351A">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（一）合同甲、乙双方法定代表人或其授权委托人签字并加盖单位公章后合同生效，合同期满后，合同自动失效。</w:t>
      </w:r>
    </w:p>
    <w:p w14:paraId="193F7674">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（二）本合同有效期到期前三十天，甲、乙双方可以商定合同的延续或终止事宜。</w:t>
      </w:r>
    </w:p>
    <w:p w14:paraId="5E428F4E">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（三）合同期内甲方对乙方的供配电维保工作每月进行一次全面评估，若评估的结果为乙方连续2次出现或合同期内累积出现3次月考核分低于80分，甲方有权解除本合同</w:t>
      </w:r>
      <w:r>
        <w:rPr>
          <w:rFonts w:hint="default" w:ascii="Times New Roman" w:hAnsi="Times New Roman" w:eastAsia="方正仿宋_GBK" w:cs="Times New Roman"/>
          <w:color w:val="000000"/>
          <w:sz w:val="28"/>
          <w:szCs w:val="28"/>
          <w:highlight w:val="none"/>
          <w:lang w:eastAsia="zh-TW"/>
        </w:rPr>
        <w:t>而不必</w:t>
      </w:r>
      <w:r>
        <w:rPr>
          <w:rFonts w:hint="eastAsia" w:ascii="Times New Roman" w:hAnsi="Times New Roman" w:eastAsia="方正仿宋_GBK" w:cs="Times New Roman"/>
          <w:color w:val="000000"/>
          <w:sz w:val="28"/>
          <w:szCs w:val="28"/>
          <w:highlight w:val="none"/>
          <w:lang w:eastAsia="zh-CN"/>
        </w:rPr>
        <w:t>做任何赔偿</w:t>
      </w:r>
      <w:r>
        <w:rPr>
          <w:rFonts w:hint="default" w:ascii="Times New Roman" w:hAnsi="Times New Roman" w:eastAsia="方正仿宋_GBK" w:cs="Times New Roman"/>
          <w:color w:val="000000"/>
          <w:sz w:val="28"/>
          <w:szCs w:val="28"/>
          <w:highlight w:val="none"/>
        </w:rPr>
        <w:t>。</w:t>
      </w:r>
    </w:p>
    <w:p w14:paraId="6CF50D98">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（四）合同期满后，甲、乙双方协商移交事项，确认</w:t>
      </w:r>
      <w:r>
        <w:rPr>
          <w:rFonts w:hint="eastAsia" w:ascii="Times New Roman" w:hAnsi="Times New Roman" w:eastAsia="方正仿宋_GBK" w:cs="Times New Roman"/>
          <w:color w:val="000000"/>
          <w:sz w:val="28"/>
          <w:szCs w:val="28"/>
          <w:highlight w:val="none"/>
          <w:lang w:eastAsia="zh-CN"/>
        </w:rPr>
        <w:t>所有</w:t>
      </w:r>
      <w:r>
        <w:rPr>
          <w:rFonts w:hint="default" w:ascii="Times New Roman" w:hAnsi="Times New Roman" w:eastAsia="方正仿宋_GBK" w:cs="Times New Roman"/>
          <w:color w:val="000000"/>
          <w:sz w:val="28"/>
          <w:szCs w:val="28"/>
          <w:highlight w:val="none"/>
        </w:rPr>
        <w:t>保养系统正常运行后，甲方书面确认合同履行完毕并于1个月内结清所有余款。</w:t>
      </w:r>
    </w:p>
    <w:p w14:paraId="58735411">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（五）本合同未尽事宜，按《中华人民共和国民法典》有关规定办理。</w:t>
      </w:r>
    </w:p>
    <w:p w14:paraId="77FC63BA">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第十二条  不可抗力</w:t>
      </w:r>
    </w:p>
    <w:p w14:paraId="6DAD8499">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（一）不可抗力条件</w:t>
      </w:r>
    </w:p>
    <w:p w14:paraId="2A9DFF73">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是指签约双方中的一方由于战争及严重的火灾、水灾、台风、地震等不可抗力事件影响合同的执行。</w:t>
      </w:r>
    </w:p>
    <w:p w14:paraId="01E2626E">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（二）不可抗力的处理办法</w:t>
      </w:r>
    </w:p>
    <w:p w14:paraId="79BEC113">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1.受事件影响的一方应尽快将所发生的不可抗力事件的情况以电传或传真通知另一方，并在14日内以特快专递将有关当局出具的证明文件提交给另一方审阅确认</w:t>
      </w:r>
      <w:r>
        <w:rPr>
          <w:rFonts w:hint="default" w:ascii="Times New Roman" w:hAnsi="Times New Roman" w:eastAsia="方正仿宋_GBK" w:cs="Times New Roman"/>
          <w:color w:val="000000"/>
          <w:sz w:val="28"/>
          <w:szCs w:val="28"/>
          <w:highlight w:val="none"/>
          <w:lang w:eastAsia="zh-CN"/>
        </w:rPr>
        <w:t>。</w:t>
      </w:r>
    </w:p>
    <w:p w14:paraId="4E9E92B5">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2.如不可抗力事件延续到20日以上时，双方应通过友好协商解决合同继续履行的问题</w:t>
      </w:r>
      <w:r>
        <w:rPr>
          <w:rFonts w:hint="default" w:ascii="Times New Roman" w:hAnsi="Times New Roman" w:eastAsia="方正仿宋_GBK" w:cs="Times New Roman"/>
          <w:color w:val="000000"/>
          <w:sz w:val="28"/>
          <w:szCs w:val="28"/>
          <w:highlight w:val="none"/>
          <w:lang w:eastAsia="zh-CN"/>
        </w:rPr>
        <w:t>。</w:t>
      </w:r>
    </w:p>
    <w:p w14:paraId="6AD2889F">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3.发生事件的一方应采取一切合理措施以减少由于不可抗力所导致的拖期</w:t>
      </w:r>
      <w:r>
        <w:rPr>
          <w:rFonts w:hint="default" w:ascii="Times New Roman" w:hAnsi="Times New Roman" w:eastAsia="方正仿宋_GBK" w:cs="Times New Roman"/>
          <w:color w:val="000000"/>
          <w:sz w:val="28"/>
          <w:szCs w:val="28"/>
          <w:highlight w:val="none"/>
          <w:lang w:eastAsia="zh-CN"/>
        </w:rPr>
        <w:t>。</w:t>
      </w:r>
    </w:p>
    <w:p w14:paraId="493AE4E9">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4.当不可抗力事件消除后，受事件影响的一方应尽快以电传或传真通知另一方，并以特快专递证实</w:t>
      </w:r>
      <w:r>
        <w:rPr>
          <w:rFonts w:hint="default" w:ascii="Times New Roman" w:hAnsi="Times New Roman" w:eastAsia="方正仿宋_GBK" w:cs="Times New Roman"/>
          <w:color w:val="000000"/>
          <w:sz w:val="28"/>
          <w:szCs w:val="28"/>
          <w:highlight w:val="none"/>
          <w:lang w:eastAsia="zh-CN"/>
        </w:rPr>
        <w:t>。</w:t>
      </w:r>
    </w:p>
    <w:p w14:paraId="20AE8D12">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5.当事人迟延履行后再次发生不可抗力的，不能免除责任。</w:t>
      </w:r>
    </w:p>
    <w:p w14:paraId="7C0E9B0E">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第十</w:t>
      </w:r>
      <w:r>
        <w:rPr>
          <w:rFonts w:hint="default" w:ascii="Times New Roman" w:hAnsi="Times New Roman" w:eastAsia="方正仿宋_GBK" w:cs="Times New Roman"/>
          <w:b/>
          <w:color w:val="000000"/>
          <w:kern w:val="0"/>
          <w:sz w:val="28"/>
          <w:szCs w:val="28"/>
          <w:highlight w:val="none"/>
          <w:lang w:val="en-US" w:eastAsia="zh-CN"/>
        </w:rPr>
        <w:t>三</w:t>
      </w:r>
      <w:r>
        <w:rPr>
          <w:rFonts w:hint="default" w:ascii="Times New Roman" w:hAnsi="Times New Roman" w:eastAsia="方正仿宋_GBK" w:cs="Times New Roman"/>
          <w:b/>
          <w:color w:val="000000"/>
          <w:kern w:val="0"/>
          <w:sz w:val="28"/>
          <w:szCs w:val="28"/>
          <w:highlight w:val="none"/>
        </w:rPr>
        <w:t xml:space="preserve">条  附件及附件效力 </w:t>
      </w:r>
    </w:p>
    <w:p w14:paraId="34CDFB42">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（一）附件与合同具有同等的法律效力。但条款有冲突时，以本合同为准。本合同附件包括但不限于： </w:t>
      </w:r>
    </w:p>
    <w:p w14:paraId="13CDE6A6">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附件一</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 xml:space="preserve"> 《供配电维保工作考核标准》</w:t>
      </w:r>
    </w:p>
    <w:p w14:paraId="00F8ACAC">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附件二</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 xml:space="preserve"> 《免费维修、更换材料清单》</w:t>
      </w:r>
    </w:p>
    <w:p w14:paraId="7BF0EFD0">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附件三</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 xml:space="preserve"> 《外委单位安全管理协议》</w:t>
      </w:r>
    </w:p>
    <w:p w14:paraId="0117F665">
      <w:pPr>
        <w:pStyle w:val="19"/>
        <w:spacing w:before="0" w:beforeAutospacing="0" w:after="0" w:afterAutospacing="0" w:line="600" w:lineRule="exact"/>
        <w:ind w:firstLine="560" w:firstLineChars="20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附件四：乙方营业执照及资质证明</w:t>
      </w:r>
    </w:p>
    <w:p w14:paraId="0540EFF3">
      <w:pPr>
        <w:pStyle w:val="19"/>
        <w:spacing w:before="0" w:beforeAutospacing="0" w:after="0" w:afterAutospacing="0" w:line="600" w:lineRule="exact"/>
        <w:ind w:firstLine="560" w:firstLineChars="200"/>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附件五：拟指派工作人员信息及资质证明</w:t>
      </w:r>
    </w:p>
    <w:p w14:paraId="10618757">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p>
    <w:p w14:paraId="739C314F">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第十</w:t>
      </w:r>
      <w:r>
        <w:rPr>
          <w:rFonts w:hint="default" w:ascii="Times New Roman" w:hAnsi="Times New Roman" w:eastAsia="方正仿宋_GBK" w:cs="Times New Roman"/>
          <w:b/>
          <w:color w:val="000000"/>
          <w:kern w:val="0"/>
          <w:sz w:val="28"/>
          <w:szCs w:val="28"/>
          <w:highlight w:val="none"/>
          <w:lang w:val="en-US" w:eastAsia="zh-CN"/>
        </w:rPr>
        <w:t>四</w:t>
      </w:r>
      <w:r>
        <w:rPr>
          <w:rFonts w:hint="default" w:ascii="Times New Roman" w:hAnsi="Times New Roman" w:eastAsia="方正仿宋_GBK" w:cs="Times New Roman"/>
          <w:b/>
          <w:color w:val="000000"/>
          <w:kern w:val="0"/>
          <w:sz w:val="28"/>
          <w:szCs w:val="28"/>
          <w:highlight w:val="none"/>
        </w:rPr>
        <w:t>条  合同的份数</w:t>
      </w:r>
    </w:p>
    <w:p w14:paraId="2C88CBA0">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本合同一式捌份，甲方持伍份，乙方持叁份，均</w:t>
      </w:r>
      <w:r>
        <w:rPr>
          <w:rFonts w:hint="eastAsia" w:ascii="Times New Roman" w:hAnsi="Times New Roman" w:eastAsia="方正仿宋_GBK" w:cs="Times New Roman"/>
          <w:color w:val="000000"/>
          <w:kern w:val="0"/>
          <w:sz w:val="28"/>
          <w:szCs w:val="28"/>
          <w:highlight w:val="none"/>
          <w:lang w:eastAsia="zh-CN"/>
        </w:rPr>
        <w:t>具有</w:t>
      </w:r>
      <w:r>
        <w:rPr>
          <w:rFonts w:hint="default" w:ascii="Times New Roman" w:hAnsi="Times New Roman" w:eastAsia="方正仿宋_GBK" w:cs="Times New Roman"/>
          <w:color w:val="000000"/>
          <w:kern w:val="0"/>
          <w:sz w:val="28"/>
          <w:szCs w:val="28"/>
          <w:highlight w:val="none"/>
        </w:rPr>
        <w:t>同等法律效力，本合同经双方签字并盖章后生效。</w:t>
      </w:r>
    </w:p>
    <w:p w14:paraId="507F159D">
      <w:pPr>
        <w:spacing w:line="560" w:lineRule="exact"/>
        <w:rPr>
          <w:rFonts w:hint="default" w:ascii="Times New Roman" w:hAnsi="Times New Roman" w:eastAsia="方正仿宋_GBK" w:cs="Times New Roman"/>
          <w:bCs/>
          <w:color w:val="000000"/>
          <w:sz w:val="28"/>
          <w:szCs w:val="28"/>
          <w:highlight w:val="none"/>
        </w:rPr>
      </w:pPr>
    </w:p>
    <w:p w14:paraId="018804F9">
      <w:pPr>
        <w:spacing w:line="560" w:lineRule="exact"/>
        <w:rPr>
          <w:rFonts w:hint="default" w:ascii="Times New Roman" w:hAnsi="Times New Roman" w:eastAsia="方正仿宋_GBK" w:cs="Times New Roman"/>
          <w:bCs/>
          <w:color w:val="000000"/>
          <w:sz w:val="28"/>
          <w:szCs w:val="28"/>
          <w:highlight w:val="none"/>
        </w:rPr>
      </w:pPr>
    </w:p>
    <w:p w14:paraId="150A5E34">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 xml:space="preserve">甲 方（盖章）：                    </w:t>
      </w:r>
    </w:p>
    <w:p w14:paraId="754D618E">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法定代表人或代理人：</w:t>
      </w:r>
    </w:p>
    <w:p w14:paraId="5FECF080">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 xml:space="preserve">经办人：                                                       </w:t>
      </w:r>
    </w:p>
    <w:p w14:paraId="2625F641">
      <w:pPr>
        <w:spacing w:line="560" w:lineRule="exact"/>
        <w:rPr>
          <w:rFonts w:hint="default" w:ascii="Times New Roman" w:hAnsi="Times New Roman" w:cs="Times New Roman"/>
          <w:color w:val="000000"/>
          <w:highlight w:val="none"/>
        </w:rPr>
      </w:pPr>
      <w:r>
        <w:rPr>
          <w:rFonts w:hint="default" w:ascii="Times New Roman" w:hAnsi="Times New Roman" w:eastAsia="方正仿宋_GBK" w:cs="Times New Roman"/>
          <w:bCs/>
          <w:color w:val="000000"/>
          <w:sz w:val="28"/>
          <w:szCs w:val="28"/>
          <w:highlight w:val="none"/>
        </w:rPr>
        <w:t xml:space="preserve">签署时间：   年   月   日             </w:t>
      </w:r>
    </w:p>
    <w:p w14:paraId="7D143181">
      <w:pPr>
        <w:spacing w:line="560" w:lineRule="exact"/>
        <w:rPr>
          <w:rFonts w:hint="default" w:ascii="Times New Roman" w:hAnsi="Times New Roman" w:eastAsia="方正仿宋_GBK" w:cs="Times New Roman"/>
          <w:bCs/>
          <w:color w:val="000000"/>
          <w:sz w:val="28"/>
          <w:szCs w:val="28"/>
          <w:highlight w:val="none"/>
        </w:rPr>
      </w:pPr>
    </w:p>
    <w:p w14:paraId="0E7BB6EF">
      <w:pPr>
        <w:pStyle w:val="3"/>
        <w:rPr>
          <w:rFonts w:hint="default"/>
          <w:color w:val="000000"/>
          <w:highlight w:val="none"/>
        </w:rPr>
      </w:pPr>
    </w:p>
    <w:p w14:paraId="4698AD58">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乙 方（盖章）：</w:t>
      </w:r>
    </w:p>
    <w:p w14:paraId="102BAF44">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法定代表人或代理人：</w:t>
      </w:r>
    </w:p>
    <w:p w14:paraId="64087BCA">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经办人：</w:t>
      </w:r>
    </w:p>
    <w:p w14:paraId="4681D538">
      <w:pPr>
        <w:spacing w:line="560" w:lineRule="exact"/>
        <w:rPr>
          <w:rFonts w:hint="default" w:ascii="Times New Roman" w:hAnsi="Times New Roman" w:eastAsia="方正仿宋_GBK" w:cs="Times New Roman"/>
          <w:color w:val="000000"/>
          <w:sz w:val="28"/>
          <w:szCs w:val="28"/>
          <w:highlight w:val="none"/>
        </w:rPr>
        <w:sectPr>
          <w:footerReference r:id="rId5" w:type="default"/>
          <w:pgSz w:w="11900" w:h="16840"/>
          <w:pgMar w:top="1440" w:right="1134" w:bottom="1440" w:left="1134" w:header="920" w:footer="918" w:gutter="0"/>
          <w:pgNumType w:fmt="decimal" w:start="1"/>
          <w:cols w:space="720" w:num="1"/>
          <w:docGrid w:type="lines" w:linePitch="1" w:charSpace="0"/>
        </w:sectPr>
      </w:pPr>
      <w:r>
        <w:rPr>
          <w:rFonts w:hint="default" w:ascii="Times New Roman" w:hAnsi="Times New Roman" w:eastAsia="方正仿宋_GBK" w:cs="Times New Roman"/>
          <w:bCs/>
          <w:color w:val="000000"/>
          <w:sz w:val="28"/>
          <w:szCs w:val="28"/>
          <w:highlight w:val="none"/>
        </w:rPr>
        <w:t>签署时间：   年   月   日</w:t>
      </w:r>
    </w:p>
    <w:p w14:paraId="4B0ACF58">
      <w:pPr>
        <w:adjustRightInd w:val="0"/>
        <w:spacing w:line="600" w:lineRule="exact"/>
        <w:jc w:val="left"/>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附件一：供配电维保工作考核标准</w:t>
      </w:r>
    </w:p>
    <w:p w14:paraId="3D3147F9">
      <w:pPr>
        <w:adjustRightInd w:val="0"/>
        <w:spacing w:line="360" w:lineRule="auto"/>
        <w:jc w:val="center"/>
        <w:rPr>
          <w:rFonts w:hint="default" w:ascii="Times New Roman" w:hAnsi="Times New Roman" w:eastAsia="方正仿宋_GBK" w:cs="Times New Roman"/>
          <w:b/>
          <w:color w:val="000000"/>
          <w:kern w:val="0"/>
          <w:sz w:val="2"/>
          <w:szCs w:val="2"/>
          <w:highlight w:val="none"/>
        </w:rPr>
      </w:pPr>
    </w:p>
    <w:tbl>
      <w:tblPr>
        <w:tblStyle w:val="23"/>
        <w:tblW w:w="10325"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6200"/>
        <w:gridCol w:w="1028"/>
        <w:gridCol w:w="1028"/>
      </w:tblGrid>
      <w:tr w14:paraId="23E7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069" w:type="dxa"/>
            <w:tcBorders>
              <w:top w:val="single" w:color="auto" w:sz="4" w:space="0"/>
              <w:left w:val="single" w:color="auto" w:sz="4" w:space="0"/>
              <w:bottom w:val="single" w:color="auto" w:sz="4" w:space="0"/>
              <w:right w:val="single" w:color="auto" w:sz="4" w:space="0"/>
            </w:tcBorders>
            <w:noWrap w:val="0"/>
            <w:vAlign w:val="center"/>
          </w:tcPr>
          <w:p w14:paraId="4B15332E">
            <w:pPr>
              <w:adjustRightInd w:val="0"/>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kern w:val="0"/>
                <w:szCs w:val="21"/>
                <w:highlight w:val="none"/>
              </w:rPr>
              <w:t>项目</w:t>
            </w:r>
          </w:p>
          <w:p w14:paraId="5D4816A6">
            <w:pPr>
              <w:adjustRightInd w:val="0"/>
              <w:spacing w:line="300" w:lineRule="exact"/>
              <w:jc w:val="center"/>
              <w:rPr>
                <w:rFonts w:hint="default" w:ascii="Times New Roman" w:hAnsi="Times New Roman" w:eastAsia="方正仿宋_GBK" w:cs="Times New Roman"/>
                <w:color w:val="00000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4D141470">
            <w:pPr>
              <w:adjustRightInd w:val="0"/>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kern w:val="0"/>
                <w:szCs w:val="21"/>
                <w:highlight w:val="none"/>
              </w:rPr>
              <w:t>考核内容</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D654B3E">
            <w:pPr>
              <w:adjustRightInd w:val="0"/>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kern w:val="0"/>
                <w:szCs w:val="21"/>
                <w:highlight w:val="none"/>
              </w:rPr>
              <w:t>扣分值</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6588021">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得分</w:t>
            </w:r>
          </w:p>
        </w:tc>
      </w:tr>
      <w:tr w14:paraId="7EE3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2069" w:type="dxa"/>
            <w:vMerge w:val="restart"/>
            <w:tcBorders>
              <w:top w:val="single" w:color="auto" w:sz="4" w:space="0"/>
              <w:left w:val="single" w:color="auto" w:sz="4" w:space="0"/>
              <w:right w:val="single" w:color="auto" w:sz="4" w:space="0"/>
            </w:tcBorders>
            <w:noWrap w:val="0"/>
            <w:vAlign w:val="center"/>
          </w:tcPr>
          <w:p w14:paraId="0731C9FF">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人员要求</w:t>
            </w:r>
          </w:p>
        </w:tc>
        <w:tc>
          <w:tcPr>
            <w:tcW w:w="6200" w:type="dxa"/>
            <w:tcBorders>
              <w:top w:val="single" w:color="auto" w:sz="4" w:space="0"/>
              <w:left w:val="single" w:color="auto" w:sz="4" w:space="0"/>
              <w:right w:val="single" w:color="auto" w:sz="4" w:space="0"/>
            </w:tcBorders>
            <w:noWrap w:val="0"/>
            <w:vAlign w:val="center"/>
          </w:tcPr>
          <w:p w14:paraId="1763EF70">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维保人员持有相应操作证书；</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D267629">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6148A87">
            <w:pPr>
              <w:adjustRightInd w:val="0"/>
              <w:spacing w:line="300" w:lineRule="exact"/>
              <w:rPr>
                <w:rFonts w:hint="default" w:ascii="Times New Roman" w:hAnsi="Times New Roman" w:eastAsia="方正仿宋_GBK" w:cs="Times New Roman"/>
                <w:color w:val="000000"/>
                <w:kern w:val="0"/>
                <w:szCs w:val="21"/>
                <w:highlight w:val="none"/>
              </w:rPr>
            </w:pPr>
          </w:p>
        </w:tc>
      </w:tr>
      <w:tr w14:paraId="78B8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069" w:type="dxa"/>
            <w:vMerge w:val="continue"/>
            <w:tcBorders>
              <w:left w:val="single" w:color="auto" w:sz="4" w:space="0"/>
              <w:bottom w:val="single" w:color="auto" w:sz="4" w:space="0"/>
              <w:right w:val="single" w:color="auto" w:sz="4" w:space="0"/>
            </w:tcBorders>
            <w:noWrap w:val="0"/>
            <w:vAlign w:val="center"/>
          </w:tcPr>
          <w:p w14:paraId="13E83D83">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left w:val="single" w:color="auto" w:sz="4" w:space="0"/>
              <w:bottom w:val="single" w:color="auto" w:sz="4" w:space="0"/>
              <w:right w:val="single" w:color="auto" w:sz="4" w:space="0"/>
            </w:tcBorders>
            <w:noWrap w:val="0"/>
            <w:vAlign w:val="center"/>
          </w:tcPr>
          <w:p w14:paraId="6BA78B37">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2.</w:t>
            </w:r>
            <w:r>
              <w:rPr>
                <w:rFonts w:hint="default" w:ascii="Times New Roman" w:hAnsi="Times New Roman" w:eastAsia="方正仿宋_GBK" w:cs="Times New Roman"/>
                <w:color w:val="000000"/>
                <w:kern w:val="0"/>
                <w:szCs w:val="21"/>
                <w:highlight w:val="none"/>
              </w:rPr>
              <w:t>乙方人员统一着装及佩戴工作证；</w:t>
            </w:r>
          </w:p>
          <w:p w14:paraId="5465626E">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3.</w:t>
            </w:r>
            <w:r>
              <w:rPr>
                <w:rFonts w:hint="default" w:ascii="Times New Roman" w:hAnsi="Times New Roman" w:eastAsia="方正仿宋_GBK" w:cs="Times New Roman"/>
                <w:color w:val="000000"/>
                <w:kern w:val="0"/>
                <w:szCs w:val="21"/>
                <w:highlight w:val="none"/>
              </w:rPr>
              <w:t>工作中未能遵守甲方管理要求及各项规章制度；</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2AFC2AA">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5EEBC8B">
            <w:pPr>
              <w:adjustRightInd w:val="0"/>
              <w:spacing w:line="300" w:lineRule="exact"/>
              <w:rPr>
                <w:rFonts w:hint="default" w:ascii="Times New Roman" w:hAnsi="Times New Roman" w:eastAsia="方正仿宋_GBK" w:cs="Times New Roman"/>
                <w:color w:val="000000"/>
                <w:kern w:val="0"/>
                <w:szCs w:val="21"/>
                <w:highlight w:val="none"/>
              </w:rPr>
            </w:pPr>
          </w:p>
        </w:tc>
      </w:tr>
      <w:tr w14:paraId="1216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14:paraId="469328BE">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项目现场管理</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066EAB24">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常用配件材料库存不足，影响工作进度；</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181EAE7">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2分/次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66BEBF3">
            <w:pPr>
              <w:adjustRightInd w:val="0"/>
              <w:spacing w:line="300" w:lineRule="exact"/>
              <w:rPr>
                <w:rFonts w:hint="default" w:ascii="Times New Roman" w:hAnsi="Times New Roman" w:eastAsia="方正仿宋_GBK" w:cs="Times New Roman"/>
                <w:color w:val="000000"/>
                <w:kern w:val="0"/>
                <w:szCs w:val="21"/>
                <w:highlight w:val="none"/>
              </w:rPr>
            </w:pPr>
          </w:p>
        </w:tc>
      </w:tr>
      <w:tr w14:paraId="0687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159FD2F8">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0EC206F1">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2.</w:t>
            </w:r>
            <w:r>
              <w:rPr>
                <w:rFonts w:hint="default" w:ascii="Times New Roman" w:hAnsi="Times New Roman" w:eastAsia="方正仿宋_GBK" w:cs="Times New Roman"/>
                <w:color w:val="000000"/>
                <w:kern w:val="0"/>
                <w:szCs w:val="21"/>
                <w:highlight w:val="none"/>
              </w:rPr>
              <w:t>对</w:t>
            </w:r>
            <w:r>
              <w:rPr>
                <w:rFonts w:hint="eastAsia" w:ascii="Times New Roman" w:hAnsi="Times New Roman" w:eastAsia="方正仿宋_GBK" w:cs="Times New Roman"/>
                <w:color w:val="000000"/>
                <w:kern w:val="0"/>
                <w:szCs w:val="21"/>
                <w:highlight w:val="none"/>
                <w:lang w:eastAsia="zh-CN"/>
              </w:rPr>
              <w:t>客户</w:t>
            </w:r>
            <w:r>
              <w:rPr>
                <w:rFonts w:hint="default" w:ascii="Times New Roman" w:hAnsi="Times New Roman" w:eastAsia="方正仿宋_GBK" w:cs="Times New Roman"/>
                <w:color w:val="000000"/>
                <w:kern w:val="0"/>
                <w:szCs w:val="21"/>
                <w:highlight w:val="none"/>
              </w:rPr>
              <w:t>服务质量不到位，服务态度不佳，以致客户书面投诉；</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7960D11">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10分/次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E3EDC99">
            <w:pPr>
              <w:adjustRightInd w:val="0"/>
              <w:spacing w:line="300" w:lineRule="exact"/>
              <w:rPr>
                <w:rFonts w:hint="default" w:ascii="Times New Roman" w:hAnsi="Times New Roman" w:eastAsia="方正仿宋_GBK" w:cs="Times New Roman"/>
                <w:color w:val="000000"/>
                <w:kern w:val="0"/>
                <w:szCs w:val="21"/>
                <w:highlight w:val="none"/>
              </w:rPr>
            </w:pPr>
          </w:p>
        </w:tc>
      </w:tr>
      <w:tr w14:paraId="3B5A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14:paraId="0E171972">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日常工作质量</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4059E64B">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日常维保工作未能完成，当日须向所在项目工程负责人回复完成情况，以工作单所填时间为准，否则视为未完成；</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9C714D4">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8AAF6AE">
            <w:pPr>
              <w:adjustRightInd w:val="0"/>
              <w:spacing w:line="300" w:lineRule="exact"/>
              <w:rPr>
                <w:rFonts w:hint="default" w:ascii="Times New Roman" w:hAnsi="Times New Roman" w:eastAsia="方正仿宋_GBK" w:cs="Times New Roman"/>
                <w:color w:val="000000"/>
                <w:kern w:val="0"/>
                <w:szCs w:val="21"/>
                <w:highlight w:val="none"/>
              </w:rPr>
            </w:pPr>
          </w:p>
        </w:tc>
      </w:tr>
      <w:tr w14:paraId="488E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4CFD7046">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17E67516">
            <w:pPr>
              <w:adjustRightInd w:val="0"/>
              <w:spacing w:line="300" w:lineRule="exact"/>
              <w:rPr>
                <w:rFonts w:hint="eastAsia" w:ascii="Times New Roman" w:hAnsi="Times New Roman" w:eastAsia="方正仿宋_GBK" w:cs="Times New Roman"/>
                <w:color w:val="000000"/>
                <w:kern w:val="0"/>
                <w:szCs w:val="21"/>
                <w:highlight w:val="none"/>
                <w:lang w:eastAsia="zh-CN"/>
              </w:rPr>
            </w:pPr>
            <w:r>
              <w:rPr>
                <w:rFonts w:hint="eastAsia" w:ascii="Times New Roman" w:hAnsi="Times New Roman" w:eastAsia="方正仿宋_GBK" w:cs="Times New Roman"/>
                <w:color w:val="000000"/>
                <w:kern w:val="0"/>
                <w:szCs w:val="21"/>
                <w:highlight w:val="none"/>
                <w:lang w:eastAsia="zh-CN"/>
              </w:rPr>
              <w:t>2.</w:t>
            </w:r>
            <w:r>
              <w:rPr>
                <w:rFonts w:hint="default" w:ascii="Times New Roman" w:hAnsi="Times New Roman" w:eastAsia="方正仿宋_GBK" w:cs="Times New Roman"/>
                <w:color w:val="000000"/>
                <w:kern w:val="0"/>
                <w:szCs w:val="21"/>
                <w:highlight w:val="none"/>
              </w:rPr>
              <w:t>月度保养工作未按计划完成（抽检不合格视为未完成，如有特殊情况未能完成计划，需事先征得甲方同意）</w:t>
            </w:r>
            <w:r>
              <w:rPr>
                <w:rFonts w:hint="eastAsia" w:ascii="Times New Roman" w:hAnsi="Times New Roman" w:eastAsia="方正仿宋_GBK" w:cs="Times New Roman"/>
                <w:color w:val="000000"/>
                <w:kern w:val="0"/>
                <w:szCs w:val="21"/>
                <w:highlight w:val="none"/>
                <w:lang w:eastAsia="zh-CN"/>
              </w:rPr>
              <w:t>；</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882195C">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2分/项</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A630E01">
            <w:pPr>
              <w:adjustRightInd w:val="0"/>
              <w:spacing w:line="300" w:lineRule="exact"/>
              <w:rPr>
                <w:rFonts w:hint="default" w:ascii="Times New Roman" w:hAnsi="Times New Roman" w:eastAsia="方正仿宋_GBK" w:cs="Times New Roman"/>
                <w:color w:val="000000"/>
                <w:kern w:val="0"/>
                <w:szCs w:val="21"/>
                <w:highlight w:val="none"/>
              </w:rPr>
            </w:pPr>
          </w:p>
        </w:tc>
      </w:tr>
      <w:tr w14:paraId="5638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128C6B99">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1929D116">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3.</w:t>
            </w:r>
            <w:r>
              <w:rPr>
                <w:rFonts w:hint="default" w:ascii="Times New Roman" w:hAnsi="Times New Roman" w:eastAsia="方正仿宋_GBK" w:cs="Times New Roman"/>
                <w:color w:val="000000"/>
                <w:kern w:val="0"/>
                <w:szCs w:val="21"/>
                <w:highlight w:val="none"/>
              </w:rPr>
              <w:t>未按时提交工作报告（当月维保月度报告须在次月的5日前提交，次月工作计划须于上月25日前送达各站场）；</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F48364E">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2分/次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D614E1A">
            <w:pPr>
              <w:adjustRightInd w:val="0"/>
              <w:spacing w:line="300" w:lineRule="exact"/>
              <w:rPr>
                <w:rFonts w:hint="default" w:ascii="Times New Roman" w:hAnsi="Times New Roman" w:eastAsia="方正仿宋_GBK" w:cs="Times New Roman"/>
                <w:color w:val="000000"/>
                <w:kern w:val="0"/>
                <w:szCs w:val="21"/>
                <w:highlight w:val="none"/>
              </w:rPr>
            </w:pPr>
          </w:p>
        </w:tc>
      </w:tr>
      <w:tr w14:paraId="7AB2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7DC34BEC">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1E2EAF2A">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4.</w:t>
            </w:r>
            <w:r>
              <w:rPr>
                <w:rFonts w:hint="default" w:ascii="Times New Roman" w:hAnsi="Times New Roman" w:eastAsia="方正仿宋_GBK" w:cs="Times New Roman"/>
                <w:color w:val="000000"/>
                <w:kern w:val="0"/>
                <w:szCs w:val="21"/>
                <w:highlight w:val="none"/>
              </w:rPr>
              <w:t>维修不及时，故障处理超过约定时限未完成；</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9217D05">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3分/次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E0E2AE7">
            <w:pPr>
              <w:adjustRightInd w:val="0"/>
              <w:spacing w:line="300" w:lineRule="exact"/>
              <w:rPr>
                <w:rFonts w:hint="default" w:ascii="Times New Roman" w:hAnsi="Times New Roman" w:eastAsia="方正仿宋_GBK" w:cs="Times New Roman"/>
                <w:color w:val="000000"/>
                <w:kern w:val="0"/>
                <w:szCs w:val="21"/>
                <w:highlight w:val="none"/>
              </w:rPr>
            </w:pPr>
          </w:p>
        </w:tc>
      </w:tr>
      <w:tr w14:paraId="6AC7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3B9EBF62">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52954349">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5.</w:t>
            </w:r>
            <w:r>
              <w:rPr>
                <w:rFonts w:hint="default" w:ascii="Times New Roman" w:hAnsi="Times New Roman" w:eastAsia="方正仿宋_GBK" w:cs="Times New Roman"/>
                <w:color w:val="000000"/>
                <w:kern w:val="0"/>
                <w:szCs w:val="21"/>
                <w:highlight w:val="none"/>
              </w:rPr>
              <w:t>遗留工作未按约定计划完成；</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C7EDB6D">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5分/次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666A4EC">
            <w:pPr>
              <w:adjustRightInd w:val="0"/>
              <w:spacing w:line="300" w:lineRule="exact"/>
              <w:rPr>
                <w:rFonts w:hint="default" w:ascii="Times New Roman" w:hAnsi="Times New Roman" w:eastAsia="方正仿宋_GBK" w:cs="Times New Roman"/>
                <w:color w:val="000000"/>
                <w:kern w:val="0"/>
                <w:szCs w:val="21"/>
                <w:highlight w:val="none"/>
              </w:rPr>
            </w:pPr>
          </w:p>
        </w:tc>
      </w:tr>
      <w:tr w14:paraId="2B93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069" w:type="dxa"/>
            <w:tcBorders>
              <w:top w:val="single" w:color="auto" w:sz="4" w:space="0"/>
              <w:left w:val="single" w:color="auto" w:sz="4" w:space="0"/>
              <w:right w:val="single" w:color="auto" w:sz="4" w:space="0"/>
            </w:tcBorders>
            <w:noWrap w:val="0"/>
            <w:vAlign w:val="center"/>
          </w:tcPr>
          <w:p w14:paraId="4AD9895C">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突发事件处理</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73505EB2">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发生紧急事件未能在1小时内到达现</w:t>
            </w:r>
            <w:r>
              <w:rPr>
                <w:rFonts w:hint="eastAsia" w:ascii="Times New Roman" w:hAnsi="Times New Roman" w:eastAsia="方正仿宋_GBK" w:cs="Times New Roman"/>
                <w:color w:val="000000"/>
                <w:kern w:val="0"/>
                <w:szCs w:val="21"/>
                <w:highlight w:val="none"/>
                <w:lang w:eastAsia="zh-CN"/>
              </w:rPr>
              <w:t>场处</w:t>
            </w:r>
            <w:r>
              <w:rPr>
                <w:rFonts w:hint="default" w:ascii="Times New Roman" w:hAnsi="Times New Roman" w:eastAsia="方正仿宋_GBK" w:cs="Times New Roman"/>
                <w:color w:val="000000"/>
                <w:kern w:val="0"/>
                <w:szCs w:val="21"/>
                <w:highlight w:val="none"/>
              </w:rPr>
              <w:t>理；</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B650935">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5分/次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135F708">
            <w:pPr>
              <w:adjustRightInd w:val="0"/>
              <w:spacing w:line="300" w:lineRule="exact"/>
              <w:rPr>
                <w:rFonts w:hint="default" w:ascii="Times New Roman" w:hAnsi="Times New Roman" w:eastAsia="方正仿宋_GBK" w:cs="Times New Roman"/>
                <w:color w:val="000000"/>
                <w:kern w:val="0"/>
                <w:szCs w:val="21"/>
                <w:highlight w:val="none"/>
              </w:rPr>
            </w:pPr>
          </w:p>
        </w:tc>
      </w:tr>
      <w:tr w14:paraId="51B9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14:paraId="1EEDFA33">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重大违约事件</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12377C39">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未经甲方书面批准擅自拆除设备及配件（紧急情况除外，但应征得甲方同意）；</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5149646">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10分/次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225CA56">
            <w:pPr>
              <w:adjustRightInd w:val="0"/>
              <w:spacing w:line="300" w:lineRule="exact"/>
              <w:rPr>
                <w:rFonts w:hint="default" w:ascii="Times New Roman" w:hAnsi="Times New Roman" w:eastAsia="方正仿宋_GBK" w:cs="Times New Roman"/>
                <w:color w:val="000000"/>
                <w:kern w:val="0"/>
                <w:szCs w:val="21"/>
                <w:highlight w:val="none"/>
              </w:rPr>
            </w:pPr>
          </w:p>
        </w:tc>
      </w:tr>
      <w:tr w14:paraId="0774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58AEA444">
            <w:pPr>
              <w:adjustRightInd w:val="0"/>
              <w:spacing w:line="300" w:lineRule="exact"/>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69795421">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2.</w:t>
            </w:r>
            <w:r>
              <w:rPr>
                <w:rFonts w:hint="default" w:ascii="Times New Roman" w:hAnsi="Times New Roman" w:eastAsia="方正仿宋_GBK" w:cs="Times New Roman"/>
                <w:color w:val="000000"/>
                <w:kern w:val="0"/>
                <w:szCs w:val="21"/>
                <w:highlight w:val="none"/>
              </w:rPr>
              <w:t>重大供配电设备故障（高、低压供配电设备等）处理不及时；</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F00EAB7">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10分/次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C8B3A7A">
            <w:pPr>
              <w:adjustRightInd w:val="0"/>
              <w:spacing w:line="300" w:lineRule="exact"/>
              <w:rPr>
                <w:rFonts w:hint="default" w:ascii="Times New Roman" w:hAnsi="Times New Roman" w:eastAsia="方正仿宋_GBK" w:cs="Times New Roman"/>
                <w:color w:val="000000"/>
                <w:kern w:val="0"/>
                <w:szCs w:val="21"/>
                <w:highlight w:val="none"/>
              </w:rPr>
            </w:pPr>
          </w:p>
        </w:tc>
      </w:tr>
      <w:tr w14:paraId="2CFB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6D0F7944">
            <w:pPr>
              <w:adjustRightInd w:val="0"/>
              <w:spacing w:line="300" w:lineRule="exact"/>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2F041FC1">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3.</w:t>
            </w:r>
            <w:r>
              <w:rPr>
                <w:rFonts w:hint="default" w:ascii="Times New Roman" w:hAnsi="Times New Roman" w:eastAsia="方正仿宋_GBK" w:cs="Times New Roman"/>
                <w:color w:val="000000"/>
                <w:kern w:val="0"/>
                <w:szCs w:val="21"/>
                <w:highlight w:val="none"/>
              </w:rPr>
              <w:t>人为因素造成小修时间超过2天；人为因素造成中修时间超过5天；人为因素造成大修时间超过30天；</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F91ACD2">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10分/次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AFA97B9">
            <w:pPr>
              <w:adjustRightInd w:val="0"/>
              <w:spacing w:line="300" w:lineRule="exact"/>
              <w:rPr>
                <w:rFonts w:hint="default" w:ascii="Times New Roman" w:hAnsi="Times New Roman" w:eastAsia="方正仿宋_GBK" w:cs="Times New Roman"/>
                <w:color w:val="000000"/>
                <w:kern w:val="0"/>
                <w:szCs w:val="21"/>
                <w:highlight w:val="none"/>
              </w:rPr>
            </w:pPr>
          </w:p>
        </w:tc>
      </w:tr>
      <w:tr w14:paraId="3CE9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9297" w:type="dxa"/>
            <w:gridSpan w:val="3"/>
            <w:tcBorders>
              <w:top w:val="single" w:color="auto" w:sz="4" w:space="0"/>
              <w:left w:val="single" w:color="auto" w:sz="4" w:space="0"/>
              <w:bottom w:val="single" w:color="auto" w:sz="4" w:space="0"/>
              <w:right w:val="single" w:color="auto" w:sz="4" w:space="0"/>
            </w:tcBorders>
            <w:noWrap w:val="0"/>
            <w:vAlign w:val="center"/>
          </w:tcPr>
          <w:p w14:paraId="001D9D66">
            <w:pPr>
              <w:adjustRightInd w:val="0"/>
              <w:spacing w:line="300" w:lineRule="exact"/>
              <w:jc w:val="center"/>
              <w:rPr>
                <w:rFonts w:hint="eastAsia" w:ascii="Times New Roman" w:hAnsi="Times New Roman" w:eastAsia="方正仿宋_GBK" w:cs="Times New Roman"/>
                <w:color w:val="000000"/>
                <w:kern w:val="0"/>
                <w:szCs w:val="21"/>
                <w:highlight w:val="none"/>
                <w:lang w:eastAsia="zh-CN"/>
              </w:rPr>
            </w:pPr>
            <w:r>
              <w:rPr>
                <w:rFonts w:hint="eastAsia" w:ascii="Times New Roman" w:hAnsi="Times New Roman" w:eastAsia="方正仿宋_GBK" w:cs="Times New Roman"/>
                <w:color w:val="000000"/>
                <w:kern w:val="0"/>
                <w:szCs w:val="21"/>
                <w:highlight w:val="none"/>
                <w:lang w:eastAsia="zh-CN"/>
              </w:rPr>
              <w:t>得分</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ED0AE89">
            <w:pPr>
              <w:adjustRightInd w:val="0"/>
              <w:spacing w:line="300" w:lineRule="exact"/>
              <w:rPr>
                <w:rFonts w:hint="default" w:ascii="Times New Roman" w:hAnsi="Times New Roman" w:eastAsia="方正仿宋_GBK" w:cs="Times New Roman"/>
                <w:color w:val="000000"/>
                <w:kern w:val="0"/>
                <w:szCs w:val="21"/>
                <w:highlight w:val="none"/>
              </w:rPr>
            </w:pPr>
          </w:p>
        </w:tc>
      </w:tr>
      <w:tr w14:paraId="0553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exact"/>
        </w:trPr>
        <w:tc>
          <w:tcPr>
            <w:tcW w:w="10325" w:type="dxa"/>
            <w:gridSpan w:val="4"/>
            <w:tcBorders>
              <w:top w:val="single" w:color="auto" w:sz="4" w:space="0"/>
              <w:left w:val="single" w:color="auto" w:sz="4" w:space="0"/>
              <w:bottom w:val="single" w:color="auto" w:sz="4" w:space="0"/>
              <w:right w:val="single" w:color="auto" w:sz="4" w:space="0"/>
            </w:tcBorders>
            <w:noWrap w:val="0"/>
            <w:vAlign w:val="center"/>
          </w:tcPr>
          <w:p w14:paraId="72FD5C87">
            <w:pPr>
              <w:adjustRightInd w:val="0"/>
              <w:spacing w:line="300" w:lineRule="exac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说明：</w:t>
            </w:r>
          </w:p>
          <w:p w14:paraId="3E3AC325">
            <w:pPr>
              <w:adjustRightInd w:val="0"/>
              <w:spacing w:line="300" w:lineRule="exact"/>
              <w:ind w:firstLine="400" w:firstLineChars="200"/>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szCs w:val="21"/>
                <w:highlight w:val="none"/>
              </w:rPr>
              <w:t>总分为100分，每月考核得分不得低于90分，得分低于90分，扣除当月服务费</w:t>
            </w:r>
            <w:r>
              <w:rPr>
                <w:rFonts w:hint="default" w:ascii="Times New Roman" w:hAnsi="Times New Roman" w:eastAsia="方正仿宋_GBK" w:cs="Times New Roman"/>
                <w:color w:val="000000"/>
                <w:szCs w:val="21"/>
                <w:highlight w:val="none"/>
                <w:u w:val="single"/>
              </w:rPr>
              <w:t>5％</w:t>
            </w:r>
            <w:r>
              <w:rPr>
                <w:rFonts w:hint="default" w:ascii="Times New Roman" w:hAnsi="Times New Roman" w:eastAsia="方正仿宋_GBK" w:cs="Times New Roman"/>
                <w:color w:val="000000"/>
                <w:szCs w:val="21"/>
                <w:highlight w:val="none"/>
              </w:rPr>
              <w:t>；得分低于85分，扣除当月服务费</w:t>
            </w:r>
            <w:r>
              <w:rPr>
                <w:rFonts w:hint="default" w:ascii="Times New Roman" w:hAnsi="Times New Roman" w:eastAsia="方正仿宋_GBK" w:cs="Times New Roman"/>
                <w:color w:val="000000"/>
                <w:szCs w:val="21"/>
                <w:highlight w:val="none"/>
                <w:u w:val="single"/>
              </w:rPr>
              <w:t>10％</w:t>
            </w:r>
            <w:r>
              <w:rPr>
                <w:rFonts w:hint="default" w:ascii="Times New Roman" w:hAnsi="Times New Roman" w:eastAsia="方正仿宋_GBK" w:cs="Times New Roman"/>
                <w:color w:val="000000"/>
                <w:szCs w:val="21"/>
                <w:highlight w:val="none"/>
              </w:rPr>
              <w:t>；得分低于80分，扣除当月服务费</w:t>
            </w:r>
            <w:r>
              <w:rPr>
                <w:rFonts w:hint="default" w:ascii="Times New Roman" w:hAnsi="Times New Roman" w:eastAsia="方正仿宋_GBK" w:cs="Times New Roman"/>
                <w:color w:val="000000"/>
                <w:szCs w:val="21"/>
                <w:highlight w:val="none"/>
                <w:u w:val="single"/>
              </w:rPr>
              <w:t>20％</w:t>
            </w:r>
            <w:r>
              <w:rPr>
                <w:rFonts w:hint="default" w:ascii="Times New Roman" w:hAnsi="Times New Roman" w:eastAsia="方正仿宋_GBK" w:cs="Times New Roman"/>
                <w:color w:val="000000"/>
                <w:szCs w:val="21"/>
                <w:highlight w:val="none"/>
              </w:rPr>
              <w:t>；连续2次出现或合同期内累积出现3次</w:t>
            </w:r>
            <w:r>
              <w:rPr>
                <w:rFonts w:hint="default" w:ascii="Times New Roman" w:hAnsi="Times New Roman" w:eastAsia="方正仿宋_GBK" w:cs="Times New Roman"/>
                <w:color w:val="000000"/>
                <w:sz w:val="24"/>
                <w:highlight w:val="none"/>
              </w:rPr>
              <w:t>月考核分</w:t>
            </w:r>
            <w:r>
              <w:rPr>
                <w:rFonts w:hint="default" w:ascii="Times New Roman" w:hAnsi="Times New Roman" w:eastAsia="方正仿宋_GBK" w:cs="Times New Roman"/>
                <w:color w:val="000000"/>
                <w:szCs w:val="21"/>
                <w:highlight w:val="none"/>
              </w:rPr>
              <w:t>低于80分的，甲方有权单方解除合同，同时履约保证金不予退还且不被视为违约。</w:t>
            </w:r>
          </w:p>
        </w:tc>
      </w:tr>
      <w:tr w14:paraId="2001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exact"/>
        </w:trPr>
        <w:tc>
          <w:tcPr>
            <w:tcW w:w="10325" w:type="dxa"/>
            <w:gridSpan w:val="4"/>
            <w:tcBorders>
              <w:top w:val="single" w:color="auto" w:sz="4" w:space="0"/>
              <w:left w:val="single" w:color="auto" w:sz="4" w:space="0"/>
              <w:bottom w:val="single" w:color="auto" w:sz="4" w:space="0"/>
              <w:right w:val="single" w:color="auto" w:sz="4" w:space="0"/>
            </w:tcBorders>
            <w:noWrap w:val="0"/>
            <w:vAlign w:val="center"/>
          </w:tcPr>
          <w:p w14:paraId="2771D8EC">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服务中心</w:t>
            </w:r>
            <w:r>
              <w:rPr>
                <w:rFonts w:hint="default" w:ascii="Times New Roman" w:hAnsi="Times New Roman" w:eastAsia="方正仿宋_GBK" w:cs="Times New Roman"/>
                <w:color w:val="000000"/>
                <w:kern w:val="0"/>
                <w:szCs w:val="21"/>
                <w:highlight w:val="none"/>
              </w:rPr>
              <w:t>/项目部：                                            被考核单位：</w:t>
            </w:r>
          </w:p>
          <w:p w14:paraId="20E4F202">
            <w:pPr>
              <w:adjustRightInd w:val="0"/>
              <w:spacing w:line="300" w:lineRule="exac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日  期：                                                          日  期：</w:t>
            </w:r>
          </w:p>
        </w:tc>
      </w:tr>
    </w:tbl>
    <w:p w14:paraId="0D78DCC8">
      <w:pPr>
        <w:pStyle w:val="11"/>
        <w:snapToGrid w:val="0"/>
        <w:ind w:firstLine="480"/>
        <w:jc w:val="center"/>
        <w:rPr>
          <w:rFonts w:hint="default" w:ascii="Times New Roman" w:hAnsi="Times New Roman" w:eastAsia="黑体" w:cs="Times New Roman"/>
          <w:b/>
          <w:bCs/>
          <w:color w:val="000000"/>
          <w:sz w:val="32"/>
          <w:szCs w:val="32"/>
          <w:highlight w:val="none"/>
        </w:rPr>
        <w:sectPr>
          <w:footerReference r:id="rId6" w:type="default"/>
          <w:pgSz w:w="11906" w:h="16838"/>
          <w:pgMar w:top="1270" w:right="1417" w:bottom="624" w:left="1417" w:header="851" w:footer="992" w:gutter="0"/>
          <w:pgNumType w:fmt="decimal"/>
          <w:cols w:space="720" w:num="1"/>
          <w:docGrid w:type="lines" w:linePitch="312" w:charSpace="0"/>
        </w:sectPr>
      </w:pPr>
    </w:p>
    <w:p w14:paraId="089B3BEC">
      <w:pPr>
        <w:adjustRightInd w:val="0"/>
        <w:spacing w:line="600" w:lineRule="exact"/>
        <w:jc w:val="left"/>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附件二：免费零配件清单</w:t>
      </w:r>
    </w:p>
    <w:tbl>
      <w:tblPr>
        <w:tblStyle w:val="23"/>
        <w:tblpPr w:leftFromText="180" w:rightFromText="180" w:vertAnchor="text" w:horzAnchor="page" w:tblpX="1087" w:tblpY="371"/>
        <w:tblOverlap w:val="never"/>
        <w:tblW w:w="0" w:type="auto"/>
        <w:tblInd w:w="0" w:type="dxa"/>
        <w:tblLayout w:type="fixed"/>
        <w:tblCellMar>
          <w:top w:w="0" w:type="dxa"/>
          <w:left w:w="108" w:type="dxa"/>
          <w:bottom w:w="0" w:type="dxa"/>
          <w:right w:w="108" w:type="dxa"/>
        </w:tblCellMar>
      </w:tblPr>
      <w:tblGrid>
        <w:gridCol w:w="1000"/>
        <w:gridCol w:w="1650"/>
        <w:gridCol w:w="2269"/>
        <w:gridCol w:w="1393"/>
        <w:gridCol w:w="1638"/>
        <w:gridCol w:w="2000"/>
      </w:tblGrid>
      <w:tr w14:paraId="5E9A1AD4">
        <w:tblPrEx>
          <w:tblCellMar>
            <w:top w:w="0" w:type="dxa"/>
            <w:left w:w="108" w:type="dxa"/>
            <w:bottom w:w="0" w:type="dxa"/>
            <w:right w:w="108" w:type="dxa"/>
          </w:tblCellMar>
        </w:tblPrEx>
        <w:trPr>
          <w:trHeight w:val="419" w:hRule="atLeast"/>
        </w:trPr>
        <w:tc>
          <w:tcPr>
            <w:tcW w:w="1000" w:type="dxa"/>
            <w:tcBorders>
              <w:top w:val="single" w:color="auto" w:sz="4" w:space="0"/>
              <w:left w:val="single" w:color="auto" w:sz="4" w:space="0"/>
              <w:bottom w:val="single" w:color="auto" w:sz="4" w:space="0"/>
              <w:right w:val="single" w:color="auto" w:sz="4" w:space="0"/>
            </w:tcBorders>
            <w:noWrap w:val="0"/>
            <w:vAlign w:val="center"/>
          </w:tcPr>
          <w:p w14:paraId="6DAB4FC6">
            <w:pPr>
              <w:adjustRightInd w:val="0"/>
              <w:jc w:val="center"/>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E23E6F6">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材料</w:t>
            </w:r>
          </w:p>
        </w:tc>
        <w:tc>
          <w:tcPr>
            <w:tcW w:w="2269" w:type="dxa"/>
            <w:tcBorders>
              <w:top w:val="single" w:color="auto" w:sz="4" w:space="0"/>
              <w:left w:val="nil"/>
              <w:bottom w:val="single" w:color="auto" w:sz="4" w:space="0"/>
              <w:right w:val="single" w:color="auto" w:sz="4" w:space="0"/>
            </w:tcBorders>
            <w:noWrap w:val="0"/>
            <w:vAlign w:val="center"/>
          </w:tcPr>
          <w:p w14:paraId="6896E9F0">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型号</w:t>
            </w:r>
          </w:p>
        </w:tc>
        <w:tc>
          <w:tcPr>
            <w:tcW w:w="1393" w:type="dxa"/>
            <w:tcBorders>
              <w:top w:val="single" w:color="auto" w:sz="4" w:space="0"/>
              <w:left w:val="nil"/>
              <w:bottom w:val="single" w:color="auto" w:sz="4" w:space="0"/>
              <w:right w:val="single" w:color="auto" w:sz="4" w:space="0"/>
            </w:tcBorders>
            <w:noWrap w:val="0"/>
            <w:vAlign w:val="center"/>
          </w:tcPr>
          <w:p w14:paraId="5614BC63">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序号</w:t>
            </w:r>
          </w:p>
        </w:tc>
        <w:tc>
          <w:tcPr>
            <w:tcW w:w="1638" w:type="dxa"/>
            <w:tcBorders>
              <w:top w:val="single" w:color="auto" w:sz="4" w:space="0"/>
              <w:left w:val="nil"/>
              <w:bottom w:val="single" w:color="auto" w:sz="4" w:space="0"/>
              <w:right w:val="single" w:color="auto" w:sz="4" w:space="0"/>
            </w:tcBorders>
            <w:noWrap w:val="0"/>
            <w:vAlign w:val="center"/>
          </w:tcPr>
          <w:p w14:paraId="4DCB5A5E">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材料</w:t>
            </w:r>
          </w:p>
        </w:tc>
        <w:tc>
          <w:tcPr>
            <w:tcW w:w="2000" w:type="dxa"/>
            <w:tcBorders>
              <w:top w:val="single" w:color="auto" w:sz="4" w:space="0"/>
              <w:left w:val="nil"/>
              <w:bottom w:val="single" w:color="auto" w:sz="4" w:space="0"/>
              <w:right w:val="single" w:color="auto" w:sz="4" w:space="0"/>
            </w:tcBorders>
            <w:noWrap w:val="0"/>
            <w:vAlign w:val="center"/>
          </w:tcPr>
          <w:p w14:paraId="71741C68">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型号</w:t>
            </w:r>
          </w:p>
        </w:tc>
      </w:tr>
      <w:tr w14:paraId="09269F57">
        <w:tblPrEx>
          <w:tblCellMar>
            <w:top w:w="0" w:type="dxa"/>
            <w:left w:w="108" w:type="dxa"/>
            <w:bottom w:w="0" w:type="dxa"/>
            <w:right w:w="108" w:type="dxa"/>
          </w:tblCellMar>
        </w:tblPrEx>
        <w:trPr>
          <w:trHeight w:val="475" w:hRule="atLeast"/>
        </w:trPr>
        <w:tc>
          <w:tcPr>
            <w:tcW w:w="1000" w:type="dxa"/>
            <w:tcBorders>
              <w:top w:val="nil"/>
              <w:left w:val="single" w:color="auto" w:sz="4" w:space="0"/>
              <w:bottom w:val="single" w:color="auto" w:sz="4" w:space="0"/>
              <w:right w:val="single" w:color="auto" w:sz="4" w:space="0"/>
            </w:tcBorders>
            <w:noWrap w:val="0"/>
            <w:vAlign w:val="center"/>
          </w:tcPr>
          <w:p w14:paraId="73E58BAC">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w:t>
            </w:r>
          </w:p>
        </w:tc>
        <w:tc>
          <w:tcPr>
            <w:tcW w:w="1650" w:type="dxa"/>
            <w:tcBorders>
              <w:top w:val="nil"/>
              <w:left w:val="single" w:color="auto" w:sz="4" w:space="0"/>
              <w:bottom w:val="single" w:color="auto" w:sz="4" w:space="0"/>
              <w:right w:val="single" w:color="auto" w:sz="4" w:space="0"/>
            </w:tcBorders>
            <w:noWrap w:val="0"/>
            <w:vAlign w:val="center"/>
          </w:tcPr>
          <w:p w14:paraId="7460A0A6">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避雷器</w:t>
            </w:r>
          </w:p>
        </w:tc>
        <w:tc>
          <w:tcPr>
            <w:tcW w:w="2269" w:type="dxa"/>
            <w:tcBorders>
              <w:top w:val="nil"/>
              <w:left w:val="nil"/>
              <w:bottom w:val="single" w:color="auto" w:sz="4" w:space="0"/>
              <w:right w:val="single" w:color="auto" w:sz="4" w:space="0"/>
            </w:tcBorders>
            <w:noWrap w:val="0"/>
            <w:vAlign w:val="center"/>
          </w:tcPr>
          <w:p w14:paraId="1E15D4AD">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HY5WS-17/50</w:t>
            </w:r>
          </w:p>
        </w:tc>
        <w:tc>
          <w:tcPr>
            <w:tcW w:w="1393" w:type="dxa"/>
            <w:tcBorders>
              <w:top w:val="nil"/>
              <w:left w:val="nil"/>
              <w:bottom w:val="single" w:color="auto" w:sz="4" w:space="0"/>
              <w:right w:val="single" w:color="auto" w:sz="4" w:space="0"/>
            </w:tcBorders>
            <w:noWrap w:val="0"/>
            <w:vAlign w:val="center"/>
          </w:tcPr>
          <w:p w14:paraId="1BED7E0C">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21</w:t>
            </w:r>
          </w:p>
        </w:tc>
        <w:tc>
          <w:tcPr>
            <w:tcW w:w="1638" w:type="dxa"/>
            <w:tcBorders>
              <w:top w:val="nil"/>
              <w:left w:val="nil"/>
              <w:bottom w:val="single" w:color="auto" w:sz="4" w:space="0"/>
              <w:right w:val="single" w:color="auto" w:sz="4" w:space="0"/>
            </w:tcBorders>
            <w:noWrap w:val="0"/>
            <w:vAlign w:val="center"/>
          </w:tcPr>
          <w:p w14:paraId="35136A9F">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57C41FCA">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16</w:t>
            </w:r>
          </w:p>
        </w:tc>
      </w:tr>
      <w:tr w14:paraId="5C150757">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3368670A">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w:t>
            </w:r>
          </w:p>
        </w:tc>
        <w:tc>
          <w:tcPr>
            <w:tcW w:w="1650" w:type="dxa"/>
            <w:tcBorders>
              <w:top w:val="nil"/>
              <w:left w:val="single" w:color="auto" w:sz="4" w:space="0"/>
              <w:bottom w:val="single" w:color="auto" w:sz="4" w:space="0"/>
              <w:right w:val="single" w:color="auto" w:sz="4" w:space="0"/>
            </w:tcBorders>
            <w:noWrap w:val="0"/>
            <w:vAlign w:val="center"/>
          </w:tcPr>
          <w:p w14:paraId="34CF6032">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14:paraId="636A3559">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80A</w:t>
            </w:r>
          </w:p>
        </w:tc>
        <w:tc>
          <w:tcPr>
            <w:tcW w:w="1393" w:type="dxa"/>
            <w:tcBorders>
              <w:top w:val="nil"/>
              <w:left w:val="nil"/>
              <w:bottom w:val="single" w:color="auto" w:sz="4" w:space="0"/>
              <w:right w:val="single" w:color="auto" w:sz="4" w:space="0"/>
            </w:tcBorders>
            <w:noWrap w:val="0"/>
            <w:vAlign w:val="center"/>
          </w:tcPr>
          <w:p w14:paraId="76C2EC02">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22</w:t>
            </w:r>
          </w:p>
        </w:tc>
        <w:tc>
          <w:tcPr>
            <w:tcW w:w="1638" w:type="dxa"/>
            <w:tcBorders>
              <w:top w:val="nil"/>
              <w:left w:val="nil"/>
              <w:bottom w:val="single" w:color="auto" w:sz="4" w:space="0"/>
              <w:right w:val="single" w:color="auto" w:sz="4" w:space="0"/>
            </w:tcBorders>
            <w:noWrap w:val="0"/>
            <w:vAlign w:val="center"/>
          </w:tcPr>
          <w:p w14:paraId="6F07D6F5">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146655FA">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25</w:t>
            </w:r>
          </w:p>
        </w:tc>
      </w:tr>
      <w:tr w14:paraId="61A51622">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491490EE">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w:t>
            </w:r>
          </w:p>
        </w:tc>
        <w:tc>
          <w:tcPr>
            <w:tcW w:w="1650" w:type="dxa"/>
            <w:tcBorders>
              <w:top w:val="nil"/>
              <w:left w:val="single" w:color="auto" w:sz="4" w:space="0"/>
              <w:bottom w:val="single" w:color="auto" w:sz="4" w:space="0"/>
              <w:right w:val="single" w:color="auto" w:sz="4" w:space="0"/>
            </w:tcBorders>
            <w:noWrap w:val="0"/>
            <w:vAlign w:val="center"/>
          </w:tcPr>
          <w:p w14:paraId="407313C7">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14:paraId="07113D6C">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63A</w:t>
            </w:r>
          </w:p>
        </w:tc>
        <w:tc>
          <w:tcPr>
            <w:tcW w:w="1393" w:type="dxa"/>
            <w:tcBorders>
              <w:top w:val="nil"/>
              <w:left w:val="nil"/>
              <w:bottom w:val="single" w:color="auto" w:sz="4" w:space="0"/>
              <w:right w:val="single" w:color="auto" w:sz="4" w:space="0"/>
            </w:tcBorders>
            <w:noWrap w:val="0"/>
            <w:vAlign w:val="center"/>
          </w:tcPr>
          <w:p w14:paraId="372EB649">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23</w:t>
            </w:r>
          </w:p>
        </w:tc>
        <w:tc>
          <w:tcPr>
            <w:tcW w:w="1638" w:type="dxa"/>
            <w:tcBorders>
              <w:top w:val="nil"/>
              <w:left w:val="nil"/>
              <w:bottom w:val="single" w:color="auto" w:sz="4" w:space="0"/>
              <w:right w:val="single" w:color="auto" w:sz="4" w:space="0"/>
            </w:tcBorders>
            <w:noWrap w:val="0"/>
            <w:vAlign w:val="center"/>
          </w:tcPr>
          <w:p w14:paraId="5B3EE532">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1128BFDA">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35</w:t>
            </w:r>
          </w:p>
        </w:tc>
      </w:tr>
      <w:tr w14:paraId="70910523">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05B83CC5">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w:t>
            </w:r>
          </w:p>
        </w:tc>
        <w:tc>
          <w:tcPr>
            <w:tcW w:w="1650" w:type="dxa"/>
            <w:tcBorders>
              <w:top w:val="nil"/>
              <w:left w:val="single" w:color="auto" w:sz="4" w:space="0"/>
              <w:bottom w:val="single" w:color="auto" w:sz="4" w:space="0"/>
              <w:right w:val="single" w:color="auto" w:sz="4" w:space="0"/>
            </w:tcBorders>
            <w:noWrap w:val="0"/>
            <w:vAlign w:val="center"/>
          </w:tcPr>
          <w:p w14:paraId="20A7C710">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14:paraId="575D49B7">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50A</w:t>
            </w:r>
          </w:p>
        </w:tc>
        <w:tc>
          <w:tcPr>
            <w:tcW w:w="1393" w:type="dxa"/>
            <w:tcBorders>
              <w:top w:val="nil"/>
              <w:left w:val="nil"/>
              <w:bottom w:val="single" w:color="auto" w:sz="4" w:space="0"/>
              <w:right w:val="single" w:color="auto" w:sz="4" w:space="0"/>
            </w:tcBorders>
            <w:noWrap w:val="0"/>
            <w:vAlign w:val="center"/>
          </w:tcPr>
          <w:p w14:paraId="4E2BDA96">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24</w:t>
            </w:r>
          </w:p>
        </w:tc>
        <w:tc>
          <w:tcPr>
            <w:tcW w:w="1638" w:type="dxa"/>
            <w:tcBorders>
              <w:top w:val="nil"/>
              <w:left w:val="nil"/>
              <w:bottom w:val="single" w:color="auto" w:sz="4" w:space="0"/>
              <w:right w:val="single" w:color="auto" w:sz="4" w:space="0"/>
            </w:tcBorders>
            <w:noWrap w:val="0"/>
            <w:vAlign w:val="center"/>
          </w:tcPr>
          <w:p w14:paraId="44D5826B">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0F51B121">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50</w:t>
            </w:r>
          </w:p>
        </w:tc>
      </w:tr>
      <w:tr w14:paraId="75EC56C0">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56830B6B">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5</w:t>
            </w:r>
          </w:p>
        </w:tc>
        <w:tc>
          <w:tcPr>
            <w:tcW w:w="1650" w:type="dxa"/>
            <w:tcBorders>
              <w:top w:val="nil"/>
              <w:left w:val="single" w:color="auto" w:sz="4" w:space="0"/>
              <w:bottom w:val="single" w:color="auto" w:sz="4" w:space="0"/>
              <w:right w:val="single" w:color="auto" w:sz="4" w:space="0"/>
            </w:tcBorders>
            <w:noWrap w:val="0"/>
            <w:vAlign w:val="center"/>
          </w:tcPr>
          <w:p w14:paraId="7A3D74AC">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14:paraId="39D50A39">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40A</w:t>
            </w:r>
          </w:p>
        </w:tc>
        <w:tc>
          <w:tcPr>
            <w:tcW w:w="1393" w:type="dxa"/>
            <w:tcBorders>
              <w:top w:val="nil"/>
              <w:left w:val="nil"/>
              <w:bottom w:val="single" w:color="auto" w:sz="4" w:space="0"/>
              <w:right w:val="single" w:color="auto" w:sz="4" w:space="0"/>
            </w:tcBorders>
            <w:noWrap w:val="0"/>
            <w:vAlign w:val="center"/>
          </w:tcPr>
          <w:p w14:paraId="6554FB02">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25</w:t>
            </w:r>
          </w:p>
        </w:tc>
        <w:tc>
          <w:tcPr>
            <w:tcW w:w="1638" w:type="dxa"/>
            <w:tcBorders>
              <w:top w:val="nil"/>
              <w:left w:val="nil"/>
              <w:bottom w:val="single" w:color="auto" w:sz="4" w:space="0"/>
              <w:right w:val="single" w:color="auto" w:sz="4" w:space="0"/>
            </w:tcBorders>
            <w:noWrap w:val="0"/>
            <w:vAlign w:val="center"/>
          </w:tcPr>
          <w:p w14:paraId="72A8F580">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419D2A4C">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70</w:t>
            </w:r>
          </w:p>
        </w:tc>
      </w:tr>
      <w:tr w14:paraId="3FCF8365">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0DE965D7">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6</w:t>
            </w:r>
          </w:p>
        </w:tc>
        <w:tc>
          <w:tcPr>
            <w:tcW w:w="1650" w:type="dxa"/>
            <w:tcBorders>
              <w:top w:val="nil"/>
              <w:left w:val="single" w:color="auto" w:sz="4" w:space="0"/>
              <w:bottom w:val="single" w:color="auto" w:sz="4" w:space="0"/>
              <w:right w:val="single" w:color="auto" w:sz="4" w:space="0"/>
            </w:tcBorders>
            <w:noWrap w:val="0"/>
            <w:vAlign w:val="center"/>
          </w:tcPr>
          <w:p w14:paraId="2B4574F0">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14:paraId="7E6D348E">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31.5A</w:t>
            </w:r>
          </w:p>
        </w:tc>
        <w:tc>
          <w:tcPr>
            <w:tcW w:w="1393" w:type="dxa"/>
            <w:tcBorders>
              <w:top w:val="nil"/>
              <w:left w:val="nil"/>
              <w:bottom w:val="single" w:color="auto" w:sz="4" w:space="0"/>
              <w:right w:val="single" w:color="auto" w:sz="4" w:space="0"/>
            </w:tcBorders>
            <w:noWrap w:val="0"/>
            <w:vAlign w:val="center"/>
          </w:tcPr>
          <w:p w14:paraId="0E5C9D30">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26</w:t>
            </w:r>
          </w:p>
        </w:tc>
        <w:tc>
          <w:tcPr>
            <w:tcW w:w="1638" w:type="dxa"/>
            <w:tcBorders>
              <w:top w:val="nil"/>
              <w:left w:val="nil"/>
              <w:bottom w:val="single" w:color="auto" w:sz="4" w:space="0"/>
              <w:right w:val="single" w:color="auto" w:sz="4" w:space="0"/>
            </w:tcBorders>
            <w:noWrap w:val="0"/>
            <w:vAlign w:val="center"/>
          </w:tcPr>
          <w:p w14:paraId="7AC57689">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3329A675">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95</w:t>
            </w:r>
          </w:p>
        </w:tc>
      </w:tr>
      <w:tr w14:paraId="134CA658">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54639F9B">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7</w:t>
            </w:r>
          </w:p>
        </w:tc>
        <w:tc>
          <w:tcPr>
            <w:tcW w:w="1650" w:type="dxa"/>
            <w:tcBorders>
              <w:top w:val="nil"/>
              <w:left w:val="single" w:color="auto" w:sz="4" w:space="0"/>
              <w:bottom w:val="single" w:color="auto" w:sz="4" w:space="0"/>
              <w:right w:val="single" w:color="auto" w:sz="4" w:space="0"/>
            </w:tcBorders>
            <w:noWrap w:val="0"/>
            <w:vAlign w:val="center"/>
          </w:tcPr>
          <w:p w14:paraId="34CDC924">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14:paraId="33AE5535">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20A</w:t>
            </w:r>
          </w:p>
        </w:tc>
        <w:tc>
          <w:tcPr>
            <w:tcW w:w="1393" w:type="dxa"/>
            <w:tcBorders>
              <w:top w:val="nil"/>
              <w:left w:val="nil"/>
              <w:bottom w:val="single" w:color="auto" w:sz="4" w:space="0"/>
              <w:right w:val="single" w:color="auto" w:sz="4" w:space="0"/>
            </w:tcBorders>
            <w:noWrap w:val="0"/>
            <w:vAlign w:val="center"/>
          </w:tcPr>
          <w:p w14:paraId="1285566D">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27</w:t>
            </w:r>
          </w:p>
        </w:tc>
        <w:tc>
          <w:tcPr>
            <w:tcW w:w="1638" w:type="dxa"/>
            <w:tcBorders>
              <w:top w:val="nil"/>
              <w:left w:val="nil"/>
              <w:bottom w:val="single" w:color="auto" w:sz="4" w:space="0"/>
              <w:right w:val="single" w:color="auto" w:sz="4" w:space="0"/>
            </w:tcBorders>
            <w:noWrap w:val="0"/>
            <w:vAlign w:val="center"/>
          </w:tcPr>
          <w:p w14:paraId="5F5D537B">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0EFC12FB">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120</w:t>
            </w:r>
          </w:p>
        </w:tc>
      </w:tr>
      <w:tr w14:paraId="09E0B206">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13B42D5B">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8</w:t>
            </w:r>
          </w:p>
        </w:tc>
        <w:tc>
          <w:tcPr>
            <w:tcW w:w="1650" w:type="dxa"/>
            <w:tcBorders>
              <w:top w:val="nil"/>
              <w:left w:val="single" w:color="auto" w:sz="4" w:space="0"/>
              <w:bottom w:val="single" w:color="auto" w:sz="4" w:space="0"/>
              <w:right w:val="single" w:color="auto" w:sz="4" w:space="0"/>
            </w:tcBorders>
            <w:noWrap w:val="0"/>
            <w:vAlign w:val="center"/>
          </w:tcPr>
          <w:p w14:paraId="75FC4451">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14:paraId="7B60D7C2">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16A</w:t>
            </w:r>
          </w:p>
        </w:tc>
        <w:tc>
          <w:tcPr>
            <w:tcW w:w="1393" w:type="dxa"/>
            <w:tcBorders>
              <w:top w:val="nil"/>
              <w:left w:val="nil"/>
              <w:bottom w:val="single" w:color="auto" w:sz="4" w:space="0"/>
              <w:right w:val="single" w:color="auto" w:sz="4" w:space="0"/>
            </w:tcBorders>
            <w:noWrap w:val="0"/>
            <w:vAlign w:val="center"/>
          </w:tcPr>
          <w:p w14:paraId="72F8334B">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28</w:t>
            </w:r>
          </w:p>
        </w:tc>
        <w:tc>
          <w:tcPr>
            <w:tcW w:w="1638" w:type="dxa"/>
            <w:tcBorders>
              <w:top w:val="nil"/>
              <w:left w:val="nil"/>
              <w:bottom w:val="single" w:color="auto" w:sz="4" w:space="0"/>
              <w:right w:val="single" w:color="auto" w:sz="4" w:space="0"/>
            </w:tcBorders>
            <w:noWrap w:val="0"/>
            <w:vAlign w:val="center"/>
          </w:tcPr>
          <w:p w14:paraId="7BAF8065">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20669984">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150</w:t>
            </w:r>
          </w:p>
        </w:tc>
      </w:tr>
      <w:tr w14:paraId="3617360D">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2602E773">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9</w:t>
            </w:r>
          </w:p>
        </w:tc>
        <w:tc>
          <w:tcPr>
            <w:tcW w:w="1650" w:type="dxa"/>
            <w:tcBorders>
              <w:top w:val="nil"/>
              <w:left w:val="single" w:color="auto" w:sz="4" w:space="0"/>
              <w:bottom w:val="single" w:color="auto" w:sz="4" w:space="0"/>
              <w:right w:val="single" w:color="auto" w:sz="4" w:space="0"/>
            </w:tcBorders>
            <w:noWrap w:val="0"/>
            <w:vAlign w:val="center"/>
          </w:tcPr>
          <w:p w14:paraId="78DA7C6F">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14:paraId="0DA7CC95">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0.5A</w:t>
            </w:r>
          </w:p>
        </w:tc>
        <w:tc>
          <w:tcPr>
            <w:tcW w:w="1393" w:type="dxa"/>
            <w:tcBorders>
              <w:top w:val="nil"/>
              <w:left w:val="nil"/>
              <w:bottom w:val="single" w:color="auto" w:sz="4" w:space="0"/>
              <w:right w:val="single" w:color="auto" w:sz="4" w:space="0"/>
            </w:tcBorders>
            <w:noWrap w:val="0"/>
            <w:vAlign w:val="center"/>
          </w:tcPr>
          <w:p w14:paraId="17176B6A">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29</w:t>
            </w:r>
          </w:p>
        </w:tc>
        <w:tc>
          <w:tcPr>
            <w:tcW w:w="1638" w:type="dxa"/>
            <w:tcBorders>
              <w:top w:val="nil"/>
              <w:left w:val="nil"/>
              <w:bottom w:val="single" w:color="auto" w:sz="4" w:space="0"/>
              <w:right w:val="single" w:color="auto" w:sz="4" w:space="0"/>
            </w:tcBorders>
            <w:noWrap w:val="0"/>
            <w:vAlign w:val="center"/>
          </w:tcPr>
          <w:p w14:paraId="24E092EA">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0F5B47C1">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185</w:t>
            </w:r>
          </w:p>
        </w:tc>
      </w:tr>
      <w:tr w14:paraId="628546DF">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128248E8">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10</w:t>
            </w:r>
          </w:p>
        </w:tc>
        <w:tc>
          <w:tcPr>
            <w:tcW w:w="1650" w:type="dxa"/>
            <w:tcBorders>
              <w:top w:val="nil"/>
              <w:left w:val="single" w:color="auto" w:sz="4" w:space="0"/>
              <w:bottom w:val="single" w:color="auto" w:sz="4" w:space="0"/>
              <w:right w:val="single" w:color="auto" w:sz="4" w:space="0"/>
            </w:tcBorders>
            <w:noWrap w:val="0"/>
            <w:vAlign w:val="center"/>
          </w:tcPr>
          <w:p w14:paraId="7CF6995F">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热继电器</w:t>
            </w:r>
          </w:p>
        </w:tc>
        <w:tc>
          <w:tcPr>
            <w:tcW w:w="2269" w:type="dxa"/>
            <w:tcBorders>
              <w:top w:val="nil"/>
              <w:left w:val="nil"/>
              <w:bottom w:val="single" w:color="auto" w:sz="4" w:space="0"/>
              <w:right w:val="single" w:color="auto" w:sz="4" w:space="0"/>
            </w:tcBorders>
            <w:noWrap w:val="0"/>
            <w:vAlign w:val="center"/>
          </w:tcPr>
          <w:p w14:paraId="6D75FD93">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JR36-63</w:t>
            </w:r>
          </w:p>
        </w:tc>
        <w:tc>
          <w:tcPr>
            <w:tcW w:w="1393" w:type="dxa"/>
            <w:tcBorders>
              <w:top w:val="nil"/>
              <w:left w:val="nil"/>
              <w:bottom w:val="single" w:color="auto" w:sz="4" w:space="0"/>
              <w:right w:val="single" w:color="auto" w:sz="4" w:space="0"/>
            </w:tcBorders>
            <w:noWrap w:val="0"/>
            <w:vAlign w:val="center"/>
          </w:tcPr>
          <w:p w14:paraId="4D6E97D7">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30</w:t>
            </w:r>
          </w:p>
        </w:tc>
        <w:tc>
          <w:tcPr>
            <w:tcW w:w="1638" w:type="dxa"/>
            <w:tcBorders>
              <w:top w:val="nil"/>
              <w:left w:val="nil"/>
              <w:bottom w:val="single" w:color="auto" w:sz="4" w:space="0"/>
              <w:right w:val="single" w:color="auto" w:sz="4" w:space="0"/>
            </w:tcBorders>
            <w:noWrap w:val="0"/>
            <w:vAlign w:val="center"/>
          </w:tcPr>
          <w:p w14:paraId="21DADBBE">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5039E21A">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240</w:t>
            </w:r>
          </w:p>
        </w:tc>
      </w:tr>
      <w:tr w14:paraId="5A164230">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1381129F">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11</w:t>
            </w:r>
          </w:p>
        </w:tc>
        <w:tc>
          <w:tcPr>
            <w:tcW w:w="1650" w:type="dxa"/>
            <w:tcBorders>
              <w:top w:val="nil"/>
              <w:left w:val="single" w:color="auto" w:sz="4" w:space="0"/>
              <w:bottom w:val="single" w:color="auto" w:sz="4" w:space="0"/>
              <w:right w:val="single" w:color="auto" w:sz="4" w:space="0"/>
            </w:tcBorders>
            <w:noWrap w:val="0"/>
            <w:vAlign w:val="center"/>
          </w:tcPr>
          <w:p w14:paraId="5E0DF66B">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热继电器</w:t>
            </w:r>
          </w:p>
        </w:tc>
        <w:tc>
          <w:tcPr>
            <w:tcW w:w="2269" w:type="dxa"/>
            <w:tcBorders>
              <w:top w:val="nil"/>
              <w:left w:val="nil"/>
              <w:bottom w:val="single" w:color="auto" w:sz="4" w:space="0"/>
              <w:right w:val="single" w:color="auto" w:sz="4" w:space="0"/>
            </w:tcBorders>
            <w:noWrap w:val="0"/>
            <w:vAlign w:val="center"/>
          </w:tcPr>
          <w:p w14:paraId="46958D09">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JR36-45</w:t>
            </w:r>
          </w:p>
        </w:tc>
        <w:tc>
          <w:tcPr>
            <w:tcW w:w="1393" w:type="dxa"/>
            <w:tcBorders>
              <w:top w:val="nil"/>
              <w:left w:val="nil"/>
              <w:bottom w:val="single" w:color="auto" w:sz="4" w:space="0"/>
              <w:right w:val="single" w:color="auto" w:sz="4" w:space="0"/>
            </w:tcBorders>
            <w:noWrap w:val="0"/>
            <w:vAlign w:val="center"/>
          </w:tcPr>
          <w:p w14:paraId="443D0B6D">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31</w:t>
            </w:r>
          </w:p>
        </w:tc>
        <w:tc>
          <w:tcPr>
            <w:tcW w:w="1638" w:type="dxa"/>
            <w:tcBorders>
              <w:top w:val="nil"/>
              <w:left w:val="nil"/>
              <w:bottom w:val="single" w:color="auto" w:sz="4" w:space="0"/>
              <w:right w:val="single" w:color="auto" w:sz="4" w:space="0"/>
            </w:tcBorders>
            <w:noWrap w:val="0"/>
            <w:vAlign w:val="center"/>
          </w:tcPr>
          <w:p w14:paraId="43A5BFDA">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2737C64F">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300</w:t>
            </w:r>
          </w:p>
        </w:tc>
      </w:tr>
      <w:tr w14:paraId="1B5DCA87">
        <w:tblPrEx>
          <w:tblCellMar>
            <w:top w:w="0" w:type="dxa"/>
            <w:left w:w="108" w:type="dxa"/>
            <w:bottom w:w="0" w:type="dxa"/>
            <w:right w:w="108" w:type="dxa"/>
          </w:tblCellMar>
        </w:tblPrEx>
        <w:trPr>
          <w:trHeight w:val="501" w:hRule="atLeast"/>
        </w:trPr>
        <w:tc>
          <w:tcPr>
            <w:tcW w:w="1000" w:type="dxa"/>
            <w:tcBorders>
              <w:top w:val="nil"/>
              <w:left w:val="single" w:color="auto" w:sz="4" w:space="0"/>
              <w:bottom w:val="single" w:color="auto" w:sz="4" w:space="0"/>
              <w:right w:val="single" w:color="auto" w:sz="4" w:space="0"/>
            </w:tcBorders>
            <w:noWrap w:val="0"/>
            <w:vAlign w:val="center"/>
          </w:tcPr>
          <w:p w14:paraId="6A70F576">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w:t>
            </w:r>
          </w:p>
        </w:tc>
        <w:tc>
          <w:tcPr>
            <w:tcW w:w="1650" w:type="dxa"/>
            <w:tcBorders>
              <w:top w:val="nil"/>
              <w:left w:val="single" w:color="auto" w:sz="4" w:space="0"/>
              <w:bottom w:val="single" w:color="auto" w:sz="4" w:space="0"/>
              <w:right w:val="single" w:color="auto" w:sz="4" w:space="0"/>
            </w:tcBorders>
            <w:noWrap w:val="0"/>
            <w:vAlign w:val="center"/>
          </w:tcPr>
          <w:p w14:paraId="62467DDA">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电容接触器</w:t>
            </w:r>
          </w:p>
        </w:tc>
        <w:tc>
          <w:tcPr>
            <w:tcW w:w="2269" w:type="dxa"/>
            <w:tcBorders>
              <w:top w:val="nil"/>
              <w:left w:val="nil"/>
              <w:bottom w:val="single" w:color="auto" w:sz="4" w:space="0"/>
              <w:right w:val="single" w:color="auto" w:sz="4" w:space="0"/>
            </w:tcBorders>
            <w:noWrap w:val="0"/>
            <w:vAlign w:val="center"/>
          </w:tcPr>
          <w:p w14:paraId="44A8DCA6">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CJ19-63(380V)</w:t>
            </w:r>
          </w:p>
        </w:tc>
        <w:tc>
          <w:tcPr>
            <w:tcW w:w="1393" w:type="dxa"/>
            <w:tcBorders>
              <w:top w:val="nil"/>
              <w:left w:val="nil"/>
              <w:bottom w:val="single" w:color="auto" w:sz="4" w:space="0"/>
              <w:right w:val="single" w:color="auto" w:sz="4" w:space="0"/>
            </w:tcBorders>
            <w:noWrap w:val="0"/>
            <w:vAlign w:val="center"/>
          </w:tcPr>
          <w:p w14:paraId="5C13D5A0">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32</w:t>
            </w:r>
          </w:p>
        </w:tc>
        <w:tc>
          <w:tcPr>
            <w:tcW w:w="1638" w:type="dxa"/>
            <w:tcBorders>
              <w:top w:val="nil"/>
              <w:left w:val="nil"/>
              <w:bottom w:val="single" w:color="auto" w:sz="4" w:space="0"/>
              <w:right w:val="single" w:color="auto" w:sz="4" w:space="0"/>
            </w:tcBorders>
            <w:noWrap w:val="0"/>
            <w:vAlign w:val="center"/>
          </w:tcPr>
          <w:p w14:paraId="0F774A4D">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14:paraId="45D3E917">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400</w:t>
            </w:r>
          </w:p>
        </w:tc>
      </w:tr>
      <w:tr w14:paraId="5A38C9B2">
        <w:tblPrEx>
          <w:tblCellMar>
            <w:top w:w="0" w:type="dxa"/>
            <w:left w:w="108" w:type="dxa"/>
            <w:bottom w:w="0" w:type="dxa"/>
            <w:right w:w="108" w:type="dxa"/>
          </w:tblCellMar>
        </w:tblPrEx>
        <w:trPr>
          <w:trHeight w:val="563" w:hRule="atLeast"/>
        </w:trPr>
        <w:tc>
          <w:tcPr>
            <w:tcW w:w="1000" w:type="dxa"/>
            <w:tcBorders>
              <w:top w:val="nil"/>
              <w:left w:val="single" w:color="auto" w:sz="4" w:space="0"/>
              <w:bottom w:val="single" w:color="auto" w:sz="4" w:space="0"/>
              <w:right w:val="single" w:color="auto" w:sz="4" w:space="0"/>
            </w:tcBorders>
            <w:noWrap w:val="0"/>
            <w:vAlign w:val="center"/>
          </w:tcPr>
          <w:p w14:paraId="1F06BAAD">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13</w:t>
            </w:r>
          </w:p>
        </w:tc>
        <w:tc>
          <w:tcPr>
            <w:tcW w:w="1650" w:type="dxa"/>
            <w:tcBorders>
              <w:top w:val="nil"/>
              <w:left w:val="single" w:color="auto" w:sz="4" w:space="0"/>
              <w:bottom w:val="single" w:color="auto" w:sz="4" w:space="0"/>
              <w:right w:val="single" w:color="auto" w:sz="4" w:space="0"/>
            </w:tcBorders>
            <w:noWrap w:val="0"/>
            <w:vAlign w:val="center"/>
          </w:tcPr>
          <w:p w14:paraId="51F458AF">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电容接触器</w:t>
            </w:r>
          </w:p>
        </w:tc>
        <w:tc>
          <w:tcPr>
            <w:tcW w:w="2269" w:type="dxa"/>
            <w:tcBorders>
              <w:top w:val="nil"/>
              <w:left w:val="nil"/>
              <w:bottom w:val="single" w:color="auto" w:sz="4" w:space="0"/>
              <w:right w:val="single" w:color="auto" w:sz="4" w:space="0"/>
            </w:tcBorders>
            <w:noWrap w:val="0"/>
            <w:vAlign w:val="center"/>
          </w:tcPr>
          <w:p w14:paraId="1109A4F1">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CJ19-95(220V)</w:t>
            </w:r>
          </w:p>
        </w:tc>
        <w:tc>
          <w:tcPr>
            <w:tcW w:w="1393" w:type="dxa"/>
            <w:tcBorders>
              <w:top w:val="nil"/>
              <w:left w:val="nil"/>
              <w:bottom w:val="single" w:color="auto" w:sz="4" w:space="0"/>
              <w:right w:val="single" w:color="auto" w:sz="4" w:space="0"/>
            </w:tcBorders>
            <w:noWrap w:val="0"/>
            <w:vAlign w:val="center"/>
          </w:tcPr>
          <w:p w14:paraId="63B35005">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33</w:t>
            </w:r>
          </w:p>
        </w:tc>
        <w:tc>
          <w:tcPr>
            <w:tcW w:w="1638" w:type="dxa"/>
            <w:tcBorders>
              <w:top w:val="nil"/>
              <w:left w:val="nil"/>
              <w:bottom w:val="single" w:color="auto" w:sz="4" w:space="0"/>
              <w:right w:val="single" w:color="auto" w:sz="4" w:space="0"/>
            </w:tcBorders>
            <w:noWrap w:val="0"/>
            <w:vAlign w:val="center"/>
          </w:tcPr>
          <w:p w14:paraId="68B896E1">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柜内照明灯</w:t>
            </w:r>
          </w:p>
        </w:tc>
        <w:tc>
          <w:tcPr>
            <w:tcW w:w="2000" w:type="dxa"/>
            <w:tcBorders>
              <w:top w:val="nil"/>
              <w:left w:val="nil"/>
              <w:bottom w:val="single" w:color="auto" w:sz="4" w:space="0"/>
              <w:right w:val="single" w:color="auto" w:sz="4" w:space="0"/>
            </w:tcBorders>
            <w:noWrap w:val="0"/>
            <w:vAlign w:val="center"/>
          </w:tcPr>
          <w:p w14:paraId="5FA9A089">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p>
        </w:tc>
      </w:tr>
      <w:tr w14:paraId="681F5AAB">
        <w:tblPrEx>
          <w:tblCellMar>
            <w:top w:w="0" w:type="dxa"/>
            <w:left w:w="108" w:type="dxa"/>
            <w:bottom w:w="0" w:type="dxa"/>
            <w:right w:w="108" w:type="dxa"/>
          </w:tblCellMar>
        </w:tblPrEx>
        <w:trPr>
          <w:trHeight w:val="633" w:hRule="atLeast"/>
        </w:trPr>
        <w:tc>
          <w:tcPr>
            <w:tcW w:w="1000" w:type="dxa"/>
            <w:tcBorders>
              <w:top w:val="nil"/>
              <w:left w:val="single" w:color="auto" w:sz="4" w:space="0"/>
              <w:bottom w:val="single" w:color="auto" w:sz="4" w:space="0"/>
              <w:right w:val="single" w:color="auto" w:sz="4" w:space="0"/>
            </w:tcBorders>
            <w:noWrap w:val="0"/>
            <w:vAlign w:val="center"/>
          </w:tcPr>
          <w:p w14:paraId="6AB811BB">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14</w:t>
            </w:r>
          </w:p>
        </w:tc>
        <w:tc>
          <w:tcPr>
            <w:tcW w:w="1650" w:type="dxa"/>
            <w:tcBorders>
              <w:top w:val="nil"/>
              <w:left w:val="single" w:color="auto" w:sz="4" w:space="0"/>
              <w:bottom w:val="single" w:color="auto" w:sz="4" w:space="0"/>
              <w:right w:val="single" w:color="auto" w:sz="4" w:space="0"/>
            </w:tcBorders>
            <w:noWrap w:val="0"/>
            <w:vAlign w:val="center"/>
          </w:tcPr>
          <w:p w14:paraId="08A8E9CF">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电容接触器</w:t>
            </w:r>
          </w:p>
        </w:tc>
        <w:tc>
          <w:tcPr>
            <w:tcW w:w="2269" w:type="dxa"/>
            <w:tcBorders>
              <w:top w:val="nil"/>
              <w:left w:val="nil"/>
              <w:bottom w:val="single" w:color="auto" w:sz="4" w:space="0"/>
              <w:right w:val="single" w:color="auto" w:sz="4" w:space="0"/>
            </w:tcBorders>
            <w:noWrap w:val="0"/>
            <w:vAlign w:val="center"/>
          </w:tcPr>
          <w:p w14:paraId="289BBF54">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CJ19-63 21(220V)</w:t>
            </w:r>
          </w:p>
        </w:tc>
        <w:tc>
          <w:tcPr>
            <w:tcW w:w="1393" w:type="dxa"/>
            <w:tcBorders>
              <w:top w:val="nil"/>
              <w:left w:val="nil"/>
              <w:bottom w:val="single" w:color="auto" w:sz="4" w:space="0"/>
              <w:right w:val="single" w:color="auto" w:sz="4" w:space="0"/>
            </w:tcBorders>
            <w:noWrap w:val="0"/>
            <w:vAlign w:val="center"/>
          </w:tcPr>
          <w:p w14:paraId="37C1DC6F">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34</w:t>
            </w:r>
          </w:p>
        </w:tc>
        <w:tc>
          <w:tcPr>
            <w:tcW w:w="1638" w:type="dxa"/>
            <w:tcBorders>
              <w:top w:val="nil"/>
              <w:left w:val="nil"/>
              <w:bottom w:val="single" w:color="auto" w:sz="4" w:space="0"/>
              <w:right w:val="single" w:color="auto" w:sz="4" w:space="0"/>
            </w:tcBorders>
            <w:noWrap w:val="0"/>
            <w:vAlign w:val="center"/>
          </w:tcPr>
          <w:p w14:paraId="7DFE7D7C">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高低压柜指示灯（红黄绿）</w:t>
            </w:r>
          </w:p>
        </w:tc>
        <w:tc>
          <w:tcPr>
            <w:tcW w:w="2000" w:type="dxa"/>
            <w:tcBorders>
              <w:top w:val="nil"/>
              <w:left w:val="nil"/>
              <w:bottom w:val="single" w:color="auto" w:sz="4" w:space="0"/>
              <w:right w:val="single" w:color="auto" w:sz="4" w:space="0"/>
            </w:tcBorders>
            <w:noWrap w:val="0"/>
            <w:vAlign w:val="center"/>
          </w:tcPr>
          <w:p w14:paraId="4E6B8CF4">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p>
        </w:tc>
      </w:tr>
      <w:tr w14:paraId="107F1742">
        <w:tblPrEx>
          <w:tblCellMar>
            <w:top w:w="0" w:type="dxa"/>
            <w:left w:w="108" w:type="dxa"/>
            <w:bottom w:w="0" w:type="dxa"/>
            <w:right w:w="108" w:type="dxa"/>
          </w:tblCellMar>
        </w:tblPrEx>
        <w:trPr>
          <w:trHeight w:val="227" w:hRule="atLeast"/>
        </w:trPr>
        <w:tc>
          <w:tcPr>
            <w:tcW w:w="1000" w:type="dxa"/>
            <w:tcBorders>
              <w:top w:val="nil"/>
              <w:left w:val="single" w:color="auto" w:sz="4" w:space="0"/>
              <w:bottom w:val="single" w:color="auto" w:sz="4" w:space="0"/>
              <w:right w:val="single" w:color="auto" w:sz="4" w:space="0"/>
            </w:tcBorders>
            <w:noWrap w:val="0"/>
            <w:vAlign w:val="center"/>
          </w:tcPr>
          <w:p w14:paraId="7C65EE2C">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15</w:t>
            </w:r>
          </w:p>
        </w:tc>
        <w:tc>
          <w:tcPr>
            <w:tcW w:w="1650" w:type="dxa"/>
            <w:tcBorders>
              <w:top w:val="nil"/>
              <w:left w:val="single" w:color="auto" w:sz="4" w:space="0"/>
              <w:bottom w:val="single" w:color="auto" w:sz="4" w:space="0"/>
              <w:right w:val="single" w:color="auto" w:sz="4" w:space="0"/>
            </w:tcBorders>
            <w:noWrap w:val="0"/>
            <w:vAlign w:val="center"/>
          </w:tcPr>
          <w:p w14:paraId="6A9ED920">
            <w:pPr>
              <w:adjustRightInd w:val="0"/>
              <w:spacing w:line="32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电容</w:t>
            </w:r>
          </w:p>
        </w:tc>
        <w:tc>
          <w:tcPr>
            <w:tcW w:w="2269" w:type="dxa"/>
            <w:tcBorders>
              <w:top w:val="nil"/>
              <w:left w:val="nil"/>
              <w:bottom w:val="single" w:color="auto" w:sz="4" w:space="0"/>
              <w:right w:val="single" w:color="auto" w:sz="4" w:space="0"/>
            </w:tcBorders>
            <w:noWrap w:val="0"/>
            <w:vAlign w:val="center"/>
          </w:tcPr>
          <w:p w14:paraId="1336C5D1">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10Kvar</w:t>
            </w:r>
          </w:p>
        </w:tc>
        <w:tc>
          <w:tcPr>
            <w:tcW w:w="1393" w:type="dxa"/>
            <w:tcBorders>
              <w:top w:val="nil"/>
              <w:left w:val="nil"/>
              <w:bottom w:val="single" w:color="auto" w:sz="4" w:space="0"/>
              <w:right w:val="single" w:color="auto" w:sz="4" w:space="0"/>
            </w:tcBorders>
            <w:noWrap w:val="0"/>
            <w:vAlign w:val="center"/>
          </w:tcPr>
          <w:p w14:paraId="0191432D">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35</w:t>
            </w:r>
          </w:p>
        </w:tc>
        <w:tc>
          <w:tcPr>
            <w:tcW w:w="1638" w:type="dxa"/>
            <w:tcBorders>
              <w:top w:val="nil"/>
              <w:left w:val="nil"/>
              <w:bottom w:val="single" w:color="auto" w:sz="4" w:space="0"/>
              <w:right w:val="single" w:color="auto" w:sz="4" w:space="0"/>
            </w:tcBorders>
            <w:noWrap w:val="0"/>
            <w:vAlign w:val="center"/>
          </w:tcPr>
          <w:p w14:paraId="0F854EFC">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高低压柜按钮（红黄绿）</w:t>
            </w:r>
          </w:p>
        </w:tc>
        <w:tc>
          <w:tcPr>
            <w:tcW w:w="2000" w:type="dxa"/>
            <w:tcBorders>
              <w:top w:val="nil"/>
              <w:left w:val="nil"/>
              <w:bottom w:val="single" w:color="auto" w:sz="4" w:space="0"/>
              <w:right w:val="single" w:color="auto" w:sz="4" w:space="0"/>
            </w:tcBorders>
            <w:noWrap w:val="0"/>
            <w:vAlign w:val="center"/>
          </w:tcPr>
          <w:p w14:paraId="1253B97E">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p>
        </w:tc>
      </w:tr>
      <w:tr w14:paraId="21C933D1">
        <w:tblPrEx>
          <w:tblCellMar>
            <w:top w:w="0" w:type="dxa"/>
            <w:left w:w="108" w:type="dxa"/>
            <w:bottom w:w="0" w:type="dxa"/>
            <w:right w:w="108" w:type="dxa"/>
          </w:tblCellMar>
        </w:tblPrEx>
        <w:trPr>
          <w:trHeight w:val="227" w:hRule="atLeast"/>
        </w:trPr>
        <w:tc>
          <w:tcPr>
            <w:tcW w:w="1000" w:type="dxa"/>
            <w:tcBorders>
              <w:top w:val="nil"/>
              <w:left w:val="single" w:color="auto" w:sz="4" w:space="0"/>
              <w:bottom w:val="single" w:color="auto" w:sz="4" w:space="0"/>
              <w:right w:val="single" w:color="auto" w:sz="4" w:space="0"/>
            </w:tcBorders>
            <w:noWrap w:val="0"/>
            <w:vAlign w:val="center"/>
          </w:tcPr>
          <w:p w14:paraId="3A2E98F1">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16</w:t>
            </w:r>
          </w:p>
        </w:tc>
        <w:tc>
          <w:tcPr>
            <w:tcW w:w="1650" w:type="dxa"/>
            <w:tcBorders>
              <w:top w:val="nil"/>
              <w:left w:val="single" w:color="auto" w:sz="4" w:space="0"/>
              <w:bottom w:val="single" w:color="auto" w:sz="4" w:space="0"/>
              <w:right w:val="single" w:color="auto" w:sz="4" w:space="0"/>
            </w:tcBorders>
            <w:noWrap w:val="0"/>
            <w:vAlign w:val="center"/>
          </w:tcPr>
          <w:p w14:paraId="0B453321">
            <w:pPr>
              <w:adjustRightInd w:val="0"/>
              <w:spacing w:line="32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14:paraId="79183BFF">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20A</w:t>
            </w:r>
          </w:p>
        </w:tc>
        <w:tc>
          <w:tcPr>
            <w:tcW w:w="1393" w:type="dxa"/>
            <w:tcBorders>
              <w:top w:val="nil"/>
              <w:left w:val="nil"/>
              <w:bottom w:val="single" w:color="auto" w:sz="4" w:space="0"/>
              <w:right w:val="single" w:color="auto" w:sz="4" w:space="0"/>
            </w:tcBorders>
            <w:noWrap w:val="0"/>
            <w:vAlign w:val="center"/>
          </w:tcPr>
          <w:p w14:paraId="214E611C">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36</w:t>
            </w:r>
          </w:p>
        </w:tc>
        <w:tc>
          <w:tcPr>
            <w:tcW w:w="1638" w:type="dxa"/>
            <w:tcBorders>
              <w:top w:val="nil"/>
              <w:left w:val="nil"/>
              <w:bottom w:val="single" w:color="auto" w:sz="4" w:space="0"/>
              <w:right w:val="single" w:color="auto" w:sz="4" w:space="0"/>
            </w:tcBorders>
            <w:noWrap w:val="0"/>
            <w:vAlign w:val="center"/>
          </w:tcPr>
          <w:p w14:paraId="439EFB95">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高低压柜操作把手</w:t>
            </w:r>
          </w:p>
        </w:tc>
        <w:tc>
          <w:tcPr>
            <w:tcW w:w="2000" w:type="dxa"/>
            <w:tcBorders>
              <w:top w:val="nil"/>
              <w:left w:val="nil"/>
              <w:bottom w:val="single" w:color="auto" w:sz="4" w:space="0"/>
              <w:right w:val="single" w:color="auto" w:sz="4" w:space="0"/>
            </w:tcBorders>
            <w:noWrap w:val="0"/>
            <w:vAlign w:val="center"/>
          </w:tcPr>
          <w:p w14:paraId="733C817E">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p>
        </w:tc>
      </w:tr>
      <w:tr w14:paraId="6D6EACFC">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5E454B38">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17</w:t>
            </w:r>
          </w:p>
        </w:tc>
        <w:tc>
          <w:tcPr>
            <w:tcW w:w="1650" w:type="dxa"/>
            <w:tcBorders>
              <w:top w:val="nil"/>
              <w:left w:val="single" w:color="auto" w:sz="4" w:space="0"/>
              <w:bottom w:val="single" w:color="auto" w:sz="4" w:space="0"/>
              <w:right w:val="single" w:color="auto" w:sz="4" w:space="0"/>
            </w:tcBorders>
            <w:noWrap w:val="0"/>
            <w:vAlign w:val="center"/>
          </w:tcPr>
          <w:p w14:paraId="366F3313">
            <w:pPr>
              <w:adjustRightInd w:val="0"/>
              <w:spacing w:line="46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14:paraId="2B05EADA">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25A</w:t>
            </w:r>
          </w:p>
        </w:tc>
        <w:tc>
          <w:tcPr>
            <w:tcW w:w="1393" w:type="dxa"/>
            <w:tcBorders>
              <w:top w:val="nil"/>
              <w:left w:val="nil"/>
              <w:bottom w:val="single" w:color="auto" w:sz="4" w:space="0"/>
              <w:right w:val="single" w:color="auto" w:sz="4" w:space="0"/>
            </w:tcBorders>
            <w:noWrap w:val="0"/>
            <w:vAlign w:val="center"/>
          </w:tcPr>
          <w:p w14:paraId="7D94A774">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37</w:t>
            </w:r>
          </w:p>
        </w:tc>
        <w:tc>
          <w:tcPr>
            <w:tcW w:w="1638" w:type="dxa"/>
            <w:tcBorders>
              <w:top w:val="nil"/>
              <w:left w:val="nil"/>
              <w:bottom w:val="single" w:color="auto" w:sz="4" w:space="0"/>
              <w:right w:val="single" w:color="auto" w:sz="4" w:space="0"/>
            </w:tcBorders>
            <w:noWrap w:val="0"/>
            <w:vAlign w:val="center"/>
          </w:tcPr>
          <w:p w14:paraId="6A616E42">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000" w:type="dxa"/>
            <w:tcBorders>
              <w:top w:val="nil"/>
              <w:left w:val="nil"/>
              <w:bottom w:val="single" w:color="auto" w:sz="4" w:space="0"/>
              <w:right w:val="single" w:color="auto" w:sz="4" w:space="0"/>
            </w:tcBorders>
            <w:noWrap w:val="0"/>
            <w:vAlign w:val="center"/>
          </w:tcPr>
          <w:p w14:paraId="0095B692">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60A</w:t>
            </w:r>
          </w:p>
        </w:tc>
      </w:tr>
      <w:tr w14:paraId="640C3E64">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30C619B1">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18</w:t>
            </w:r>
          </w:p>
        </w:tc>
        <w:tc>
          <w:tcPr>
            <w:tcW w:w="1650" w:type="dxa"/>
            <w:tcBorders>
              <w:top w:val="nil"/>
              <w:left w:val="single" w:color="auto" w:sz="4" w:space="0"/>
              <w:bottom w:val="single" w:color="auto" w:sz="4" w:space="0"/>
              <w:right w:val="single" w:color="auto" w:sz="4" w:space="0"/>
            </w:tcBorders>
            <w:noWrap w:val="0"/>
            <w:vAlign w:val="center"/>
          </w:tcPr>
          <w:p w14:paraId="01FF7125">
            <w:pPr>
              <w:adjustRightInd w:val="0"/>
              <w:spacing w:line="46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14:paraId="378FA46A">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31.5A</w:t>
            </w:r>
          </w:p>
        </w:tc>
        <w:tc>
          <w:tcPr>
            <w:tcW w:w="1393" w:type="dxa"/>
            <w:tcBorders>
              <w:top w:val="nil"/>
              <w:left w:val="nil"/>
              <w:bottom w:val="single" w:color="auto" w:sz="4" w:space="0"/>
              <w:right w:val="single" w:color="auto" w:sz="4" w:space="0"/>
            </w:tcBorders>
            <w:noWrap w:val="0"/>
            <w:vAlign w:val="center"/>
          </w:tcPr>
          <w:p w14:paraId="303459E2">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38</w:t>
            </w:r>
          </w:p>
        </w:tc>
        <w:tc>
          <w:tcPr>
            <w:tcW w:w="1638" w:type="dxa"/>
            <w:tcBorders>
              <w:top w:val="nil"/>
              <w:left w:val="nil"/>
              <w:bottom w:val="single" w:color="auto" w:sz="4" w:space="0"/>
              <w:right w:val="single" w:color="auto" w:sz="4" w:space="0"/>
            </w:tcBorders>
            <w:noWrap w:val="0"/>
            <w:vAlign w:val="center"/>
          </w:tcPr>
          <w:p w14:paraId="51BF7485">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000" w:type="dxa"/>
            <w:tcBorders>
              <w:top w:val="nil"/>
              <w:left w:val="nil"/>
              <w:bottom w:val="single" w:color="auto" w:sz="4" w:space="0"/>
              <w:right w:val="single" w:color="auto" w:sz="4" w:space="0"/>
            </w:tcBorders>
            <w:noWrap w:val="0"/>
            <w:vAlign w:val="center"/>
          </w:tcPr>
          <w:p w14:paraId="281F9735">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75A</w:t>
            </w:r>
          </w:p>
        </w:tc>
      </w:tr>
      <w:tr w14:paraId="63DD00B5">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3F8A038F">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19</w:t>
            </w:r>
          </w:p>
        </w:tc>
        <w:tc>
          <w:tcPr>
            <w:tcW w:w="1650" w:type="dxa"/>
            <w:tcBorders>
              <w:top w:val="nil"/>
              <w:left w:val="single" w:color="auto" w:sz="4" w:space="0"/>
              <w:bottom w:val="single" w:color="auto" w:sz="4" w:space="0"/>
              <w:right w:val="single" w:color="auto" w:sz="4" w:space="0"/>
            </w:tcBorders>
            <w:noWrap w:val="0"/>
            <w:vAlign w:val="center"/>
          </w:tcPr>
          <w:p w14:paraId="54FC0982">
            <w:pPr>
              <w:adjustRightInd w:val="0"/>
              <w:spacing w:line="46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14:paraId="78A95406">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40A</w:t>
            </w:r>
          </w:p>
        </w:tc>
        <w:tc>
          <w:tcPr>
            <w:tcW w:w="1393" w:type="dxa"/>
            <w:tcBorders>
              <w:top w:val="nil"/>
              <w:left w:val="nil"/>
              <w:bottom w:val="single" w:color="auto" w:sz="4" w:space="0"/>
              <w:right w:val="single" w:color="auto" w:sz="4" w:space="0"/>
            </w:tcBorders>
            <w:noWrap w:val="0"/>
            <w:vAlign w:val="center"/>
          </w:tcPr>
          <w:p w14:paraId="37A0C4DB">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39</w:t>
            </w:r>
          </w:p>
        </w:tc>
        <w:tc>
          <w:tcPr>
            <w:tcW w:w="1638" w:type="dxa"/>
            <w:tcBorders>
              <w:top w:val="nil"/>
              <w:left w:val="nil"/>
              <w:bottom w:val="single" w:color="auto" w:sz="4" w:space="0"/>
              <w:right w:val="single" w:color="auto" w:sz="4" w:space="0"/>
            </w:tcBorders>
            <w:noWrap w:val="0"/>
            <w:vAlign w:val="center"/>
          </w:tcPr>
          <w:p w14:paraId="50B90E23">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000" w:type="dxa"/>
            <w:tcBorders>
              <w:top w:val="nil"/>
              <w:left w:val="nil"/>
              <w:bottom w:val="single" w:color="auto" w:sz="4" w:space="0"/>
              <w:right w:val="single" w:color="auto" w:sz="4" w:space="0"/>
            </w:tcBorders>
            <w:noWrap w:val="0"/>
            <w:vAlign w:val="center"/>
          </w:tcPr>
          <w:p w14:paraId="611E0397">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80A</w:t>
            </w:r>
          </w:p>
        </w:tc>
      </w:tr>
      <w:tr w14:paraId="0F221D96">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14:paraId="585AB9DB">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20</w:t>
            </w:r>
          </w:p>
        </w:tc>
        <w:tc>
          <w:tcPr>
            <w:tcW w:w="1650" w:type="dxa"/>
            <w:tcBorders>
              <w:top w:val="nil"/>
              <w:left w:val="single" w:color="auto" w:sz="4" w:space="0"/>
              <w:bottom w:val="single" w:color="auto" w:sz="4" w:space="0"/>
              <w:right w:val="single" w:color="auto" w:sz="4" w:space="0"/>
            </w:tcBorders>
            <w:noWrap w:val="0"/>
            <w:vAlign w:val="center"/>
          </w:tcPr>
          <w:p w14:paraId="19B275F0">
            <w:pPr>
              <w:adjustRightInd w:val="0"/>
              <w:spacing w:line="46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14:paraId="2EC648C5">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50A</w:t>
            </w:r>
          </w:p>
        </w:tc>
        <w:tc>
          <w:tcPr>
            <w:tcW w:w="1393" w:type="dxa"/>
            <w:tcBorders>
              <w:top w:val="nil"/>
              <w:left w:val="nil"/>
              <w:bottom w:val="single" w:color="auto" w:sz="4" w:space="0"/>
              <w:right w:val="single" w:color="auto" w:sz="4" w:space="0"/>
            </w:tcBorders>
            <w:noWrap w:val="0"/>
            <w:vAlign w:val="center"/>
          </w:tcPr>
          <w:p w14:paraId="4FC2F428">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40</w:t>
            </w:r>
          </w:p>
        </w:tc>
        <w:tc>
          <w:tcPr>
            <w:tcW w:w="1638" w:type="dxa"/>
            <w:tcBorders>
              <w:top w:val="nil"/>
              <w:left w:val="nil"/>
              <w:bottom w:val="single" w:color="auto" w:sz="4" w:space="0"/>
              <w:right w:val="single" w:color="auto" w:sz="4" w:space="0"/>
            </w:tcBorders>
            <w:noWrap w:val="0"/>
            <w:vAlign w:val="center"/>
          </w:tcPr>
          <w:p w14:paraId="7CD77DAB">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000" w:type="dxa"/>
            <w:tcBorders>
              <w:top w:val="nil"/>
              <w:left w:val="nil"/>
              <w:bottom w:val="single" w:color="auto" w:sz="4" w:space="0"/>
              <w:right w:val="single" w:color="auto" w:sz="4" w:space="0"/>
            </w:tcBorders>
            <w:noWrap w:val="0"/>
            <w:vAlign w:val="center"/>
          </w:tcPr>
          <w:p w14:paraId="037A6E89">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100A</w:t>
            </w:r>
          </w:p>
        </w:tc>
      </w:tr>
    </w:tbl>
    <w:p w14:paraId="7092B6D1">
      <w:pPr>
        <w:pStyle w:val="11"/>
        <w:widowControl w:val="0"/>
        <w:rPr>
          <w:rFonts w:hint="default" w:ascii="Times New Roman" w:hAnsi="Times New Roman" w:eastAsia="方正仿宋_GBK" w:cs="Times New Roman"/>
          <w:color w:val="000000"/>
          <w:sz w:val="28"/>
          <w:szCs w:val="28"/>
          <w:highlight w:val="none"/>
        </w:rPr>
      </w:pPr>
    </w:p>
    <w:p w14:paraId="7AEA537A">
      <w:pPr>
        <w:pStyle w:val="11"/>
        <w:widowControl w:val="0"/>
        <w:rPr>
          <w:rFonts w:hint="default" w:ascii="Times New Roman" w:hAnsi="Times New Roman" w:eastAsia="方正仿宋_GBK" w:cs="Times New Roman"/>
          <w:color w:val="000000"/>
          <w:sz w:val="28"/>
          <w:szCs w:val="28"/>
          <w:highlight w:val="none"/>
        </w:rPr>
      </w:pPr>
    </w:p>
    <w:p w14:paraId="7C4D45E1">
      <w:pPr>
        <w:pStyle w:val="11"/>
        <w:widowControl w:val="0"/>
        <w:rPr>
          <w:rFonts w:hint="default" w:ascii="Times New Roman" w:hAnsi="Times New Roman" w:eastAsia="方正仿宋_GBK" w:cs="Times New Roman"/>
          <w:color w:val="000000"/>
          <w:sz w:val="28"/>
          <w:szCs w:val="28"/>
          <w:highlight w:val="none"/>
        </w:rPr>
      </w:pPr>
    </w:p>
    <w:p w14:paraId="117102D0">
      <w:pPr>
        <w:pStyle w:val="11"/>
        <w:widowControl w:val="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28"/>
          <w:szCs w:val="28"/>
          <w:highlight w:val="none"/>
        </w:rPr>
        <w:t>备注：1、此表包括且不限于以上价格在300元以内由</w:t>
      </w:r>
      <w:r>
        <w:rPr>
          <w:rFonts w:hint="eastAsia" w:ascii="Times New Roman" w:hAnsi="Times New Roman" w:eastAsia="方正仿宋_GBK" w:cs="Times New Roman"/>
          <w:color w:val="000000"/>
          <w:sz w:val="28"/>
          <w:szCs w:val="28"/>
          <w:highlight w:val="none"/>
          <w:lang w:eastAsia="zh-CN"/>
        </w:rPr>
        <w:t>参选人</w:t>
      </w:r>
      <w:r>
        <w:rPr>
          <w:rFonts w:hint="default" w:ascii="Times New Roman" w:hAnsi="Times New Roman" w:eastAsia="方正仿宋_GBK" w:cs="Times New Roman"/>
          <w:color w:val="000000"/>
          <w:sz w:val="28"/>
          <w:szCs w:val="28"/>
          <w:highlight w:val="none"/>
        </w:rPr>
        <w:t>免费提供的零配件；2、低于300元零配件如发生一次性单一配件更换金额达3000元以上时，费用由招标人与中选人另行协商。</w:t>
      </w:r>
    </w:p>
    <w:p w14:paraId="6CFA4C4E">
      <w:pPr>
        <w:spacing w:line="240" w:lineRule="auto"/>
        <w:jc w:val="left"/>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sz w:val="28"/>
          <w:szCs w:val="28"/>
          <w:highlight w:val="none"/>
        </w:rPr>
        <w:br w:type="page"/>
      </w:r>
    </w:p>
    <w:p w14:paraId="5DBBC760">
      <w:pPr>
        <w:spacing w:line="560" w:lineRule="exact"/>
        <w:jc w:val="both"/>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sz w:val="28"/>
          <w:szCs w:val="28"/>
          <w:highlight w:val="none"/>
        </w:rPr>
        <w:t>附件三：外委单位安全管理协议</w:t>
      </w:r>
    </w:p>
    <w:p w14:paraId="2B75ED4B">
      <w:pPr>
        <w:pStyle w:val="10"/>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000000"/>
          <w:kern w:val="2"/>
          <w:sz w:val="28"/>
          <w:szCs w:val="28"/>
          <w:highlight w:val="none"/>
        </w:rPr>
      </w:pPr>
    </w:p>
    <w:p w14:paraId="34BD6DC2">
      <w:pPr>
        <w:pStyle w:val="10"/>
        <w:kinsoku w:val="0"/>
        <w:autoSpaceDE w:val="0"/>
        <w:autoSpaceDN w:val="0"/>
        <w:adjustRightInd w:val="0"/>
        <w:snapToGrid w:val="0"/>
        <w:spacing w:line="600" w:lineRule="exact"/>
        <w:textAlignment w:val="baseline"/>
        <w:rPr>
          <w:rFonts w:hint="default" w:ascii="Times New Roman" w:hAnsi="Times New Roman" w:eastAsia="方正仿宋_GBK" w:cs="Times New Roman"/>
          <w:color w:val="000000"/>
          <w:kern w:val="2"/>
          <w:sz w:val="28"/>
          <w:szCs w:val="28"/>
          <w:highlight w:val="none"/>
          <w:lang w:eastAsia="zh-CN"/>
        </w:rPr>
      </w:pPr>
      <w:r>
        <w:rPr>
          <w:rFonts w:hint="default" w:ascii="Times New Roman" w:hAnsi="Times New Roman" w:eastAsia="方正仿宋_GBK" w:cs="Times New Roman"/>
          <w:color w:val="000000"/>
          <w:kern w:val="2"/>
          <w:sz w:val="28"/>
          <w:szCs w:val="28"/>
          <w:highlight w:val="none"/>
        </w:rPr>
        <w:t>甲方</w:t>
      </w:r>
      <w:r>
        <w:rPr>
          <w:rFonts w:hint="eastAsia" w:eastAsia="方正仿宋_GBK" w:cs="Times New Roman"/>
          <w:color w:val="000000"/>
          <w:kern w:val="2"/>
          <w:sz w:val="28"/>
          <w:szCs w:val="28"/>
          <w:highlight w:val="none"/>
          <w:lang w:eastAsia="zh-CN"/>
        </w:rPr>
        <w:t>：</w:t>
      </w:r>
      <w:r>
        <w:rPr>
          <w:rFonts w:hint="eastAsia" w:eastAsia="方正仿宋_GBK" w:cs="Times New Roman"/>
          <w:color w:val="000000"/>
          <w:kern w:val="2"/>
          <w:sz w:val="28"/>
          <w:szCs w:val="28"/>
          <w:highlight w:val="none"/>
          <w:u w:val="single"/>
          <w:lang w:eastAsia="zh-CN"/>
        </w:rPr>
        <w:t>重庆通邑卫士智慧生活服务有限公司</w:t>
      </w:r>
    </w:p>
    <w:p w14:paraId="7960B703">
      <w:pPr>
        <w:pStyle w:val="10"/>
        <w:kinsoku w:val="0"/>
        <w:autoSpaceDE w:val="0"/>
        <w:autoSpaceDN w:val="0"/>
        <w:adjustRightInd w:val="0"/>
        <w:snapToGrid w:val="0"/>
        <w:spacing w:line="600" w:lineRule="exact"/>
        <w:textAlignment w:val="baseline"/>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kern w:val="2"/>
          <w:sz w:val="28"/>
          <w:szCs w:val="28"/>
          <w:highlight w:val="none"/>
        </w:rPr>
        <w:t>乙方</w:t>
      </w:r>
      <w:r>
        <w:rPr>
          <w:rFonts w:hint="eastAsia" w:eastAsia="方正仿宋_GBK" w:cs="Times New Roman"/>
          <w:color w:val="000000"/>
          <w:kern w:val="2"/>
          <w:sz w:val="28"/>
          <w:szCs w:val="28"/>
          <w:highlight w:val="none"/>
          <w:lang w:eastAsia="zh-CN"/>
        </w:rPr>
        <w:t>：</w:t>
      </w:r>
      <w:r>
        <w:rPr>
          <w:rFonts w:hint="default" w:ascii="Times New Roman" w:hAnsi="Times New Roman" w:eastAsia="方正仿宋_GBK" w:cs="Times New Roman"/>
          <w:color w:val="000000"/>
          <w:kern w:val="2"/>
          <w:sz w:val="28"/>
          <w:szCs w:val="28"/>
          <w:highlight w:val="none"/>
          <w:u w:val="single"/>
        </w:rPr>
        <w:t xml:space="preserve">                    </w:t>
      </w:r>
      <w:r>
        <w:rPr>
          <w:rFonts w:hint="eastAsia" w:eastAsia="方正仿宋_GBK" w:cs="Times New Roman"/>
          <w:color w:val="000000"/>
          <w:kern w:val="2"/>
          <w:sz w:val="28"/>
          <w:szCs w:val="28"/>
          <w:highlight w:val="none"/>
          <w:u w:val="single"/>
          <w:lang w:val="en-US" w:eastAsia="zh-CN"/>
        </w:rPr>
        <w:t xml:space="preserve">        </w:t>
      </w:r>
      <w:r>
        <w:rPr>
          <w:rFonts w:hint="default" w:ascii="Times New Roman" w:hAnsi="Times New Roman" w:eastAsia="方正仿宋_GBK" w:cs="Times New Roman"/>
          <w:color w:val="000000"/>
          <w:kern w:val="2"/>
          <w:sz w:val="28"/>
          <w:szCs w:val="28"/>
          <w:highlight w:val="none"/>
          <w:u w:val="single"/>
        </w:rPr>
        <w:t xml:space="preserve">    </w:t>
      </w:r>
    </w:p>
    <w:p w14:paraId="55899DAD">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为预防和减少各类安全风险及隐患，搞好项目的安全管理工作，根据《中华人民共和国民法典</w:t>
      </w:r>
      <w:r>
        <w:rPr>
          <w:rFonts w:hint="eastAsia" w:ascii="Times New Roman" w:hAnsi="Times New Roman" w:eastAsia="方正仿宋_GBK" w:cs="Times New Roman"/>
          <w:color w:val="000000"/>
          <w:sz w:val="28"/>
          <w:szCs w:val="28"/>
          <w:highlight w:val="none"/>
          <w:lang w:eastAsia="zh-CN"/>
        </w:rPr>
        <w:t>》和《</w:t>
      </w:r>
      <w:r>
        <w:rPr>
          <w:rFonts w:hint="default" w:ascii="Times New Roman" w:hAnsi="Times New Roman" w:eastAsia="方正仿宋_GBK" w:cs="Times New Roman"/>
          <w:color w:val="000000"/>
          <w:sz w:val="28"/>
          <w:szCs w:val="28"/>
          <w:highlight w:val="none"/>
        </w:rPr>
        <w:t>中华人民共和国安全生产法》，甲乙双方经过协商达成以下协议。</w:t>
      </w:r>
    </w:p>
    <w:p w14:paraId="6F8F7311">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一、甲方权利与义务</w:t>
      </w:r>
    </w:p>
    <w:p w14:paraId="5B1B17F8">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（一）发现违章违纪行为和安全隐患的，甲方有权责令乙方停工并要求限时整改，所造成的一切损失由乙方承担。               </w:t>
      </w:r>
    </w:p>
    <w:p w14:paraId="4630F325">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（二）对在现场安全工作中不称职的承包人项目经理、安全管理负责人，有权要求更换。</w:t>
      </w:r>
    </w:p>
    <w:p w14:paraId="0E9BF4E9">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（三）协助乙方办理进入甲方管理区域的相关手续，并对乙方进行安全交底。</w:t>
      </w:r>
    </w:p>
    <w:p w14:paraId="230E531F">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（四）协助乙方对其作业区域的安全、环境、防火管控措施进行监督检查。</w:t>
      </w:r>
    </w:p>
    <w:p w14:paraId="457CAE76">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二、乙方权利与义务</w:t>
      </w:r>
    </w:p>
    <w:p w14:paraId="33574449">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（一）乙方对作业人员的资质进行审查 ，确保作业人员具备相关资质。根据甲方的要求编制作业方案，完善作业手续。</w:t>
      </w:r>
    </w:p>
    <w:p w14:paraId="091DC286">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14:paraId="2E8B2B5F">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（三）根据作业特点制定安全管理措施，自备合格的安全设备、设施和劳保用品，做好作业人员安全教育和安全技术交底工作，并对作业范围内的乙方作业人员、甲方人员、第三人的人身安全和财产安全等负责。</w:t>
      </w:r>
    </w:p>
    <w:p w14:paraId="7359C541">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（四）乙方进入作业区域前，应主动履行登记核验手续，因未履行登记手续带来的一切后果和责任由乙方全部承担。同时，乙方作业人员进入围挡（或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隔离设施）后，应保持围挡（或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隔离设施）处于锁闭良好状态。作业结束后，乙方作业人员须确认围挡（或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隔离设施）处于锁闭良好状态，并主动履行销记手续，因未履行销记手续带来的一切后果和责任由乙方全部承担。</w:t>
      </w:r>
    </w:p>
    <w:p w14:paraId="6D235A6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（五）严格遵守</w:t>
      </w:r>
      <w:r>
        <w:rPr>
          <w:rFonts w:hint="eastAsia" w:ascii="Times New Roman" w:hAnsi="Times New Roman" w:eastAsia="方正仿宋_GBK" w:cs="Times New Roman"/>
          <w:color w:val="000000"/>
          <w:sz w:val="28"/>
          <w:szCs w:val="28"/>
          <w:highlight w:val="none"/>
          <w:lang w:eastAsia="zh-CN"/>
        </w:rPr>
        <w:t>甲方相关</w:t>
      </w:r>
      <w:r>
        <w:rPr>
          <w:rFonts w:hint="default" w:ascii="Times New Roman" w:hAnsi="Times New Roman" w:eastAsia="方正仿宋_GBK" w:cs="Times New Roman"/>
          <w:color w:val="000000"/>
          <w:sz w:val="28"/>
          <w:szCs w:val="28"/>
          <w:highlight w:val="none"/>
        </w:rPr>
        <w:t>安全管理规定，承担因违反相关规定造成的损失和罚款。</w:t>
      </w:r>
    </w:p>
    <w:p w14:paraId="4CFC9D63">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（六）按照甲方运营特点及要求，乙方合理安排具体实施方案并需经过甲方同意，不得影响甲方正常运营</w:t>
      </w:r>
      <w:r>
        <w:rPr>
          <w:rFonts w:hint="eastAsia" w:ascii="Times New Roman" w:hAnsi="Times New Roman" w:eastAsia="方正仿宋_GBK" w:cs="Times New Roman"/>
          <w:color w:val="000000"/>
          <w:sz w:val="28"/>
          <w:szCs w:val="28"/>
          <w:highlight w:val="none"/>
          <w:lang w:eastAsia="zh-CN"/>
        </w:rPr>
        <w:t>，并</w:t>
      </w:r>
      <w:r>
        <w:rPr>
          <w:rFonts w:hint="default" w:ascii="Times New Roman" w:hAnsi="Times New Roman" w:eastAsia="方正仿宋_GBK" w:cs="Times New Roman"/>
          <w:color w:val="000000"/>
          <w:sz w:val="28"/>
          <w:szCs w:val="28"/>
          <w:highlight w:val="none"/>
        </w:rPr>
        <w:t>承担影响甲方正常运行造成的损失和罚款。</w:t>
      </w:r>
    </w:p>
    <w:p w14:paraId="69CBD090">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（七）严格按照甲方核准的作业区域和时间段实施作业，不得擅自扩大作业区域或延长作业时间、不得擅自进入未经甲方批准的管理区域，服从甲方的管理。</w:t>
      </w:r>
    </w:p>
    <w:p w14:paraId="26AFF7C6">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（八）在作业过程中做好对甲方既有设施、设备的安全保护措施，不擅自动用或损坏甲方设施、设备，若有损坏照价赔偿，并按原设计功能要求如实恢复。</w:t>
      </w:r>
    </w:p>
    <w:p w14:paraId="34F68E4A">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（九）自觉接受甲方人员的安全监督，作业期间如发生影响甲方运营和生产安全的情况，需立即报告甲方，并积极采取应急救援措施。</w:t>
      </w:r>
    </w:p>
    <w:p w14:paraId="1864632F">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14:paraId="205838A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（十一）负责乙方作业区域内的消防安全管理工作，并按照相关法律法规配备消防安全器材。</w:t>
      </w:r>
    </w:p>
    <w:p w14:paraId="7E09518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（十二）因乙方作业引起的客伤、投诉、舆情和信访等问题，由乙方及时有效进行处理，并承担全部责任。</w:t>
      </w:r>
    </w:p>
    <w:p w14:paraId="47D4BDC0">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（十三）由甲方供电的乙方所属设备，供电设备、线路以及用电安全等，由乙方自行负责，并保证安全用电。</w:t>
      </w:r>
    </w:p>
    <w:p w14:paraId="5CC5EEC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（十四）作业现场必须具有相关的安全标志牌，如因乙方对围挡设置不当或无警示标识引起客伤、投诉、舆情、信访和事故等问题，由乙方及时有效进行处理，并承担全部责任。</w:t>
      </w:r>
    </w:p>
    <w:p w14:paraId="268376DD">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（十五）乙方在任何时候都应采取各种合理的预防措施，防止其员工发生任何违法、</w:t>
      </w:r>
      <w:r>
        <w:rPr>
          <w:rFonts w:hint="eastAsia" w:ascii="Times New Roman" w:hAnsi="Times New Roman" w:eastAsia="方正仿宋_GBK" w:cs="Times New Roman"/>
          <w:color w:val="000000"/>
          <w:sz w:val="28"/>
          <w:szCs w:val="28"/>
          <w:highlight w:val="none"/>
          <w:lang w:eastAsia="zh-CN"/>
        </w:rPr>
        <w:t>违纪</w:t>
      </w:r>
      <w:r>
        <w:rPr>
          <w:rFonts w:hint="default" w:ascii="Times New Roman" w:hAnsi="Times New Roman" w:eastAsia="方正仿宋_GBK" w:cs="Times New Roman"/>
          <w:color w:val="000000"/>
          <w:sz w:val="28"/>
          <w:szCs w:val="28"/>
          <w:highlight w:val="none"/>
        </w:rPr>
        <w:t>、暴力或妨碍治安的行为。</w:t>
      </w:r>
    </w:p>
    <w:p w14:paraId="5449EF83">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（十六）作业人员上岗，必须按规定穿戴防护用品。负责人和安全检查员应随时检查劳动防护用品的穿戴情况，不按规定穿戴防护用品的人员不得上岗。</w:t>
      </w:r>
    </w:p>
    <w:p w14:paraId="7CDBBE71">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（十七）所有作业机具及安全设备设施均应定期检查，并有安全员的签字记录，保证其处于完好状态；不合格的机具、设备和劳动保护用品严禁使用。</w:t>
      </w:r>
    </w:p>
    <w:p w14:paraId="1D8903B0">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（十八）乙方必须按照本项目特点，组织制定安全事故应急救援预案；如果发生安全事故，应按照《国务院关于特大安全事故行政责任追究的规定》以及</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有关规定，及时上报有关部门，并坚持“三不放过”的原则，严肃处理相关责任人。</w:t>
      </w:r>
    </w:p>
    <w:p w14:paraId="0295B2CE">
      <w:pPr>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三、违约责任</w:t>
      </w:r>
    </w:p>
    <w:p w14:paraId="12FD4717">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（一）如作业过</w:t>
      </w:r>
      <w:r>
        <w:rPr>
          <w:rFonts w:hint="eastAsia" w:ascii="Times New Roman" w:hAnsi="Times New Roman" w:eastAsia="方正仿宋_GBK" w:cs="Times New Roman"/>
          <w:color w:val="000000"/>
          <w:sz w:val="28"/>
          <w:szCs w:val="28"/>
          <w:highlight w:val="none"/>
          <w:lang w:eastAsia="zh-CN"/>
        </w:rPr>
        <w:t>程中</w:t>
      </w:r>
      <w:r>
        <w:rPr>
          <w:rFonts w:hint="default" w:ascii="Times New Roman" w:hAnsi="Times New Roman" w:eastAsia="方正仿宋_GBK" w:cs="Times New Roman"/>
          <w:color w:val="000000"/>
          <w:sz w:val="28"/>
          <w:szCs w:val="28"/>
          <w:highlight w:val="none"/>
        </w:rPr>
        <w:t>甲方发现存在安全问题或隐患并向乙方提出整改，乙方未及时整改的，根据情况甲方有权处罚乙方合同金额1%至10%的违约金，并由乙方赔偿由此造成的一切损失；</w:t>
      </w:r>
    </w:p>
    <w:p w14:paraId="54420DDA">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（二）如作业过程中因乙方原因发生安全事故，由乙方承担相关法律责任并赔偿由此产生的一切损失。根据事故损失及后果严重程度，甲方有权处罚乙方实际损失金额30%以上的违约金；</w:t>
      </w:r>
    </w:p>
    <w:p w14:paraId="1480DA7D">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14:paraId="39BA7716">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（四）因乙方违约产生的违约金、赔偿金等，将直接从合同应付金额中扣除。如以上两种方式的金额不足以承担违约金、赔偿金时，甲方有权向乙方追偿。</w:t>
      </w:r>
    </w:p>
    <w:p w14:paraId="1265FF43">
      <w:pPr>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四、附则</w:t>
      </w:r>
    </w:p>
    <w:p w14:paraId="4B8940C0">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（一）本合同份数与主合同份数一致。</w:t>
      </w:r>
    </w:p>
    <w:p w14:paraId="4504CDEE">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（二）本协议自甲乙双方签字盖章之日起生效。</w:t>
      </w:r>
    </w:p>
    <w:p w14:paraId="1AC814A8">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（三）安全管理交底书作为该协议附件具有同等法律效力。</w:t>
      </w:r>
    </w:p>
    <w:p w14:paraId="4BF10033">
      <w:pPr>
        <w:spacing w:line="600" w:lineRule="exact"/>
        <w:ind w:firstLine="560" w:firstLineChars="200"/>
        <w:rPr>
          <w:rFonts w:hint="default" w:ascii="Times New Roman" w:hAnsi="Times New Roman" w:eastAsia="方正仿宋_GBK" w:cs="Times New Roman"/>
          <w:color w:val="000000"/>
          <w:sz w:val="28"/>
          <w:szCs w:val="28"/>
          <w:highlight w:val="none"/>
          <w:lang w:bidi="zh-TW"/>
        </w:rPr>
      </w:pPr>
      <w:r>
        <w:rPr>
          <w:rFonts w:hint="default" w:ascii="Times New Roman" w:hAnsi="Times New Roman" w:eastAsia="方正仿宋_GBK" w:cs="Times New Roman"/>
          <w:color w:val="000000"/>
          <w:sz w:val="28"/>
          <w:szCs w:val="28"/>
          <w:highlight w:val="none"/>
          <w:lang w:bidi="zh-TW"/>
        </w:rPr>
        <w:t>（以下无正文，为签署页）</w:t>
      </w:r>
    </w:p>
    <w:p w14:paraId="133A9A93">
      <w:pPr>
        <w:spacing w:line="520" w:lineRule="exact"/>
        <w:ind w:firstLine="560" w:firstLineChars="200"/>
        <w:rPr>
          <w:rFonts w:hint="default" w:ascii="Times New Roman" w:hAnsi="Times New Roman" w:eastAsia="方正仿宋_GBK" w:cs="Times New Roman"/>
          <w:color w:val="000000"/>
          <w:sz w:val="28"/>
          <w:szCs w:val="28"/>
          <w:highlight w:val="none"/>
          <w:lang w:bidi="zh-TW"/>
        </w:rPr>
      </w:pPr>
      <w:r>
        <w:rPr>
          <w:rFonts w:hint="default" w:ascii="Times New Roman" w:hAnsi="Times New Roman" w:eastAsia="方正仿宋_GBK" w:cs="Times New Roman"/>
          <w:color w:val="000000"/>
          <w:kern w:val="0"/>
          <w:sz w:val="28"/>
          <w:szCs w:val="28"/>
          <w:highlight w:val="none"/>
        </w:rPr>
        <w:br w:type="page"/>
      </w:r>
      <w:r>
        <w:rPr>
          <w:rFonts w:hint="default" w:ascii="Times New Roman" w:hAnsi="Times New Roman" w:eastAsia="方正仿宋_GBK" w:cs="Times New Roman"/>
          <w:color w:val="000000"/>
          <w:sz w:val="28"/>
          <w:szCs w:val="28"/>
          <w:highlight w:val="none"/>
          <w:lang w:bidi="zh-TW"/>
        </w:rPr>
        <w:t>（本页无正文，为签署页）</w:t>
      </w:r>
    </w:p>
    <w:p w14:paraId="6F61D996">
      <w:pPr>
        <w:pStyle w:val="7"/>
        <w:rPr>
          <w:rFonts w:hint="default" w:ascii="Times New Roman" w:hAnsi="Times New Roman" w:cs="Times New Roman"/>
          <w:color w:val="000000"/>
          <w:highlight w:val="none"/>
        </w:rPr>
      </w:pPr>
    </w:p>
    <w:p w14:paraId="1CCAC7A8">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甲方：</w:t>
      </w:r>
      <w:r>
        <w:rPr>
          <w:rFonts w:hint="eastAsia" w:ascii="Times New Roman" w:hAnsi="Times New Roman" w:eastAsia="方正仿宋_GBK" w:cs="Times New Roman"/>
          <w:color w:val="000000"/>
          <w:sz w:val="28"/>
          <w:szCs w:val="28"/>
          <w:highlight w:val="none"/>
          <w:lang w:eastAsia="zh-CN"/>
        </w:rPr>
        <w:t>重庆通邑卫士智慧生活服务有限公司</w:t>
      </w:r>
      <w:r>
        <w:rPr>
          <w:rFonts w:hint="default" w:ascii="Times New Roman" w:hAnsi="Times New Roman" w:eastAsia="方正仿宋_GBK" w:cs="Times New Roman"/>
          <w:color w:val="000000"/>
          <w:sz w:val="28"/>
          <w:szCs w:val="28"/>
          <w:highlight w:val="none"/>
        </w:rPr>
        <w:t xml:space="preserve">  </w:t>
      </w:r>
    </w:p>
    <w:p w14:paraId="78413F05">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经办人：            　　　    　 </w:t>
      </w:r>
    </w:p>
    <w:p w14:paraId="4DC16B03">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电话：                         </w:t>
      </w:r>
    </w:p>
    <w:p w14:paraId="4AC03972">
      <w:pPr>
        <w:snapToGrid w:val="0"/>
        <w:spacing w:line="360" w:lineRule="auto"/>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年　　月　　日               </w:t>
      </w:r>
    </w:p>
    <w:p w14:paraId="043EDE34">
      <w:pPr>
        <w:pStyle w:val="7"/>
        <w:spacing w:before="0" w:after="0" w:line="360" w:lineRule="auto"/>
        <w:rPr>
          <w:rFonts w:hint="default" w:ascii="Times New Roman" w:hAnsi="Times New Roman" w:cs="Times New Roman"/>
          <w:color w:val="000000"/>
          <w:sz w:val="18"/>
          <w:szCs w:val="18"/>
          <w:highlight w:val="none"/>
        </w:rPr>
      </w:pPr>
    </w:p>
    <w:p w14:paraId="65C758B8">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乙方：</w:t>
      </w:r>
      <w:r>
        <w:rPr>
          <w:rFonts w:hint="default" w:ascii="Times New Roman" w:hAnsi="Times New Roman" w:eastAsia="方正仿宋_GBK" w:cs="Times New Roman"/>
          <w:color w:val="000000"/>
          <w:kern w:val="0"/>
          <w:sz w:val="28"/>
          <w:szCs w:val="28"/>
          <w:highlight w:val="none"/>
        </w:rPr>
        <w:t xml:space="preserve"> </w:t>
      </w:r>
      <w:r>
        <w:rPr>
          <w:rFonts w:hint="default" w:ascii="Times New Roman" w:hAnsi="Times New Roman" w:eastAsia="方正仿宋_GBK" w:cs="Times New Roman"/>
          <w:color w:val="000000"/>
          <w:sz w:val="28"/>
          <w:szCs w:val="28"/>
          <w:highlight w:val="none"/>
        </w:rPr>
        <w:t xml:space="preserve">      </w:t>
      </w:r>
    </w:p>
    <w:p w14:paraId="2E2D44B2">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经办人： </w:t>
      </w:r>
    </w:p>
    <w:p w14:paraId="1ED334DE">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电话：</w:t>
      </w:r>
    </w:p>
    <w:p w14:paraId="341E13C0">
      <w:pPr>
        <w:snapToGrid w:val="0"/>
        <w:spacing w:line="360" w:lineRule="auto"/>
        <w:ind w:firstLine="280" w:firstLineChars="1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年    月   日</w:t>
      </w:r>
    </w:p>
    <w:p w14:paraId="5D67570B">
      <w:pPr>
        <w:snapToGrid w:val="0"/>
        <w:spacing w:line="560" w:lineRule="exact"/>
        <w:rPr>
          <w:rFonts w:hint="default" w:ascii="Times New Roman" w:hAnsi="Times New Roman" w:cs="Times New Roman"/>
          <w:color w:val="000000"/>
          <w:highlight w:val="none"/>
        </w:rPr>
      </w:pPr>
    </w:p>
    <w:p w14:paraId="1446B1E2">
      <w:pPr>
        <w:snapToGrid w:val="0"/>
        <w:spacing w:line="560" w:lineRule="exact"/>
        <w:ind w:firstLine="210" w:firstLineChars="75"/>
        <w:rPr>
          <w:rFonts w:eastAsia="方正仿宋_GBK"/>
          <w:color w:val="auto"/>
          <w:sz w:val="28"/>
          <w:szCs w:val="28"/>
          <w:highlight w:val="none"/>
        </w:rPr>
      </w:pPr>
    </w:p>
    <w:p w14:paraId="04A5C265">
      <w:pPr>
        <w:rPr>
          <w:rFonts w:hint="eastAsia"/>
          <w:color w:val="auto"/>
          <w:highlight w:val="none"/>
        </w:rPr>
      </w:pPr>
    </w:p>
    <w:p w14:paraId="14286B76">
      <w:pPr>
        <w:spacing w:line="600" w:lineRule="exact"/>
        <w:rPr>
          <w:color w:val="auto"/>
          <w:highlight w:val="none"/>
        </w:rPr>
      </w:pPr>
    </w:p>
    <w:p w14:paraId="3DD070DD">
      <w:pPr>
        <w:pStyle w:val="7"/>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ascii="Times New Roman" w:hAnsi="Times New Roman" w:eastAsia="方正仿宋_GBK" w:cs="Times New Roman"/>
          <w:b w:val="0"/>
          <w:color w:val="auto"/>
          <w:sz w:val="28"/>
          <w:szCs w:val="28"/>
          <w:highlight w:val="none"/>
        </w:rPr>
      </w:pPr>
    </w:p>
    <w:p w14:paraId="0FEB342C">
      <w:pPr>
        <w:spacing w:line="360" w:lineRule="auto"/>
        <w:rPr>
          <w:rFonts w:hint="default" w:ascii="Times New Roman" w:hAnsi="Times New Roman" w:eastAsia="方正仿宋_GBK" w:cs="Times New Roman"/>
          <w:bCs/>
          <w:color w:val="auto"/>
          <w:sz w:val="28"/>
          <w:szCs w:val="28"/>
          <w:highlight w:val="none"/>
        </w:rPr>
      </w:pPr>
    </w:p>
    <w:p w14:paraId="1AB65449">
      <w:pPr>
        <w:pStyle w:val="7"/>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ascii="Times New Roman" w:hAnsi="Times New Roman" w:eastAsia="方正仿宋_GBK" w:cs="Times New Roman"/>
          <w:b w:val="0"/>
          <w:color w:val="auto"/>
          <w:sz w:val="28"/>
          <w:szCs w:val="28"/>
          <w:highlight w:val="none"/>
        </w:rPr>
      </w:pPr>
    </w:p>
    <w:p w14:paraId="41322006">
      <w:pPr>
        <w:rPr>
          <w:rFonts w:hint="eastAsia" w:ascii="宋体" w:hAnsi="宋体" w:eastAsia="宋体" w:cs="宋体"/>
          <w:color w:val="auto"/>
          <w:highlight w:val="none"/>
        </w:rPr>
        <w:sectPr>
          <w:headerReference r:id="rId7" w:type="default"/>
          <w:pgSz w:w="11900" w:h="16840"/>
          <w:pgMar w:top="1440" w:right="1134" w:bottom="1440" w:left="1134" w:header="920" w:footer="454" w:gutter="0"/>
          <w:pgNumType w:fmt="decimal"/>
          <w:cols w:space="720" w:num="1"/>
          <w:docGrid w:type="lines" w:linePitch="1" w:charSpace="0"/>
        </w:sectPr>
      </w:pPr>
      <w:r>
        <w:rPr>
          <w:rFonts w:hint="eastAsia" w:ascii="宋体" w:hAnsi="宋体" w:eastAsia="宋体" w:cs="宋体"/>
          <w:color w:val="auto"/>
          <w:highlight w:val="none"/>
        </w:rPr>
        <w:br w:type="page"/>
      </w:r>
    </w:p>
    <w:p w14:paraId="56987688">
      <w:pPr>
        <w:pStyle w:val="2"/>
        <w:rPr>
          <w:rFonts w:hint="eastAsia"/>
          <w:highlight w:val="none"/>
        </w:rPr>
      </w:pPr>
    </w:p>
    <w:p w14:paraId="736D27FB">
      <w:pPr>
        <w:pStyle w:val="5"/>
        <w:numPr>
          <w:ilvl w:val="0"/>
          <w:numId w:val="0"/>
        </w:numPr>
        <w:tabs>
          <w:tab w:val="clear" w:pos="600"/>
        </w:tabs>
        <w:ind w:left="240" w:firstLine="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第五章 </w:t>
      </w:r>
      <w:bookmarkEnd w:id="149"/>
      <w:bookmarkEnd w:id="150"/>
      <w:bookmarkEnd w:id="151"/>
      <w:bookmarkEnd w:id="152"/>
      <w:bookmarkEnd w:id="153"/>
      <w:bookmarkEnd w:id="154"/>
      <w:bookmarkEnd w:id="155"/>
      <w:bookmarkEnd w:id="156"/>
      <w:bookmarkEnd w:id="157"/>
      <w:bookmarkEnd w:id="158"/>
      <w:bookmarkEnd w:id="159"/>
      <w:r>
        <w:rPr>
          <w:rFonts w:hint="eastAsia" w:ascii="宋体" w:hAnsi="宋体" w:eastAsia="宋体" w:cs="宋体"/>
          <w:color w:val="auto"/>
          <w:highlight w:val="none"/>
          <w:lang w:val="en-US" w:eastAsia="zh-CN"/>
        </w:rPr>
        <w:t>发包人要求</w:t>
      </w:r>
      <w:bookmarkEnd w:id="160"/>
    </w:p>
    <w:p w14:paraId="74F2F298">
      <w:pPr>
        <w:spacing w:line="360" w:lineRule="auto"/>
        <w:jc w:val="center"/>
        <w:rPr>
          <w:rFonts w:hint="default" w:ascii="Times New Roman" w:hAnsi="Times New Roman" w:eastAsia="方正仿宋_GBK" w:cs="Times New Roman"/>
          <w:b/>
          <w:bCs/>
          <w:color w:val="000000"/>
          <w:sz w:val="32"/>
          <w:szCs w:val="32"/>
          <w:highlight w:val="none"/>
        </w:rPr>
      </w:pPr>
      <w:r>
        <w:rPr>
          <w:rFonts w:hint="default" w:ascii="Times New Roman" w:hAnsi="Times New Roman" w:eastAsia="方正仿宋_GBK" w:cs="Times New Roman"/>
          <w:b/>
          <w:bCs/>
          <w:color w:val="000000"/>
          <w:sz w:val="32"/>
          <w:szCs w:val="32"/>
          <w:highlight w:val="none"/>
        </w:rPr>
        <w:t>配电维保服务清单</w:t>
      </w:r>
    </w:p>
    <w:tbl>
      <w:tblPr>
        <w:tblStyle w:val="23"/>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080"/>
        <w:gridCol w:w="1080"/>
        <w:gridCol w:w="1110"/>
        <w:gridCol w:w="1080"/>
        <w:gridCol w:w="1080"/>
        <w:gridCol w:w="1080"/>
        <w:gridCol w:w="1080"/>
        <w:gridCol w:w="1080"/>
        <w:gridCol w:w="1080"/>
        <w:gridCol w:w="1080"/>
        <w:gridCol w:w="1110"/>
      </w:tblGrid>
      <w:tr w14:paraId="0222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0" w:type="dxa"/>
            <w:gridSpan w:val="13"/>
            <w:tcBorders>
              <w:top w:val="single" w:color="000000" w:sz="4" w:space="0"/>
              <w:left w:val="single" w:color="000000" w:sz="4" w:space="0"/>
              <w:bottom w:val="single" w:color="000000" w:sz="4" w:space="0"/>
              <w:right w:val="single" w:color="000000" w:sz="4" w:space="0"/>
            </w:tcBorders>
            <w:noWrap w:val="0"/>
            <w:vAlign w:val="center"/>
          </w:tcPr>
          <w:p w14:paraId="6EFCB382">
            <w:pPr>
              <w:keepNext w:val="0"/>
              <w:keepLines w:val="0"/>
              <w:widowControl/>
              <w:suppressLineNumbers w:val="0"/>
              <w:jc w:val="left"/>
              <w:textAlignment w:val="center"/>
              <w:rPr>
                <w:rFonts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站场单项维保明细表 （维保时间：12个月）                                维保时间：2026.1.1-2026.12.31</w:t>
            </w:r>
          </w:p>
        </w:tc>
      </w:tr>
      <w:tr w14:paraId="5004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14:paraId="7F38957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序号</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6D34B6D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项目名称</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73BCE15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维保项目</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51323B7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变压器</w:t>
            </w:r>
          </w:p>
        </w:tc>
        <w:tc>
          <w:tcPr>
            <w:tcW w:w="1110" w:type="dxa"/>
            <w:vMerge w:val="restart"/>
            <w:tcBorders>
              <w:top w:val="single" w:color="000000" w:sz="4" w:space="0"/>
              <w:left w:val="nil"/>
              <w:bottom w:val="single" w:color="000000" w:sz="4" w:space="0"/>
              <w:right w:val="single" w:color="000000" w:sz="4" w:space="0"/>
            </w:tcBorders>
            <w:noWrap w:val="0"/>
            <w:vAlign w:val="center"/>
          </w:tcPr>
          <w:p w14:paraId="2069BA6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10KV高压柜</w:t>
            </w:r>
          </w:p>
        </w:tc>
        <w:tc>
          <w:tcPr>
            <w:tcW w:w="2160" w:type="dxa"/>
            <w:gridSpan w:val="2"/>
            <w:tcBorders>
              <w:top w:val="single" w:color="000000" w:sz="4" w:space="0"/>
              <w:left w:val="nil"/>
              <w:bottom w:val="single" w:color="000000" w:sz="4" w:space="0"/>
              <w:right w:val="single" w:color="000000" w:sz="4" w:space="0"/>
            </w:tcBorders>
            <w:noWrap w:val="0"/>
            <w:vAlign w:val="center"/>
          </w:tcPr>
          <w:p w14:paraId="628E94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避雷器</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6B42DF7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电缆</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3732455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继电保护装置</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4FBF931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地阻测试</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4273DEC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工具检测</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4EE46BD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真空断路器</w:t>
            </w:r>
          </w:p>
        </w:tc>
        <w:tc>
          <w:tcPr>
            <w:tcW w:w="1110" w:type="dxa"/>
            <w:vMerge w:val="restart"/>
            <w:tcBorders>
              <w:top w:val="single" w:color="000000" w:sz="4" w:space="0"/>
              <w:left w:val="nil"/>
              <w:bottom w:val="single" w:color="000000" w:sz="4" w:space="0"/>
              <w:right w:val="single" w:color="000000" w:sz="4" w:space="0"/>
            </w:tcBorders>
            <w:noWrap w:val="0"/>
            <w:vAlign w:val="center"/>
          </w:tcPr>
          <w:p w14:paraId="3CF5400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低压屏</w:t>
            </w:r>
          </w:p>
        </w:tc>
      </w:tr>
      <w:tr w14:paraId="78AF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14:paraId="20656AD6">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1AE81E6E">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5910A106">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7D6070EF">
            <w:pPr>
              <w:jc w:val="center"/>
              <w:rPr>
                <w:rFonts w:hint="eastAsia" w:ascii="方正仿宋_GBK" w:hAnsi="方正仿宋_GBK" w:eastAsia="方正仿宋_GBK" w:cs="方正仿宋_GBK"/>
                <w:b/>
                <w:bCs/>
                <w:i w:val="0"/>
                <w:iCs w:val="0"/>
                <w:color w:val="000000"/>
                <w:sz w:val="21"/>
                <w:szCs w:val="21"/>
                <w:highlight w:val="none"/>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14:paraId="06A2E89F">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tcBorders>
              <w:top w:val="nil"/>
              <w:left w:val="nil"/>
              <w:bottom w:val="single" w:color="000000" w:sz="4" w:space="0"/>
              <w:right w:val="single" w:color="000000" w:sz="4" w:space="0"/>
            </w:tcBorders>
            <w:noWrap w:val="0"/>
            <w:vAlign w:val="center"/>
          </w:tcPr>
          <w:p w14:paraId="4EB92F9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10KV</w:t>
            </w:r>
          </w:p>
        </w:tc>
        <w:tc>
          <w:tcPr>
            <w:tcW w:w="1080" w:type="dxa"/>
            <w:tcBorders>
              <w:top w:val="nil"/>
              <w:left w:val="nil"/>
              <w:bottom w:val="single" w:color="000000" w:sz="4" w:space="0"/>
              <w:right w:val="single" w:color="000000" w:sz="4" w:space="0"/>
            </w:tcBorders>
            <w:noWrap w:val="0"/>
            <w:vAlign w:val="center"/>
          </w:tcPr>
          <w:p w14:paraId="429FF1F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0.4KV</w:t>
            </w:r>
          </w:p>
        </w:tc>
        <w:tc>
          <w:tcPr>
            <w:tcW w:w="1080" w:type="dxa"/>
            <w:vMerge w:val="continue"/>
            <w:tcBorders>
              <w:top w:val="single" w:color="000000" w:sz="4" w:space="0"/>
              <w:left w:val="nil"/>
              <w:bottom w:val="single" w:color="000000" w:sz="4" w:space="0"/>
              <w:right w:val="single" w:color="000000" w:sz="4" w:space="0"/>
            </w:tcBorders>
            <w:noWrap w:val="0"/>
            <w:vAlign w:val="center"/>
          </w:tcPr>
          <w:p w14:paraId="11FE6808">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7CE8D245">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6F0B90E8">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7E3B8E9D">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30511130">
            <w:pPr>
              <w:jc w:val="center"/>
              <w:rPr>
                <w:rFonts w:hint="eastAsia" w:ascii="方正仿宋_GBK" w:hAnsi="方正仿宋_GBK" w:eastAsia="方正仿宋_GBK" w:cs="方正仿宋_GBK"/>
                <w:b/>
                <w:bCs/>
                <w:i w:val="0"/>
                <w:iCs w:val="0"/>
                <w:color w:val="000000"/>
                <w:sz w:val="21"/>
                <w:szCs w:val="21"/>
                <w:highlight w:val="none"/>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14:paraId="3AC5076A">
            <w:pPr>
              <w:jc w:val="center"/>
              <w:rPr>
                <w:rFonts w:hint="eastAsia" w:ascii="方正仿宋_GBK" w:hAnsi="方正仿宋_GBK" w:eastAsia="方正仿宋_GBK" w:cs="方正仿宋_GBK"/>
                <w:b/>
                <w:bCs/>
                <w:i w:val="0"/>
                <w:iCs w:val="0"/>
                <w:color w:val="000000"/>
                <w:sz w:val="21"/>
                <w:szCs w:val="21"/>
                <w:highlight w:val="none"/>
                <w:u w:val="none"/>
              </w:rPr>
            </w:pPr>
          </w:p>
        </w:tc>
      </w:tr>
      <w:tr w14:paraId="42B7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nil"/>
              <w:left w:val="single" w:color="000000" w:sz="4" w:space="0"/>
              <w:bottom w:val="single" w:color="000000" w:sz="4" w:space="0"/>
              <w:right w:val="single" w:color="000000" w:sz="4" w:space="0"/>
            </w:tcBorders>
            <w:noWrap w:val="0"/>
            <w:vAlign w:val="center"/>
          </w:tcPr>
          <w:p w14:paraId="2AFE1EB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w:t>
            </w:r>
          </w:p>
        </w:tc>
        <w:tc>
          <w:tcPr>
            <w:tcW w:w="1080" w:type="dxa"/>
            <w:tcBorders>
              <w:top w:val="nil"/>
              <w:left w:val="nil"/>
              <w:bottom w:val="single" w:color="000000" w:sz="4" w:space="0"/>
              <w:right w:val="single" w:color="000000" w:sz="4" w:space="0"/>
            </w:tcBorders>
            <w:noWrap w:val="0"/>
            <w:vAlign w:val="center"/>
          </w:tcPr>
          <w:p w14:paraId="138CED0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白鹤</w:t>
            </w:r>
          </w:p>
        </w:tc>
        <w:tc>
          <w:tcPr>
            <w:tcW w:w="1080" w:type="dxa"/>
            <w:tcBorders>
              <w:top w:val="nil"/>
              <w:left w:val="nil"/>
              <w:bottom w:val="single" w:color="000000" w:sz="4" w:space="0"/>
              <w:right w:val="single" w:color="000000" w:sz="4" w:space="0"/>
            </w:tcBorders>
            <w:noWrap w:val="0"/>
            <w:vAlign w:val="center"/>
          </w:tcPr>
          <w:p w14:paraId="43BE2C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14:paraId="5A3CE3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110" w:type="dxa"/>
            <w:tcBorders>
              <w:top w:val="nil"/>
              <w:left w:val="nil"/>
              <w:bottom w:val="single" w:color="000000" w:sz="4" w:space="0"/>
              <w:right w:val="single" w:color="000000" w:sz="4" w:space="0"/>
            </w:tcBorders>
            <w:noWrap w:val="0"/>
            <w:vAlign w:val="center"/>
          </w:tcPr>
          <w:p w14:paraId="62B1C0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1080" w:type="dxa"/>
            <w:tcBorders>
              <w:top w:val="nil"/>
              <w:left w:val="nil"/>
              <w:bottom w:val="single" w:color="000000" w:sz="4" w:space="0"/>
              <w:right w:val="single" w:color="000000" w:sz="4" w:space="0"/>
            </w:tcBorders>
            <w:noWrap w:val="0"/>
            <w:vAlign w:val="center"/>
          </w:tcPr>
          <w:p w14:paraId="17A68F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80" w:type="dxa"/>
            <w:tcBorders>
              <w:top w:val="nil"/>
              <w:left w:val="nil"/>
              <w:bottom w:val="single" w:color="000000" w:sz="4" w:space="0"/>
              <w:right w:val="single" w:color="000000" w:sz="4" w:space="0"/>
            </w:tcBorders>
            <w:noWrap w:val="0"/>
            <w:vAlign w:val="center"/>
          </w:tcPr>
          <w:p w14:paraId="780145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14:paraId="3AD033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14:paraId="5294DF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nil"/>
              <w:left w:val="nil"/>
              <w:bottom w:val="single" w:color="000000" w:sz="4" w:space="0"/>
              <w:right w:val="single" w:color="000000" w:sz="4" w:space="0"/>
            </w:tcBorders>
            <w:noWrap w:val="0"/>
            <w:vAlign w:val="center"/>
          </w:tcPr>
          <w:p w14:paraId="042A06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nil"/>
              <w:left w:val="nil"/>
              <w:bottom w:val="single" w:color="000000" w:sz="4" w:space="0"/>
              <w:right w:val="single" w:color="000000" w:sz="4" w:space="0"/>
            </w:tcBorders>
            <w:noWrap w:val="0"/>
            <w:vAlign w:val="center"/>
          </w:tcPr>
          <w:p w14:paraId="125619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nil"/>
              <w:left w:val="nil"/>
              <w:bottom w:val="single" w:color="000000" w:sz="4" w:space="0"/>
              <w:right w:val="single" w:color="000000" w:sz="4" w:space="0"/>
            </w:tcBorders>
            <w:noWrap w:val="0"/>
            <w:vAlign w:val="center"/>
          </w:tcPr>
          <w:p w14:paraId="66739E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110" w:type="dxa"/>
            <w:tcBorders>
              <w:top w:val="nil"/>
              <w:left w:val="nil"/>
              <w:bottom w:val="single" w:color="000000" w:sz="4" w:space="0"/>
              <w:right w:val="single" w:color="000000" w:sz="4" w:space="0"/>
            </w:tcBorders>
            <w:noWrap w:val="0"/>
            <w:vAlign w:val="center"/>
          </w:tcPr>
          <w:p w14:paraId="35B827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33</w:t>
            </w:r>
          </w:p>
        </w:tc>
      </w:tr>
      <w:tr w14:paraId="01FA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D83F4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31CE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腾黄路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0A17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14:paraId="7F24F0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110" w:type="dxa"/>
            <w:tcBorders>
              <w:top w:val="nil"/>
              <w:left w:val="nil"/>
              <w:bottom w:val="single" w:color="000000" w:sz="4" w:space="0"/>
              <w:right w:val="single" w:color="000000" w:sz="4" w:space="0"/>
            </w:tcBorders>
            <w:noWrap w:val="0"/>
            <w:vAlign w:val="center"/>
          </w:tcPr>
          <w:p w14:paraId="4CC591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14:paraId="10FF82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0E4957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5FEA19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11BF93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14:paraId="47636A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1F3DB7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731D7B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110" w:type="dxa"/>
            <w:tcBorders>
              <w:top w:val="single" w:color="000000" w:sz="4" w:space="0"/>
              <w:left w:val="nil"/>
              <w:bottom w:val="single" w:color="000000" w:sz="4" w:space="0"/>
              <w:right w:val="single" w:color="000000" w:sz="4" w:space="0"/>
            </w:tcBorders>
            <w:noWrap w:val="0"/>
            <w:vAlign w:val="center"/>
          </w:tcPr>
          <w:p w14:paraId="787E4D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7C25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E4776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7336A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康庄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9DC7C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14:paraId="60DE81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110" w:type="dxa"/>
            <w:tcBorders>
              <w:top w:val="nil"/>
              <w:left w:val="nil"/>
              <w:bottom w:val="single" w:color="000000" w:sz="4" w:space="0"/>
              <w:right w:val="single" w:color="000000" w:sz="4" w:space="0"/>
            </w:tcBorders>
            <w:noWrap w:val="0"/>
            <w:vAlign w:val="center"/>
          </w:tcPr>
          <w:p w14:paraId="3B784A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1080" w:type="dxa"/>
            <w:tcBorders>
              <w:top w:val="nil"/>
              <w:left w:val="nil"/>
              <w:bottom w:val="single" w:color="000000" w:sz="4" w:space="0"/>
              <w:right w:val="single" w:color="000000" w:sz="4" w:space="0"/>
            </w:tcBorders>
            <w:noWrap w:val="0"/>
            <w:vAlign w:val="center"/>
          </w:tcPr>
          <w:p w14:paraId="786FC1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single" w:color="000000" w:sz="4" w:space="0"/>
              <w:left w:val="nil"/>
              <w:bottom w:val="single" w:color="000000" w:sz="4" w:space="0"/>
              <w:right w:val="single" w:color="000000" w:sz="4" w:space="0"/>
            </w:tcBorders>
            <w:noWrap w:val="0"/>
            <w:vAlign w:val="center"/>
          </w:tcPr>
          <w:p w14:paraId="7F4DD4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7854A2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1690EC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2EB15F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5663D4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4C47B2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110" w:type="dxa"/>
            <w:tcBorders>
              <w:top w:val="single" w:color="000000" w:sz="4" w:space="0"/>
              <w:left w:val="nil"/>
              <w:bottom w:val="single" w:color="000000" w:sz="4" w:space="0"/>
              <w:right w:val="single" w:color="000000" w:sz="4" w:space="0"/>
            </w:tcBorders>
            <w:noWrap w:val="0"/>
            <w:vAlign w:val="center"/>
          </w:tcPr>
          <w:p w14:paraId="193681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16</w:t>
            </w:r>
          </w:p>
        </w:tc>
      </w:tr>
      <w:tr w14:paraId="22C8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B1076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0655F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盛德路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8F52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14:paraId="4A8E6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110" w:type="dxa"/>
            <w:tcBorders>
              <w:top w:val="nil"/>
              <w:left w:val="nil"/>
              <w:bottom w:val="single" w:color="000000" w:sz="4" w:space="0"/>
              <w:right w:val="single" w:color="000000" w:sz="4" w:space="0"/>
            </w:tcBorders>
            <w:noWrap w:val="0"/>
            <w:vAlign w:val="center"/>
          </w:tcPr>
          <w:p w14:paraId="35A7B8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14:paraId="6C8EE9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32F904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3B6A7E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6F2D4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14:paraId="14C526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2176B5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7886DE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110" w:type="dxa"/>
            <w:tcBorders>
              <w:top w:val="single" w:color="000000" w:sz="4" w:space="0"/>
              <w:left w:val="nil"/>
              <w:bottom w:val="single" w:color="000000" w:sz="4" w:space="0"/>
              <w:right w:val="single" w:color="000000" w:sz="4" w:space="0"/>
            </w:tcBorders>
            <w:noWrap w:val="0"/>
            <w:vAlign w:val="center"/>
          </w:tcPr>
          <w:p w14:paraId="1E02C8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w:t>
            </w:r>
          </w:p>
        </w:tc>
      </w:tr>
      <w:tr w14:paraId="26B28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B9980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4798D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沙坪坝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51B9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14:paraId="0B7420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110" w:type="dxa"/>
            <w:tcBorders>
              <w:top w:val="nil"/>
              <w:left w:val="nil"/>
              <w:bottom w:val="single" w:color="000000" w:sz="4" w:space="0"/>
              <w:right w:val="single" w:color="000000" w:sz="4" w:space="0"/>
            </w:tcBorders>
            <w:noWrap w:val="0"/>
            <w:vAlign w:val="center"/>
          </w:tcPr>
          <w:p w14:paraId="329DD7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w:t>
            </w:r>
          </w:p>
        </w:tc>
        <w:tc>
          <w:tcPr>
            <w:tcW w:w="1080" w:type="dxa"/>
            <w:tcBorders>
              <w:top w:val="nil"/>
              <w:left w:val="nil"/>
              <w:bottom w:val="single" w:color="000000" w:sz="4" w:space="0"/>
              <w:right w:val="single" w:color="000000" w:sz="4" w:space="0"/>
            </w:tcBorders>
            <w:noWrap w:val="0"/>
            <w:vAlign w:val="center"/>
          </w:tcPr>
          <w:p w14:paraId="2A0F4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237751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14:paraId="2B8F2C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14:paraId="4E9980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80" w:type="dxa"/>
            <w:tcBorders>
              <w:top w:val="single" w:color="000000" w:sz="4" w:space="0"/>
              <w:left w:val="nil"/>
              <w:bottom w:val="single" w:color="000000" w:sz="4" w:space="0"/>
              <w:right w:val="single" w:color="000000" w:sz="4" w:space="0"/>
            </w:tcBorders>
            <w:noWrap w:val="0"/>
            <w:vAlign w:val="center"/>
          </w:tcPr>
          <w:p w14:paraId="63FEE4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2250C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167C93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110" w:type="dxa"/>
            <w:tcBorders>
              <w:top w:val="single" w:color="000000" w:sz="4" w:space="0"/>
              <w:left w:val="nil"/>
              <w:bottom w:val="single" w:color="000000" w:sz="4" w:space="0"/>
              <w:right w:val="single" w:color="000000" w:sz="4" w:space="0"/>
            </w:tcBorders>
            <w:noWrap w:val="0"/>
            <w:vAlign w:val="center"/>
          </w:tcPr>
          <w:p w14:paraId="13D169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17</w:t>
            </w:r>
          </w:p>
        </w:tc>
      </w:tr>
      <w:tr w14:paraId="5A08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D046C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EDB2F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西站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881D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14:paraId="05247C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14:paraId="0FF9E5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14:paraId="42D11F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17D01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4D30DE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09C2AC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0B0A0D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540560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24F069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110" w:type="dxa"/>
            <w:tcBorders>
              <w:top w:val="single" w:color="000000" w:sz="4" w:space="0"/>
              <w:left w:val="nil"/>
              <w:bottom w:val="single" w:color="000000" w:sz="4" w:space="0"/>
              <w:right w:val="single" w:color="000000" w:sz="4" w:space="0"/>
            </w:tcBorders>
            <w:noWrap w:val="0"/>
            <w:vAlign w:val="center"/>
          </w:tcPr>
          <w:p w14:paraId="025FC8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319C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A13BC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195F7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陈庹路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1D49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14:paraId="4094FE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14:paraId="49725F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nil"/>
              <w:left w:val="nil"/>
              <w:bottom w:val="single" w:color="000000" w:sz="4" w:space="0"/>
              <w:right w:val="single" w:color="000000" w:sz="4" w:space="0"/>
            </w:tcBorders>
            <w:noWrap w:val="0"/>
            <w:vAlign w:val="center"/>
          </w:tcPr>
          <w:p w14:paraId="52D694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14:paraId="0A654A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077500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411C30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70A73E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51A4F8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14:paraId="02A613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110" w:type="dxa"/>
            <w:tcBorders>
              <w:top w:val="single" w:color="000000" w:sz="4" w:space="0"/>
              <w:left w:val="nil"/>
              <w:bottom w:val="single" w:color="000000" w:sz="4" w:space="0"/>
              <w:right w:val="single" w:color="000000" w:sz="4" w:space="0"/>
            </w:tcBorders>
            <w:noWrap w:val="0"/>
            <w:vAlign w:val="center"/>
          </w:tcPr>
          <w:p w14:paraId="1CDE1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w:t>
            </w:r>
          </w:p>
        </w:tc>
      </w:tr>
      <w:tr w14:paraId="4D19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3403B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7C0D6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交通局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D5B3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single" w:color="000000" w:sz="4" w:space="0"/>
              <w:left w:val="nil"/>
              <w:bottom w:val="single" w:color="000000" w:sz="4" w:space="0"/>
              <w:right w:val="single" w:color="000000" w:sz="4" w:space="0"/>
            </w:tcBorders>
            <w:noWrap w:val="0"/>
            <w:vAlign w:val="center"/>
          </w:tcPr>
          <w:p w14:paraId="57E6B0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110" w:type="dxa"/>
            <w:tcBorders>
              <w:top w:val="single" w:color="000000" w:sz="4" w:space="0"/>
              <w:left w:val="nil"/>
              <w:bottom w:val="single" w:color="000000" w:sz="4" w:space="0"/>
              <w:right w:val="single" w:color="000000" w:sz="4" w:space="0"/>
            </w:tcBorders>
            <w:noWrap w:val="0"/>
            <w:vAlign w:val="center"/>
          </w:tcPr>
          <w:p w14:paraId="0B698B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single" w:color="000000" w:sz="4" w:space="0"/>
              <w:left w:val="nil"/>
              <w:bottom w:val="single" w:color="000000" w:sz="4" w:space="0"/>
              <w:right w:val="single" w:color="000000" w:sz="4" w:space="0"/>
            </w:tcBorders>
            <w:noWrap w:val="0"/>
            <w:vAlign w:val="center"/>
          </w:tcPr>
          <w:p w14:paraId="65DB9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14:paraId="09BB30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14:paraId="41E295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7B56C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14:paraId="47AAE9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6A2C78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5521AD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110" w:type="dxa"/>
            <w:tcBorders>
              <w:top w:val="single" w:color="000000" w:sz="4" w:space="0"/>
              <w:left w:val="nil"/>
              <w:bottom w:val="single" w:color="000000" w:sz="4" w:space="0"/>
              <w:right w:val="single" w:color="000000" w:sz="4" w:space="0"/>
            </w:tcBorders>
            <w:noWrap w:val="0"/>
            <w:vAlign w:val="center"/>
          </w:tcPr>
          <w:p w14:paraId="0890C8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r>
      <w:tr w14:paraId="36E2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80EB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5F47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保税港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58EC7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single" w:color="000000" w:sz="4" w:space="0"/>
              <w:left w:val="nil"/>
              <w:bottom w:val="single" w:color="000000" w:sz="4" w:space="0"/>
              <w:right w:val="single" w:color="000000" w:sz="4" w:space="0"/>
            </w:tcBorders>
            <w:noWrap w:val="0"/>
            <w:vAlign w:val="center"/>
          </w:tcPr>
          <w:p w14:paraId="5ECE09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110" w:type="dxa"/>
            <w:tcBorders>
              <w:top w:val="single" w:color="000000" w:sz="4" w:space="0"/>
              <w:left w:val="nil"/>
              <w:bottom w:val="single" w:color="000000" w:sz="4" w:space="0"/>
              <w:right w:val="single" w:color="000000" w:sz="4" w:space="0"/>
            </w:tcBorders>
            <w:noWrap w:val="0"/>
            <w:vAlign w:val="center"/>
          </w:tcPr>
          <w:p w14:paraId="64DEDB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14:paraId="27FEF3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7E0887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424860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21F3DF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14:paraId="76A51A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5DE8DA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7A8558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110" w:type="dxa"/>
            <w:tcBorders>
              <w:top w:val="single" w:color="000000" w:sz="4" w:space="0"/>
              <w:left w:val="nil"/>
              <w:bottom w:val="single" w:color="000000" w:sz="4" w:space="0"/>
              <w:right w:val="single" w:color="000000" w:sz="4" w:space="0"/>
            </w:tcBorders>
            <w:noWrap w:val="0"/>
            <w:vAlign w:val="center"/>
          </w:tcPr>
          <w:p w14:paraId="1D0321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7792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0AAF0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622DD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金沙街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215B3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single" w:color="000000" w:sz="4" w:space="0"/>
              <w:left w:val="nil"/>
              <w:bottom w:val="single" w:color="000000" w:sz="4" w:space="0"/>
              <w:right w:val="single" w:color="000000" w:sz="4" w:space="0"/>
            </w:tcBorders>
            <w:noWrap w:val="0"/>
            <w:vAlign w:val="center"/>
          </w:tcPr>
          <w:p w14:paraId="76E655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110" w:type="dxa"/>
            <w:tcBorders>
              <w:top w:val="single" w:color="000000" w:sz="4" w:space="0"/>
              <w:left w:val="nil"/>
              <w:bottom w:val="single" w:color="000000" w:sz="4" w:space="0"/>
              <w:right w:val="single" w:color="000000" w:sz="4" w:space="0"/>
            </w:tcBorders>
            <w:noWrap w:val="0"/>
            <w:vAlign w:val="center"/>
          </w:tcPr>
          <w:p w14:paraId="45A4BF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080" w:type="dxa"/>
            <w:tcBorders>
              <w:top w:val="single" w:color="000000" w:sz="4" w:space="0"/>
              <w:left w:val="nil"/>
              <w:bottom w:val="single" w:color="000000" w:sz="4" w:space="0"/>
              <w:right w:val="single" w:color="000000" w:sz="4" w:space="0"/>
            </w:tcBorders>
            <w:noWrap w:val="0"/>
            <w:vAlign w:val="center"/>
          </w:tcPr>
          <w:p w14:paraId="4F9C90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single" w:color="000000" w:sz="4" w:space="0"/>
              <w:left w:val="nil"/>
              <w:bottom w:val="single" w:color="000000" w:sz="4" w:space="0"/>
              <w:right w:val="single" w:color="000000" w:sz="4" w:space="0"/>
            </w:tcBorders>
            <w:noWrap w:val="0"/>
            <w:vAlign w:val="center"/>
          </w:tcPr>
          <w:p w14:paraId="4D760E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0D9440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14:paraId="57F601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80" w:type="dxa"/>
            <w:tcBorders>
              <w:top w:val="single" w:color="000000" w:sz="4" w:space="0"/>
              <w:left w:val="nil"/>
              <w:bottom w:val="single" w:color="000000" w:sz="4" w:space="0"/>
              <w:right w:val="single" w:color="000000" w:sz="4" w:space="0"/>
            </w:tcBorders>
            <w:noWrap w:val="0"/>
            <w:vAlign w:val="center"/>
          </w:tcPr>
          <w:p w14:paraId="5D7FA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14:paraId="2B0128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14:paraId="343D4E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110" w:type="dxa"/>
            <w:tcBorders>
              <w:top w:val="single" w:color="000000" w:sz="4" w:space="0"/>
              <w:left w:val="nil"/>
              <w:bottom w:val="single" w:color="000000" w:sz="4" w:space="0"/>
              <w:right w:val="single" w:color="000000" w:sz="4" w:space="0"/>
            </w:tcBorders>
            <w:noWrap w:val="0"/>
            <w:vAlign w:val="center"/>
          </w:tcPr>
          <w:p w14:paraId="72507B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21</w:t>
            </w:r>
          </w:p>
        </w:tc>
      </w:tr>
      <w:tr w14:paraId="2909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B4110A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合计</w:t>
            </w:r>
          </w:p>
        </w:tc>
        <w:tc>
          <w:tcPr>
            <w:tcW w:w="1080" w:type="dxa"/>
            <w:tcBorders>
              <w:top w:val="nil"/>
              <w:left w:val="nil"/>
              <w:bottom w:val="single" w:color="000000" w:sz="4" w:space="0"/>
              <w:right w:val="single" w:color="000000" w:sz="4" w:space="0"/>
            </w:tcBorders>
            <w:noWrap/>
            <w:vAlign w:val="center"/>
          </w:tcPr>
          <w:p w14:paraId="0B2FDCF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23</w:t>
            </w:r>
          </w:p>
        </w:tc>
        <w:tc>
          <w:tcPr>
            <w:tcW w:w="1110" w:type="dxa"/>
            <w:tcBorders>
              <w:top w:val="nil"/>
              <w:left w:val="nil"/>
              <w:bottom w:val="single" w:color="000000" w:sz="4" w:space="0"/>
              <w:right w:val="single" w:color="000000" w:sz="4" w:space="0"/>
            </w:tcBorders>
            <w:noWrap/>
            <w:vAlign w:val="center"/>
          </w:tcPr>
          <w:p w14:paraId="0F88F66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64</w:t>
            </w:r>
          </w:p>
        </w:tc>
        <w:tc>
          <w:tcPr>
            <w:tcW w:w="1080" w:type="dxa"/>
            <w:tcBorders>
              <w:top w:val="nil"/>
              <w:left w:val="nil"/>
              <w:bottom w:val="single" w:color="000000" w:sz="4" w:space="0"/>
              <w:right w:val="single" w:color="000000" w:sz="4" w:space="0"/>
            </w:tcBorders>
            <w:noWrap/>
            <w:vAlign w:val="center"/>
          </w:tcPr>
          <w:p w14:paraId="20187A4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34</w:t>
            </w:r>
          </w:p>
        </w:tc>
        <w:tc>
          <w:tcPr>
            <w:tcW w:w="1080" w:type="dxa"/>
            <w:tcBorders>
              <w:top w:val="nil"/>
              <w:left w:val="nil"/>
              <w:bottom w:val="single" w:color="000000" w:sz="4" w:space="0"/>
              <w:right w:val="single" w:color="000000" w:sz="4" w:space="0"/>
            </w:tcBorders>
            <w:noWrap/>
            <w:vAlign w:val="center"/>
          </w:tcPr>
          <w:p w14:paraId="5A6EA84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18</w:t>
            </w:r>
          </w:p>
        </w:tc>
        <w:tc>
          <w:tcPr>
            <w:tcW w:w="1080" w:type="dxa"/>
            <w:tcBorders>
              <w:top w:val="nil"/>
              <w:left w:val="nil"/>
              <w:bottom w:val="single" w:color="000000" w:sz="4" w:space="0"/>
              <w:right w:val="single" w:color="000000" w:sz="4" w:space="0"/>
            </w:tcBorders>
            <w:noWrap/>
            <w:vAlign w:val="center"/>
          </w:tcPr>
          <w:p w14:paraId="1D4920C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21</w:t>
            </w:r>
          </w:p>
        </w:tc>
        <w:tc>
          <w:tcPr>
            <w:tcW w:w="1080" w:type="dxa"/>
            <w:tcBorders>
              <w:top w:val="nil"/>
              <w:left w:val="nil"/>
              <w:bottom w:val="single" w:color="000000" w:sz="4" w:space="0"/>
              <w:right w:val="single" w:color="000000" w:sz="4" w:space="0"/>
            </w:tcBorders>
            <w:noWrap/>
            <w:vAlign w:val="center"/>
          </w:tcPr>
          <w:p w14:paraId="7F0CDDF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25</w:t>
            </w:r>
          </w:p>
        </w:tc>
        <w:tc>
          <w:tcPr>
            <w:tcW w:w="1080" w:type="dxa"/>
            <w:tcBorders>
              <w:top w:val="nil"/>
              <w:left w:val="nil"/>
              <w:bottom w:val="single" w:color="000000" w:sz="4" w:space="0"/>
              <w:right w:val="single" w:color="000000" w:sz="4" w:space="0"/>
            </w:tcBorders>
            <w:noWrap/>
            <w:vAlign w:val="center"/>
          </w:tcPr>
          <w:p w14:paraId="0F40C27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w:t>
            </w:r>
          </w:p>
        </w:tc>
        <w:tc>
          <w:tcPr>
            <w:tcW w:w="1080" w:type="dxa"/>
            <w:tcBorders>
              <w:top w:val="nil"/>
              <w:left w:val="nil"/>
              <w:bottom w:val="single" w:color="000000" w:sz="4" w:space="0"/>
              <w:right w:val="single" w:color="000000" w:sz="4" w:space="0"/>
            </w:tcBorders>
            <w:noWrap/>
            <w:vAlign w:val="center"/>
          </w:tcPr>
          <w:p w14:paraId="1DDE394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30</w:t>
            </w:r>
          </w:p>
        </w:tc>
        <w:tc>
          <w:tcPr>
            <w:tcW w:w="1080" w:type="dxa"/>
            <w:tcBorders>
              <w:top w:val="nil"/>
              <w:left w:val="nil"/>
              <w:bottom w:val="single" w:color="000000" w:sz="4" w:space="0"/>
              <w:right w:val="single" w:color="000000" w:sz="4" w:space="0"/>
            </w:tcBorders>
            <w:noWrap/>
            <w:vAlign w:val="center"/>
          </w:tcPr>
          <w:p w14:paraId="29112A1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26</w:t>
            </w:r>
          </w:p>
        </w:tc>
        <w:tc>
          <w:tcPr>
            <w:tcW w:w="1110" w:type="dxa"/>
            <w:tcBorders>
              <w:top w:val="nil"/>
              <w:left w:val="nil"/>
              <w:bottom w:val="single" w:color="000000" w:sz="4" w:space="0"/>
              <w:right w:val="single" w:color="000000" w:sz="4" w:space="0"/>
            </w:tcBorders>
            <w:noWrap/>
            <w:vAlign w:val="center"/>
          </w:tcPr>
          <w:p w14:paraId="331698F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127</w:t>
            </w:r>
          </w:p>
        </w:tc>
      </w:tr>
    </w:tbl>
    <w:p w14:paraId="6D686713">
      <w:pPr>
        <w:spacing w:line="360" w:lineRule="auto"/>
        <w:rPr>
          <w:rFonts w:hint="default" w:ascii="Times New Roman" w:hAnsi="Times New Roman" w:eastAsia="方正仿宋_GBK" w:cs="Times New Roman"/>
          <w:b/>
          <w:bCs/>
          <w:color w:val="000000"/>
          <w:sz w:val="32"/>
          <w:szCs w:val="32"/>
          <w:highlight w:val="none"/>
        </w:rPr>
        <w:sectPr>
          <w:pgSz w:w="16840" w:h="11900" w:orient="landscape"/>
          <w:pgMar w:top="1134" w:right="1440" w:bottom="1134" w:left="1440" w:header="920" w:footer="454" w:gutter="0"/>
          <w:pgNumType w:fmt="decimal"/>
          <w:cols w:space="720" w:num="1"/>
          <w:docGrid w:type="lines" w:linePitch="1" w:charSpace="0"/>
        </w:sectPr>
      </w:pPr>
    </w:p>
    <w:p w14:paraId="0C4AE5CC">
      <w:pPr>
        <w:pStyle w:val="2"/>
        <w:rPr>
          <w:rFonts w:hint="eastAsia"/>
          <w:color w:val="auto"/>
          <w:highlight w:val="none"/>
          <w:lang w:val="en-US" w:eastAsia="zh-CN"/>
        </w:rPr>
      </w:pPr>
    </w:p>
    <w:p w14:paraId="1524D210">
      <w:pPr>
        <w:keepNext/>
        <w:keepLines/>
        <w:numPr>
          <w:ilvl w:val="0"/>
          <w:numId w:val="4"/>
        </w:numPr>
        <w:snapToGrid w:val="0"/>
        <w:spacing w:before="340" w:after="330" w:line="576" w:lineRule="auto"/>
        <w:jc w:val="center"/>
        <w:outlineLvl w:val="0"/>
        <w:rPr>
          <w:rFonts w:hint="eastAsia" w:ascii="宋体" w:hAnsi="宋体" w:eastAsia="宋体" w:cs="宋体"/>
          <w:b/>
          <w:color w:val="auto"/>
          <w:sz w:val="44"/>
          <w:highlight w:val="none"/>
        </w:rPr>
      </w:pPr>
      <w:bookmarkStart w:id="161" w:name="_Toc32714"/>
      <w:bookmarkStart w:id="162" w:name="_Toc4184"/>
      <w:bookmarkStart w:id="163" w:name="_Toc1890"/>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161"/>
      <w:bookmarkEnd w:id="162"/>
      <w:bookmarkEnd w:id="163"/>
    </w:p>
    <w:p w14:paraId="63B2A9C9">
      <w:pPr>
        <w:snapToGrid w:val="0"/>
        <w:spacing w:line="360" w:lineRule="auto"/>
        <w:ind w:firstLine="482"/>
        <w:jc w:val="left"/>
        <w:rPr>
          <w:rFonts w:hint="eastAsia" w:ascii="宋体" w:hAnsi="宋体" w:eastAsia="宋体" w:cs="宋体"/>
          <w:color w:val="auto"/>
          <w:sz w:val="24"/>
          <w:highlight w:val="none"/>
        </w:rPr>
      </w:pPr>
    </w:p>
    <w:p w14:paraId="4711BFF4">
      <w:pPr>
        <w:pStyle w:val="7"/>
        <w:rPr>
          <w:rFonts w:hint="eastAsia" w:ascii="宋体" w:hAnsi="宋体" w:eastAsia="宋体" w:cs="宋体"/>
          <w:color w:val="auto"/>
          <w:highlight w:val="none"/>
        </w:rPr>
      </w:pPr>
    </w:p>
    <w:p w14:paraId="3CB16C0B">
      <w:pPr>
        <w:rPr>
          <w:rFonts w:hint="eastAsia" w:ascii="宋体" w:hAnsi="宋体" w:eastAsia="宋体" w:cs="宋体"/>
          <w:color w:val="auto"/>
          <w:highlight w:val="none"/>
        </w:rPr>
        <w:sectPr>
          <w:headerReference r:id="rId8" w:type="default"/>
          <w:footerReference r:id="rId9" w:type="default"/>
          <w:pgSz w:w="12240" w:h="15840"/>
          <w:pgMar w:top="1440" w:right="1080" w:bottom="1440" w:left="1080" w:header="680" w:footer="680" w:gutter="0"/>
          <w:pgNumType w:fmt="decimal"/>
          <w:cols w:space="720" w:num="1"/>
          <w:docGrid w:linePitch="360" w:charSpace="0"/>
        </w:sectPr>
      </w:pPr>
    </w:p>
    <w:p w14:paraId="66A523D8">
      <w:pPr>
        <w:pStyle w:val="7"/>
        <w:rPr>
          <w:rFonts w:hint="eastAsia" w:ascii="宋体" w:hAnsi="宋体" w:eastAsia="宋体" w:cs="宋体"/>
          <w:color w:val="auto"/>
          <w:highlight w:val="none"/>
        </w:rPr>
      </w:pPr>
    </w:p>
    <w:p w14:paraId="38DCBA07">
      <w:pPr>
        <w:rPr>
          <w:rFonts w:hint="eastAsia" w:ascii="宋体" w:hAnsi="宋体" w:eastAsia="宋体" w:cs="宋体"/>
          <w:color w:val="auto"/>
          <w:highlight w:val="none"/>
        </w:rPr>
      </w:pPr>
    </w:p>
    <w:p w14:paraId="2C35FD7B">
      <w:pPr>
        <w:pStyle w:val="2"/>
        <w:rPr>
          <w:rFonts w:hint="eastAsia" w:ascii="宋体" w:hAnsi="宋体" w:eastAsia="宋体" w:cs="宋体"/>
          <w:color w:val="auto"/>
          <w:highlight w:val="none"/>
        </w:rPr>
      </w:pPr>
    </w:p>
    <w:p w14:paraId="79963D29">
      <w:pPr>
        <w:spacing w:line="360" w:lineRule="auto"/>
        <w:jc w:val="center"/>
        <w:rPr>
          <w:rFonts w:hint="eastAsia" w:ascii="方正小标宋_GBK" w:hAnsi="方正小标宋_GBK" w:eastAsia="方正小标宋_GBK" w:cs="方正小标宋_GBK"/>
          <w:b/>
          <w:bCs/>
          <w:sz w:val="52"/>
          <w:szCs w:val="52"/>
          <w:highlight w:val="none"/>
        </w:rPr>
      </w:pPr>
      <w:r>
        <w:rPr>
          <w:rFonts w:hint="eastAsia" w:ascii="方正小标宋_GBK" w:hAnsi="方正小标宋_GBK" w:eastAsia="方正小标宋_GBK" w:cs="方正小标宋_GBK"/>
          <w:b/>
          <w:bCs/>
          <w:sz w:val="52"/>
          <w:szCs w:val="52"/>
          <w:highlight w:val="none"/>
        </w:rPr>
        <w:t>XXX项目</w:t>
      </w:r>
    </w:p>
    <w:p w14:paraId="4597918F">
      <w:pPr>
        <w:pStyle w:val="7"/>
        <w:jc w:val="center"/>
        <w:rPr>
          <w:rFonts w:eastAsia="方正小标宋_GBK"/>
          <w:sz w:val="84"/>
          <w:szCs w:val="84"/>
          <w:highlight w:val="none"/>
        </w:rPr>
      </w:pPr>
      <w:r>
        <w:rPr>
          <w:rFonts w:eastAsia="方正小标宋_GBK"/>
          <w:sz w:val="84"/>
          <w:szCs w:val="84"/>
          <w:highlight w:val="none"/>
        </w:rPr>
        <w:t>资格文件</w:t>
      </w:r>
    </w:p>
    <w:p w14:paraId="02007173">
      <w:pPr>
        <w:pStyle w:val="7"/>
        <w:rPr>
          <w:rFonts w:eastAsia="方正仿宋_GBK"/>
          <w:b w:val="0"/>
          <w:bCs w:val="0"/>
          <w:highlight w:val="none"/>
        </w:rPr>
      </w:pPr>
    </w:p>
    <w:p w14:paraId="4F213AF8">
      <w:pPr>
        <w:rPr>
          <w:highlight w:val="none"/>
        </w:rPr>
      </w:pPr>
    </w:p>
    <w:p w14:paraId="3AE40DF4">
      <w:pPr>
        <w:pStyle w:val="3"/>
        <w:rPr>
          <w:highlight w:val="none"/>
        </w:rPr>
      </w:pPr>
    </w:p>
    <w:p w14:paraId="580F574E">
      <w:pPr>
        <w:pStyle w:val="4"/>
        <w:rPr>
          <w:highlight w:val="none"/>
        </w:rPr>
      </w:pPr>
    </w:p>
    <w:p w14:paraId="2D14B891">
      <w:pPr>
        <w:rPr>
          <w:highlight w:val="none"/>
        </w:rPr>
      </w:pPr>
    </w:p>
    <w:p w14:paraId="0ABC77D2">
      <w:pPr>
        <w:pStyle w:val="3"/>
        <w:rPr>
          <w:highlight w:val="none"/>
        </w:rPr>
      </w:pPr>
    </w:p>
    <w:p w14:paraId="74D0D0CA">
      <w:pPr>
        <w:pStyle w:val="4"/>
        <w:rPr>
          <w:highlight w:val="none"/>
        </w:rPr>
      </w:pPr>
    </w:p>
    <w:p w14:paraId="2B9BB88F">
      <w:pPr>
        <w:rPr>
          <w:highlight w:val="none"/>
        </w:rPr>
      </w:pPr>
    </w:p>
    <w:p w14:paraId="0789A114">
      <w:pPr>
        <w:pStyle w:val="3"/>
        <w:rPr>
          <w:highlight w:val="none"/>
        </w:rPr>
      </w:pPr>
    </w:p>
    <w:p w14:paraId="01BDD1D0">
      <w:pPr>
        <w:spacing w:line="360" w:lineRule="auto"/>
        <w:rPr>
          <w:rFonts w:eastAsia="方正仿宋_GBK"/>
          <w:b/>
          <w:bCs/>
          <w:sz w:val="32"/>
          <w:szCs w:val="32"/>
          <w:highlight w:val="none"/>
        </w:rPr>
      </w:pPr>
    </w:p>
    <w:p w14:paraId="061B44A1">
      <w:pPr>
        <w:spacing w:line="360" w:lineRule="auto"/>
        <w:rPr>
          <w:rFonts w:eastAsia="方正仿宋_GBK"/>
          <w:b/>
          <w:bCs/>
          <w:sz w:val="32"/>
          <w:szCs w:val="32"/>
          <w:highlight w:val="none"/>
        </w:rPr>
      </w:pPr>
    </w:p>
    <w:p w14:paraId="3D5B9A8C">
      <w:pPr>
        <w:spacing w:line="360" w:lineRule="auto"/>
        <w:rPr>
          <w:rFonts w:eastAsia="方正仿宋_GBK"/>
          <w:b/>
          <w:bCs/>
          <w:sz w:val="32"/>
          <w:szCs w:val="32"/>
          <w:highlight w:val="none"/>
        </w:rPr>
      </w:pPr>
    </w:p>
    <w:p w14:paraId="63F3BCBA">
      <w:pPr>
        <w:spacing w:line="360" w:lineRule="auto"/>
        <w:rPr>
          <w:rFonts w:eastAsia="方正仿宋_GBK"/>
          <w:b/>
          <w:bCs/>
          <w:sz w:val="32"/>
          <w:szCs w:val="32"/>
          <w:highlight w:val="none"/>
        </w:rPr>
      </w:pPr>
    </w:p>
    <w:p w14:paraId="4E1426CE">
      <w:pPr>
        <w:spacing w:line="360" w:lineRule="auto"/>
        <w:rPr>
          <w:rFonts w:eastAsia="方正仿宋_GBK"/>
          <w:b/>
          <w:bCs/>
          <w:sz w:val="32"/>
          <w:szCs w:val="32"/>
          <w:highlight w:val="none"/>
        </w:rPr>
      </w:pPr>
    </w:p>
    <w:p w14:paraId="4476C0A7">
      <w:pPr>
        <w:spacing w:line="360" w:lineRule="auto"/>
        <w:ind w:firstLine="1920" w:firstLineChars="600"/>
        <w:rPr>
          <w:rFonts w:eastAsia="方正仿宋_GBK"/>
          <w:sz w:val="32"/>
          <w:szCs w:val="32"/>
          <w:highlight w:val="none"/>
        </w:rPr>
      </w:pPr>
      <w:r>
        <w:rPr>
          <w:rFonts w:eastAsia="方正仿宋_GBK"/>
          <w:sz w:val="32"/>
          <w:szCs w:val="32"/>
          <w:highlight w:val="none"/>
        </w:rPr>
        <w:t>比选单位：XXX（盖章）</w:t>
      </w:r>
    </w:p>
    <w:p w14:paraId="3AA40290">
      <w:pPr>
        <w:pStyle w:val="7"/>
        <w:ind w:firstLine="1920" w:firstLineChars="600"/>
        <w:rPr>
          <w:rFonts w:eastAsia="方正仿宋_GBK"/>
          <w:b w:val="0"/>
          <w:bCs w:val="0"/>
          <w:highlight w:val="none"/>
        </w:rPr>
      </w:pPr>
      <w:r>
        <w:rPr>
          <w:rFonts w:eastAsia="方正仿宋_GBK"/>
          <w:b w:val="0"/>
          <w:bCs w:val="0"/>
          <w:highlight w:val="none"/>
        </w:rPr>
        <w:t>日    期：   年   月  日</w:t>
      </w:r>
    </w:p>
    <w:p w14:paraId="6B0B18BB">
      <w:pPr>
        <w:spacing w:line="360" w:lineRule="auto"/>
        <w:rPr>
          <w:rFonts w:eastAsia="方正小标宋_GBK"/>
          <w:b/>
          <w:bCs/>
          <w:sz w:val="52"/>
          <w:szCs w:val="52"/>
          <w:highlight w:val="none"/>
        </w:rPr>
      </w:pPr>
      <w:r>
        <w:rPr>
          <w:rFonts w:eastAsia="方正小标宋_GBK"/>
          <w:b/>
          <w:bCs/>
          <w:sz w:val="52"/>
          <w:szCs w:val="52"/>
          <w:highlight w:val="none"/>
        </w:rPr>
        <w:br w:type="page"/>
      </w:r>
    </w:p>
    <w:p w14:paraId="18A8885A">
      <w:pPr>
        <w:pStyle w:val="7"/>
        <w:jc w:val="center"/>
        <w:rPr>
          <w:rFonts w:eastAsia="方正仿宋_GBK"/>
          <w:highlight w:val="none"/>
        </w:rPr>
      </w:pPr>
      <w:r>
        <w:rPr>
          <w:rFonts w:eastAsia="方正仿宋_GBK"/>
          <w:highlight w:val="none"/>
        </w:rPr>
        <w:t>资格文件目录</w:t>
      </w:r>
    </w:p>
    <w:p w14:paraId="1F29E8C8">
      <w:pPr>
        <w:spacing w:line="600" w:lineRule="exact"/>
        <w:jc w:val="left"/>
        <w:rPr>
          <w:rFonts w:eastAsia="方正仿宋_GBK"/>
          <w:sz w:val="32"/>
          <w:szCs w:val="32"/>
          <w:highlight w:val="none"/>
        </w:rPr>
      </w:pPr>
      <w:r>
        <w:rPr>
          <w:rFonts w:hint="eastAsia" w:eastAsia="方正仿宋_GBK"/>
          <w:sz w:val="32"/>
          <w:szCs w:val="32"/>
          <w:highlight w:val="none"/>
          <w:lang w:eastAsia="zh-CN"/>
        </w:rPr>
        <w:t>1.</w:t>
      </w:r>
      <w:r>
        <w:rPr>
          <w:rFonts w:eastAsia="方正仿宋_GBK"/>
          <w:sz w:val="32"/>
          <w:szCs w:val="32"/>
          <w:highlight w:val="none"/>
        </w:rPr>
        <w:t>营业执照复印件</w:t>
      </w:r>
    </w:p>
    <w:p w14:paraId="58532E20">
      <w:pPr>
        <w:spacing w:line="600" w:lineRule="exact"/>
        <w:jc w:val="left"/>
        <w:rPr>
          <w:rFonts w:eastAsia="方正仿宋_GBK"/>
          <w:sz w:val="32"/>
          <w:szCs w:val="32"/>
          <w:highlight w:val="none"/>
        </w:rPr>
      </w:pPr>
      <w:r>
        <w:rPr>
          <w:rFonts w:hint="eastAsia" w:eastAsia="方正仿宋_GBK"/>
          <w:sz w:val="32"/>
          <w:szCs w:val="32"/>
          <w:highlight w:val="none"/>
          <w:lang w:eastAsia="zh-CN"/>
        </w:rPr>
        <w:t>2.</w:t>
      </w:r>
      <w:r>
        <w:rPr>
          <w:rFonts w:eastAsia="方正仿宋_GBK"/>
          <w:sz w:val="32"/>
          <w:szCs w:val="32"/>
          <w:highlight w:val="none"/>
        </w:rPr>
        <w:t>资质证书</w:t>
      </w:r>
    </w:p>
    <w:p w14:paraId="75B0F6B4">
      <w:pPr>
        <w:spacing w:line="600" w:lineRule="exact"/>
        <w:jc w:val="left"/>
        <w:rPr>
          <w:rFonts w:eastAsia="方正仿宋_GBK"/>
          <w:sz w:val="32"/>
          <w:szCs w:val="32"/>
          <w:highlight w:val="none"/>
        </w:rPr>
      </w:pPr>
      <w:r>
        <w:rPr>
          <w:rFonts w:hint="eastAsia" w:eastAsia="方正仿宋_GBK"/>
          <w:sz w:val="32"/>
          <w:szCs w:val="32"/>
          <w:highlight w:val="none"/>
          <w:lang w:eastAsia="zh-CN"/>
        </w:rPr>
        <w:t>3.</w:t>
      </w:r>
      <w:r>
        <w:rPr>
          <w:rFonts w:eastAsia="方正仿宋_GBK"/>
          <w:sz w:val="32"/>
          <w:szCs w:val="32"/>
          <w:highlight w:val="none"/>
        </w:rPr>
        <w:t>承诺函</w:t>
      </w:r>
    </w:p>
    <w:p w14:paraId="01B95D23">
      <w:pPr>
        <w:spacing w:line="600" w:lineRule="exact"/>
        <w:jc w:val="left"/>
        <w:rPr>
          <w:rFonts w:eastAsia="方正仿宋_GBK"/>
          <w:sz w:val="32"/>
          <w:szCs w:val="32"/>
          <w:highlight w:val="none"/>
        </w:rPr>
      </w:pPr>
      <w:r>
        <w:rPr>
          <w:rFonts w:hint="eastAsia" w:eastAsia="方正仿宋_GBK"/>
          <w:sz w:val="32"/>
          <w:szCs w:val="32"/>
          <w:highlight w:val="none"/>
          <w:lang w:eastAsia="zh-CN"/>
        </w:rPr>
        <w:t>4.</w:t>
      </w:r>
      <w:r>
        <w:rPr>
          <w:rFonts w:eastAsia="方正仿宋_GBK"/>
          <w:sz w:val="32"/>
          <w:szCs w:val="32"/>
          <w:highlight w:val="none"/>
        </w:rPr>
        <w:t>法定代表人资格证明书</w:t>
      </w:r>
    </w:p>
    <w:p w14:paraId="00501689">
      <w:pPr>
        <w:spacing w:line="600" w:lineRule="exact"/>
        <w:jc w:val="left"/>
        <w:rPr>
          <w:rFonts w:eastAsia="方正仿宋_GBK"/>
          <w:sz w:val="32"/>
          <w:szCs w:val="32"/>
          <w:highlight w:val="none"/>
        </w:rPr>
      </w:pPr>
      <w:r>
        <w:rPr>
          <w:rFonts w:hint="eastAsia" w:eastAsia="方正仿宋_GBK"/>
          <w:sz w:val="32"/>
          <w:szCs w:val="32"/>
          <w:highlight w:val="none"/>
          <w:lang w:eastAsia="zh-CN"/>
        </w:rPr>
        <w:t>5.</w:t>
      </w:r>
      <w:r>
        <w:rPr>
          <w:rFonts w:eastAsia="方正仿宋_GBK"/>
          <w:sz w:val="32"/>
          <w:szCs w:val="32"/>
          <w:highlight w:val="none"/>
        </w:rPr>
        <w:t>法定代表人授权委托书</w:t>
      </w:r>
    </w:p>
    <w:p w14:paraId="3CFCFE62">
      <w:pPr>
        <w:spacing w:line="600" w:lineRule="exact"/>
        <w:jc w:val="left"/>
        <w:rPr>
          <w:rFonts w:eastAsia="方正仿宋_GBK"/>
          <w:sz w:val="32"/>
          <w:szCs w:val="32"/>
          <w:highlight w:val="none"/>
        </w:rPr>
      </w:pPr>
      <w:r>
        <w:rPr>
          <w:rFonts w:hint="eastAsia" w:eastAsia="方正仿宋_GBK"/>
          <w:sz w:val="32"/>
          <w:szCs w:val="32"/>
          <w:highlight w:val="none"/>
          <w:lang w:eastAsia="zh-CN"/>
        </w:rPr>
        <w:t>6.</w:t>
      </w:r>
      <w:r>
        <w:rPr>
          <w:rFonts w:eastAsia="方正仿宋_GBK"/>
          <w:sz w:val="32"/>
          <w:szCs w:val="32"/>
          <w:highlight w:val="none"/>
        </w:rPr>
        <w:t>信用信息报告</w:t>
      </w:r>
    </w:p>
    <w:p w14:paraId="3F2C6C7A">
      <w:pPr>
        <w:spacing w:line="600" w:lineRule="exact"/>
        <w:jc w:val="left"/>
        <w:rPr>
          <w:rFonts w:eastAsia="方正仿宋_GBK"/>
          <w:sz w:val="32"/>
          <w:szCs w:val="32"/>
          <w:highlight w:val="none"/>
        </w:rPr>
      </w:pPr>
      <w:r>
        <w:rPr>
          <w:rFonts w:hint="eastAsia" w:eastAsia="方正仿宋_GBK"/>
          <w:sz w:val="32"/>
          <w:szCs w:val="32"/>
          <w:highlight w:val="none"/>
          <w:lang w:eastAsia="zh-CN"/>
        </w:rPr>
        <w:t>7.</w:t>
      </w:r>
      <w:r>
        <w:rPr>
          <w:rFonts w:eastAsia="方正仿宋_GBK"/>
          <w:sz w:val="32"/>
          <w:szCs w:val="32"/>
          <w:highlight w:val="none"/>
        </w:rPr>
        <w:t>投标保证金缴纳凭证</w:t>
      </w:r>
    </w:p>
    <w:p w14:paraId="4A3F5006">
      <w:pPr>
        <w:spacing w:line="600" w:lineRule="exact"/>
        <w:jc w:val="left"/>
        <w:rPr>
          <w:rFonts w:eastAsia="方正仿宋_GBK"/>
          <w:sz w:val="32"/>
          <w:szCs w:val="32"/>
          <w:highlight w:val="none"/>
        </w:rPr>
      </w:pPr>
      <w:r>
        <w:rPr>
          <w:rFonts w:hint="eastAsia" w:eastAsia="方正仿宋_GBK"/>
          <w:sz w:val="32"/>
          <w:szCs w:val="32"/>
          <w:highlight w:val="none"/>
          <w:lang w:eastAsia="zh-CN"/>
        </w:rPr>
        <w:t>8.参选人</w:t>
      </w:r>
      <w:r>
        <w:rPr>
          <w:rFonts w:eastAsia="方正仿宋_GBK"/>
          <w:sz w:val="32"/>
          <w:szCs w:val="32"/>
          <w:highlight w:val="none"/>
        </w:rPr>
        <w:t>关联关系单位披露表</w:t>
      </w:r>
    </w:p>
    <w:p w14:paraId="7DD09B72">
      <w:pPr>
        <w:spacing w:line="600" w:lineRule="exact"/>
        <w:jc w:val="left"/>
        <w:rPr>
          <w:rFonts w:eastAsia="方正仿宋_GBK"/>
          <w:sz w:val="32"/>
          <w:szCs w:val="32"/>
          <w:highlight w:val="none"/>
        </w:rPr>
      </w:pPr>
      <w:r>
        <w:rPr>
          <w:rFonts w:hint="eastAsia" w:eastAsia="方正仿宋_GBK"/>
          <w:sz w:val="32"/>
          <w:szCs w:val="32"/>
          <w:highlight w:val="none"/>
          <w:lang w:eastAsia="zh-CN"/>
        </w:rPr>
        <w:t>9.</w:t>
      </w:r>
      <w:r>
        <w:rPr>
          <w:rFonts w:eastAsia="方正仿宋_GBK"/>
          <w:sz w:val="32"/>
          <w:szCs w:val="32"/>
          <w:highlight w:val="none"/>
        </w:rPr>
        <w:t>业绩证明材料</w:t>
      </w:r>
    </w:p>
    <w:p w14:paraId="67480D1F">
      <w:pPr>
        <w:spacing w:line="600" w:lineRule="exact"/>
        <w:jc w:val="left"/>
        <w:rPr>
          <w:rFonts w:eastAsia="方正仿宋_GBK"/>
          <w:sz w:val="32"/>
          <w:szCs w:val="32"/>
          <w:highlight w:val="none"/>
        </w:rPr>
      </w:pPr>
      <w:r>
        <w:rPr>
          <w:rFonts w:hint="eastAsia" w:eastAsia="方正仿宋_GBK"/>
          <w:sz w:val="32"/>
          <w:szCs w:val="32"/>
          <w:highlight w:val="none"/>
          <w:lang w:eastAsia="zh-CN"/>
        </w:rPr>
        <w:t>10.</w:t>
      </w:r>
      <w:r>
        <w:rPr>
          <w:rFonts w:eastAsia="方正仿宋_GBK"/>
          <w:sz w:val="32"/>
          <w:szCs w:val="32"/>
          <w:highlight w:val="none"/>
        </w:rPr>
        <w:t>参与项目人员资格证件</w:t>
      </w:r>
    </w:p>
    <w:p w14:paraId="78E54C5F">
      <w:pPr>
        <w:spacing w:line="600" w:lineRule="exact"/>
        <w:jc w:val="left"/>
        <w:rPr>
          <w:rFonts w:eastAsia="方正仿宋_GBK"/>
          <w:sz w:val="32"/>
          <w:szCs w:val="32"/>
          <w:highlight w:val="none"/>
        </w:rPr>
      </w:pPr>
      <w:r>
        <w:rPr>
          <w:rFonts w:hint="eastAsia" w:eastAsia="方正仿宋_GBK"/>
          <w:sz w:val="32"/>
          <w:szCs w:val="32"/>
          <w:highlight w:val="none"/>
          <w:lang w:eastAsia="zh-CN"/>
        </w:rPr>
        <w:t>11.</w:t>
      </w:r>
      <w:r>
        <w:rPr>
          <w:rFonts w:eastAsia="方正仿宋_GBK"/>
          <w:sz w:val="32"/>
          <w:szCs w:val="32"/>
          <w:highlight w:val="none"/>
        </w:rPr>
        <w:t>社保缴纳情况相关资料</w:t>
      </w:r>
    </w:p>
    <w:p w14:paraId="1672C912">
      <w:pPr>
        <w:spacing w:line="600" w:lineRule="exact"/>
        <w:jc w:val="left"/>
        <w:rPr>
          <w:rFonts w:eastAsia="方正仿宋_GBK"/>
          <w:sz w:val="32"/>
          <w:szCs w:val="32"/>
          <w:highlight w:val="none"/>
        </w:rPr>
      </w:pPr>
      <w:r>
        <w:rPr>
          <w:rFonts w:hint="eastAsia" w:eastAsia="方正仿宋_GBK"/>
          <w:sz w:val="32"/>
          <w:szCs w:val="32"/>
          <w:highlight w:val="none"/>
          <w:lang w:eastAsia="zh-CN"/>
        </w:rPr>
        <w:t>12.</w:t>
      </w:r>
      <w:r>
        <w:rPr>
          <w:rFonts w:eastAsia="方正仿宋_GBK"/>
          <w:sz w:val="32"/>
          <w:szCs w:val="32"/>
          <w:highlight w:val="none"/>
        </w:rPr>
        <w:t>需要添加的其他资料</w:t>
      </w:r>
    </w:p>
    <w:p w14:paraId="01B790B3">
      <w:pPr>
        <w:spacing w:line="360" w:lineRule="auto"/>
        <w:jc w:val="left"/>
        <w:rPr>
          <w:rFonts w:eastAsia="方正仿宋_GBK"/>
          <w:b/>
          <w:bCs/>
          <w:sz w:val="32"/>
          <w:szCs w:val="32"/>
          <w:highlight w:val="none"/>
        </w:rPr>
      </w:pPr>
    </w:p>
    <w:p w14:paraId="4A281D04">
      <w:pPr>
        <w:spacing w:line="360" w:lineRule="auto"/>
        <w:rPr>
          <w:rFonts w:eastAsia="方正仿宋_GBK"/>
          <w:b/>
          <w:bCs/>
          <w:sz w:val="32"/>
          <w:szCs w:val="32"/>
          <w:highlight w:val="none"/>
        </w:rPr>
      </w:pPr>
    </w:p>
    <w:p w14:paraId="4F653290">
      <w:pPr>
        <w:spacing w:line="360" w:lineRule="auto"/>
        <w:rPr>
          <w:rFonts w:eastAsia="方正仿宋_GBK"/>
          <w:b/>
          <w:bCs/>
          <w:sz w:val="32"/>
          <w:szCs w:val="32"/>
          <w:highlight w:val="none"/>
        </w:rPr>
        <w:sectPr>
          <w:headerReference r:id="rId10" w:type="default"/>
          <w:footerReference r:id="rId11" w:type="default"/>
          <w:type w:val="continuous"/>
          <w:pgSz w:w="11900" w:h="16840"/>
          <w:pgMar w:top="1440" w:right="1134" w:bottom="1440" w:left="1134" w:header="920" w:footer="0" w:gutter="0"/>
          <w:pgNumType w:fmt="decimal"/>
          <w:cols w:space="720" w:num="1"/>
          <w:docGrid w:type="lines" w:linePitch="1" w:charSpace="0"/>
        </w:sectPr>
      </w:pPr>
    </w:p>
    <w:p w14:paraId="754F3EA7">
      <w:pPr>
        <w:spacing w:line="360" w:lineRule="auto"/>
        <w:rPr>
          <w:rFonts w:eastAsia="方正仿宋_GBK"/>
          <w:b/>
          <w:bCs/>
          <w:sz w:val="32"/>
          <w:szCs w:val="32"/>
          <w:highlight w:val="none"/>
        </w:rPr>
      </w:pPr>
      <w:r>
        <w:rPr>
          <w:rFonts w:hint="eastAsia" w:eastAsia="方正仿宋_GBK"/>
          <w:b/>
          <w:bCs/>
          <w:sz w:val="32"/>
          <w:szCs w:val="32"/>
          <w:highlight w:val="none"/>
          <w:lang w:eastAsia="zh-CN"/>
        </w:rPr>
        <w:t>1.</w:t>
      </w:r>
      <w:r>
        <w:rPr>
          <w:rFonts w:eastAsia="方正仿宋_GBK"/>
          <w:b/>
          <w:bCs/>
          <w:sz w:val="32"/>
          <w:szCs w:val="32"/>
          <w:highlight w:val="none"/>
        </w:rPr>
        <w:t>营业执照复印件</w:t>
      </w:r>
    </w:p>
    <w:p w14:paraId="49C5B5D3">
      <w:pPr>
        <w:spacing w:line="360" w:lineRule="auto"/>
        <w:rPr>
          <w:rFonts w:eastAsia="方正仿宋_GBK"/>
          <w:sz w:val="28"/>
          <w:szCs w:val="28"/>
          <w:highlight w:val="none"/>
        </w:rPr>
      </w:pPr>
      <w:r>
        <w:rPr>
          <w:rFonts w:eastAsia="方正仿宋_GBK"/>
          <w:sz w:val="28"/>
          <w:szCs w:val="28"/>
          <w:highlight w:val="none"/>
        </w:rPr>
        <w:t>格式自拟</w:t>
      </w:r>
    </w:p>
    <w:p w14:paraId="4D28189D">
      <w:pPr>
        <w:spacing w:line="360" w:lineRule="auto"/>
        <w:rPr>
          <w:rFonts w:eastAsia="方正仿宋_GBK"/>
          <w:b/>
          <w:bCs/>
          <w:sz w:val="32"/>
          <w:szCs w:val="32"/>
          <w:highlight w:val="none"/>
        </w:rPr>
      </w:pPr>
    </w:p>
    <w:p w14:paraId="3AC46EC7">
      <w:pPr>
        <w:spacing w:line="360" w:lineRule="auto"/>
        <w:rPr>
          <w:rFonts w:eastAsia="方正仿宋_GBK"/>
          <w:b/>
          <w:bCs/>
          <w:sz w:val="32"/>
          <w:szCs w:val="32"/>
          <w:highlight w:val="none"/>
        </w:rPr>
      </w:pPr>
    </w:p>
    <w:p w14:paraId="121C85DC">
      <w:pPr>
        <w:spacing w:line="360" w:lineRule="auto"/>
        <w:rPr>
          <w:rFonts w:eastAsia="方正仿宋_GBK"/>
          <w:b/>
          <w:bCs/>
          <w:sz w:val="32"/>
          <w:szCs w:val="32"/>
          <w:highlight w:val="none"/>
        </w:rPr>
      </w:pPr>
      <w:r>
        <w:rPr>
          <w:rFonts w:hint="eastAsia" w:eastAsia="方正仿宋_GBK"/>
          <w:b/>
          <w:bCs/>
          <w:sz w:val="32"/>
          <w:szCs w:val="32"/>
          <w:highlight w:val="none"/>
          <w:lang w:eastAsia="zh-CN"/>
        </w:rPr>
        <w:t>2.</w:t>
      </w:r>
      <w:r>
        <w:rPr>
          <w:rFonts w:eastAsia="方正仿宋_GBK"/>
          <w:b/>
          <w:bCs/>
          <w:sz w:val="32"/>
          <w:szCs w:val="32"/>
          <w:highlight w:val="none"/>
        </w:rPr>
        <w:t>公司资质证书</w:t>
      </w:r>
    </w:p>
    <w:p w14:paraId="7E44A953">
      <w:pPr>
        <w:spacing w:line="360" w:lineRule="auto"/>
        <w:rPr>
          <w:highlight w:val="none"/>
        </w:rPr>
      </w:pPr>
      <w:r>
        <w:rPr>
          <w:rFonts w:eastAsia="方正仿宋_GBK"/>
          <w:sz w:val="28"/>
          <w:szCs w:val="28"/>
          <w:highlight w:val="none"/>
        </w:rPr>
        <w:t>格式自拟需包含：</w:t>
      </w:r>
    </w:p>
    <w:p w14:paraId="50DF8123">
      <w:pPr>
        <w:spacing w:line="560" w:lineRule="exact"/>
        <w:rPr>
          <w:rFonts w:eastAsia="方正仿宋_GBK"/>
          <w:sz w:val="28"/>
          <w:szCs w:val="28"/>
          <w:highlight w:val="none"/>
        </w:rPr>
      </w:pPr>
      <w:r>
        <w:rPr>
          <w:rFonts w:eastAsia="方正仿宋_GBK"/>
          <w:sz w:val="28"/>
          <w:szCs w:val="28"/>
          <w:highlight w:val="none"/>
        </w:rPr>
        <w:t>（1）资质证明文件。</w:t>
      </w:r>
    </w:p>
    <w:p w14:paraId="3E6972B9">
      <w:pPr>
        <w:spacing w:line="440" w:lineRule="exact"/>
        <w:rPr>
          <w:rFonts w:eastAsia="方正仿宋_GBK"/>
          <w:sz w:val="28"/>
          <w:szCs w:val="28"/>
          <w:highlight w:val="none"/>
        </w:rPr>
      </w:pPr>
    </w:p>
    <w:p w14:paraId="510AFC19">
      <w:pPr>
        <w:spacing w:line="440" w:lineRule="exact"/>
        <w:rPr>
          <w:rFonts w:eastAsia="方正仿宋_GBK"/>
          <w:sz w:val="24"/>
          <w:highlight w:val="none"/>
        </w:rPr>
      </w:pPr>
    </w:p>
    <w:p w14:paraId="2468CF6C">
      <w:pPr>
        <w:pStyle w:val="2"/>
        <w:rPr>
          <w:rFonts w:ascii="Times New Roman" w:hAnsi="Times New Roman" w:eastAsia="方正仿宋_GBK"/>
          <w:szCs w:val="28"/>
          <w:highlight w:val="none"/>
        </w:rPr>
        <w:sectPr>
          <w:pgSz w:w="11900" w:h="16840"/>
          <w:pgMar w:top="1440" w:right="1134" w:bottom="1440" w:left="1134" w:header="920" w:footer="0" w:gutter="0"/>
          <w:pgNumType w:fmt="decimal"/>
          <w:cols w:space="720" w:num="1"/>
          <w:docGrid w:type="lines" w:linePitch="1" w:charSpace="0"/>
        </w:sectPr>
      </w:pPr>
    </w:p>
    <w:p w14:paraId="1CEC5787">
      <w:pPr>
        <w:rPr>
          <w:rFonts w:eastAsia="方正仿宋_GBK"/>
          <w:b/>
          <w:bCs/>
          <w:sz w:val="32"/>
          <w:szCs w:val="32"/>
          <w:highlight w:val="none"/>
        </w:rPr>
      </w:pPr>
      <w:r>
        <w:rPr>
          <w:rFonts w:hint="eastAsia" w:eastAsia="方正仿宋_GBK"/>
          <w:b/>
          <w:bCs/>
          <w:sz w:val="32"/>
          <w:szCs w:val="32"/>
          <w:highlight w:val="none"/>
          <w:lang w:eastAsia="zh-CN"/>
        </w:rPr>
        <w:t>3.</w:t>
      </w:r>
      <w:r>
        <w:rPr>
          <w:rFonts w:eastAsia="方正仿宋_GBK"/>
          <w:b/>
          <w:bCs/>
          <w:sz w:val="32"/>
          <w:szCs w:val="32"/>
          <w:highlight w:val="none"/>
        </w:rPr>
        <w:t>承诺函</w:t>
      </w:r>
      <w:r>
        <w:rPr>
          <w:rFonts w:eastAsia="方正仿宋_GBK"/>
          <w:sz w:val="32"/>
          <w:szCs w:val="32"/>
          <w:highlight w:val="none"/>
        </w:rPr>
        <w:t>（本页文字格式和内容不得删减和添加）</w:t>
      </w:r>
    </w:p>
    <w:p w14:paraId="35AAD654">
      <w:pPr>
        <w:rPr>
          <w:highlight w:val="none"/>
        </w:rPr>
      </w:pPr>
    </w:p>
    <w:p w14:paraId="18E28C9A">
      <w:pPr>
        <w:jc w:val="center"/>
        <w:rPr>
          <w:rFonts w:eastAsia="方正仿宋_GBK"/>
          <w:b/>
          <w:bCs/>
          <w:sz w:val="36"/>
          <w:szCs w:val="36"/>
          <w:highlight w:val="none"/>
        </w:rPr>
      </w:pPr>
      <w:r>
        <w:rPr>
          <w:rFonts w:eastAsia="方正仿宋_GBK"/>
          <w:b/>
          <w:bCs/>
          <w:sz w:val="36"/>
          <w:szCs w:val="36"/>
          <w:highlight w:val="none"/>
        </w:rPr>
        <w:t>承  诺  函</w:t>
      </w:r>
    </w:p>
    <w:p w14:paraId="6EBC9BD9">
      <w:pPr>
        <w:rPr>
          <w:szCs w:val="28"/>
          <w:highlight w:val="none"/>
        </w:rPr>
      </w:pPr>
    </w:p>
    <w:p w14:paraId="6F547808">
      <w:pPr>
        <w:spacing w:line="360" w:lineRule="auto"/>
        <w:rPr>
          <w:rFonts w:eastAsia="方正仿宋_GBK"/>
          <w:sz w:val="28"/>
          <w:szCs w:val="28"/>
          <w:highlight w:val="none"/>
        </w:rPr>
      </w:pPr>
      <w:r>
        <w:rPr>
          <w:rFonts w:eastAsia="方正仿宋_GBK"/>
          <w:sz w:val="28"/>
          <w:szCs w:val="28"/>
          <w:highlight w:val="none"/>
        </w:rPr>
        <w:t>致：重庆通邑卫士智慧生活服务有限公司</w:t>
      </w:r>
    </w:p>
    <w:p w14:paraId="21F50EBB">
      <w:pPr>
        <w:spacing w:line="560" w:lineRule="exact"/>
        <w:rPr>
          <w:rFonts w:eastAsia="方正仿宋_GBK"/>
          <w:sz w:val="28"/>
          <w:szCs w:val="28"/>
          <w:highlight w:val="none"/>
        </w:rPr>
      </w:pPr>
    </w:p>
    <w:p w14:paraId="243325CD">
      <w:pPr>
        <w:spacing w:line="560" w:lineRule="exact"/>
        <w:ind w:firstLine="560" w:firstLineChars="200"/>
        <w:rPr>
          <w:rFonts w:eastAsia="方正仿宋_GBK"/>
          <w:color w:val="FF0000"/>
          <w:sz w:val="28"/>
          <w:szCs w:val="28"/>
          <w:highlight w:val="none"/>
        </w:rPr>
      </w:pPr>
      <w:r>
        <w:rPr>
          <w:rFonts w:eastAsia="方正仿宋_GBK"/>
          <w:sz w:val="28"/>
          <w:szCs w:val="28"/>
          <w:highlight w:val="none"/>
        </w:rPr>
        <w:t>根据比选邀请函要求，</w:t>
      </w:r>
      <w:r>
        <w:rPr>
          <w:rFonts w:eastAsia="方正仿宋_GBK"/>
          <w:sz w:val="28"/>
          <w:szCs w:val="28"/>
          <w:highlight w:val="none"/>
          <w:u w:val="single"/>
        </w:rPr>
        <w:t xml:space="preserve">                      （比选人公司名称） </w:t>
      </w:r>
      <w:r>
        <w:rPr>
          <w:rFonts w:eastAsia="方正仿宋_GBK"/>
          <w:sz w:val="28"/>
          <w:szCs w:val="28"/>
          <w:highlight w:val="none"/>
        </w:rPr>
        <w:t>郑重承诺：我司具有独立承担民事责任的能力、具有良好的商业信誉和健全的财务会计制度、具有履行合同所必需的设备和专业技术能力、具有依法缴纳税收和社会保障资金的良好记录和</w:t>
      </w:r>
      <w:r>
        <w:rPr>
          <w:rFonts w:eastAsia="方正仿宋_GBK"/>
          <w:color w:val="FF0000"/>
          <w:sz w:val="28"/>
          <w:szCs w:val="28"/>
          <w:highlight w:val="none"/>
        </w:rPr>
        <w:t>具备良好的商业信誉，参加本次招标前三年内，在经营活动中没有重大违法行为。</w:t>
      </w:r>
    </w:p>
    <w:p w14:paraId="174A6548">
      <w:pPr>
        <w:spacing w:line="560" w:lineRule="exact"/>
        <w:ind w:firstLine="560" w:firstLineChars="200"/>
        <w:rPr>
          <w:rFonts w:eastAsia="方正仿宋_GBK"/>
          <w:sz w:val="28"/>
          <w:szCs w:val="28"/>
          <w:highlight w:val="none"/>
        </w:rPr>
      </w:pPr>
      <w:r>
        <w:rPr>
          <w:rFonts w:eastAsia="方正仿宋_GBK"/>
          <w:sz w:val="28"/>
          <w:szCs w:val="28"/>
          <w:highlight w:val="none"/>
        </w:rPr>
        <w:t>特此承诺。</w:t>
      </w:r>
    </w:p>
    <w:p w14:paraId="48A2611B">
      <w:pPr>
        <w:rPr>
          <w:rFonts w:eastAsia="方正仿宋_GBK"/>
          <w:sz w:val="28"/>
          <w:szCs w:val="28"/>
          <w:highlight w:val="none"/>
        </w:rPr>
      </w:pPr>
    </w:p>
    <w:p w14:paraId="1188EB00">
      <w:pPr>
        <w:pStyle w:val="7"/>
        <w:rPr>
          <w:highlight w:val="none"/>
        </w:rPr>
      </w:pPr>
    </w:p>
    <w:p w14:paraId="43F2632B">
      <w:pPr>
        <w:ind w:firstLine="560"/>
        <w:rPr>
          <w:szCs w:val="28"/>
          <w:highlight w:val="none"/>
        </w:rPr>
      </w:pPr>
    </w:p>
    <w:p w14:paraId="384BE1BE">
      <w:pPr>
        <w:ind w:firstLine="560"/>
        <w:rPr>
          <w:szCs w:val="28"/>
          <w:highlight w:val="none"/>
        </w:rPr>
      </w:pPr>
    </w:p>
    <w:p w14:paraId="3957B777">
      <w:pPr>
        <w:spacing w:line="360" w:lineRule="auto"/>
        <w:jc w:val="center"/>
        <w:rPr>
          <w:rFonts w:eastAsia="方正仿宋_GBK"/>
          <w:sz w:val="28"/>
          <w:szCs w:val="28"/>
          <w:highlight w:val="none"/>
        </w:rPr>
      </w:pPr>
      <w:r>
        <w:rPr>
          <w:rFonts w:eastAsia="方正仿宋_GBK"/>
          <w:bCs/>
          <w:kern w:val="0"/>
          <w:sz w:val="28"/>
          <w:szCs w:val="28"/>
          <w:highlight w:val="none"/>
        </w:rPr>
        <w:t>比选单位名称（盖章）：</w:t>
      </w:r>
      <w:r>
        <w:rPr>
          <w:rFonts w:eastAsia="方正仿宋_GBK"/>
          <w:bCs/>
          <w:kern w:val="0"/>
          <w:sz w:val="28"/>
          <w:szCs w:val="28"/>
          <w:highlight w:val="none"/>
          <w:u w:val="single"/>
        </w:rPr>
        <w:t xml:space="preserve">                    </w:t>
      </w:r>
      <w:r>
        <w:rPr>
          <w:rFonts w:eastAsia="方正仿宋_GBK"/>
          <w:sz w:val="28"/>
          <w:szCs w:val="28"/>
          <w:highlight w:val="none"/>
        </w:rPr>
        <w:t xml:space="preserve">                                                             </w:t>
      </w:r>
    </w:p>
    <w:p w14:paraId="3757FEDD">
      <w:pPr>
        <w:spacing w:line="360" w:lineRule="auto"/>
        <w:jc w:val="center"/>
        <w:rPr>
          <w:rFonts w:eastAsia="方正仿宋_GBK"/>
          <w:sz w:val="28"/>
          <w:szCs w:val="28"/>
          <w:highlight w:val="none"/>
        </w:rPr>
      </w:pPr>
    </w:p>
    <w:p w14:paraId="75DA44CE">
      <w:pPr>
        <w:spacing w:line="360" w:lineRule="auto"/>
        <w:jc w:val="center"/>
        <w:rPr>
          <w:rFonts w:eastAsia="方正仿宋_GBK"/>
          <w:sz w:val="28"/>
          <w:szCs w:val="28"/>
          <w:highlight w:val="none"/>
        </w:rPr>
      </w:pPr>
      <w:r>
        <w:rPr>
          <w:rFonts w:eastAsia="方正仿宋_GBK"/>
          <w:sz w:val="28"/>
          <w:szCs w:val="28"/>
          <w:highlight w:val="none"/>
        </w:rPr>
        <w:t xml:space="preserve">                                        年  月   日</w:t>
      </w:r>
    </w:p>
    <w:p w14:paraId="002629F9">
      <w:pPr>
        <w:rPr>
          <w:rFonts w:eastAsia="方正仿宋_GBK"/>
          <w:b/>
          <w:bCs/>
          <w:sz w:val="28"/>
          <w:szCs w:val="28"/>
          <w:highlight w:val="none"/>
        </w:rPr>
        <w:sectPr>
          <w:headerReference r:id="rId12" w:type="default"/>
          <w:pgSz w:w="11900" w:h="16840"/>
          <w:pgMar w:top="1440" w:right="1134" w:bottom="1440" w:left="1134" w:header="920" w:footer="454" w:gutter="0"/>
          <w:pgNumType w:fmt="decimal"/>
          <w:cols w:space="720" w:num="1"/>
          <w:docGrid w:type="lines" w:linePitch="1" w:charSpace="0"/>
        </w:sectPr>
      </w:pPr>
    </w:p>
    <w:p w14:paraId="1B551EC5">
      <w:pPr>
        <w:widowControl/>
        <w:spacing w:line="252" w:lineRule="atLeast"/>
        <w:jc w:val="left"/>
        <w:rPr>
          <w:rFonts w:eastAsia="方正仿宋_GBK"/>
          <w:b/>
          <w:bCs/>
          <w:sz w:val="32"/>
          <w:szCs w:val="32"/>
          <w:highlight w:val="none"/>
        </w:rPr>
      </w:pPr>
      <w:r>
        <w:rPr>
          <w:rFonts w:eastAsia="方正仿宋_GBK"/>
          <w:b/>
          <w:bCs/>
          <w:sz w:val="32"/>
          <w:szCs w:val="32"/>
          <w:highlight w:val="none"/>
        </w:rPr>
        <w:t>4-1、法定代表人资格证明书（附件4-1与4-2根据参选单位实际情况只能填写一个附件）</w:t>
      </w:r>
    </w:p>
    <w:p w14:paraId="63BF7B4B">
      <w:pPr>
        <w:jc w:val="center"/>
        <w:rPr>
          <w:rFonts w:eastAsia="方正小标宋_GBK"/>
          <w:b/>
          <w:bCs/>
          <w:sz w:val="36"/>
          <w:szCs w:val="36"/>
          <w:highlight w:val="none"/>
        </w:rPr>
      </w:pPr>
    </w:p>
    <w:p w14:paraId="7F214B6D">
      <w:pPr>
        <w:tabs>
          <w:tab w:val="left" w:pos="2835"/>
        </w:tabs>
        <w:rPr>
          <w:rFonts w:eastAsia="方正小标宋_GBK"/>
          <w:b/>
          <w:bCs/>
          <w:sz w:val="36"/>
          <w:szCs w:val="36"/>
          <w:highlight w:val="none"/>
        </w:rPr>
      </w:pPr>
      <w:r>
        <w:rPr>
          <w:rFonts w:eastAsia="方正小标宋_GBK"/>
          <w:b/>
          <w:bCs/>
          <w:sz w:val="36"/>
          <w:szCs w:val="36"/>
          <w:highlight w:val="none"/>
        </w:rPr>
        <w:tab/>
      </w:r>
    </w:p>
    <w:p w14:paraId="4E06BD96">
      <w:pPr>
        <w:jc w:val="center"/>
        <w:rPr>
          <w:rFonts w:eastAsia="方正小标宋_GBK"/>
          <w:b/>
          <w:bCs/>
          <w:sz w:val="36"/>
          <w:szCs w:val="36"/>
          <w:highlight w:val="none"/>
        </w:rPr>
      </w:pPr>
      <w:r>
        <w:rPr>
          <w:rFonts w:eastAsia="方正小标宋_GBK"/>
          <w:b/>
          <w:bCs/>
          <w:sz w:val="36"/>
          <w:szCs w:val="36"/>
          <w:highlight w:val="none"/>
        </w:rPr>
        <w:t>法定代表人资格证明书</w:t>
      </w:r>
    </w:p>
    <w:p w14:paraId="3E361D79">
      <w:pPr>
        <w:pStyle w:val="7"/>
        <w:rPr>
          <w:rFonts w:eastAsia="方正仿宋_GBK"/>
          <w:b w:val="0"/>
          <w:kern w:val="0"/>
          <w:sz w:val="28"/>
          <w:szCs w:val="28"/>
          <w:highlight w:val="none"/>
        </w:rPr>
      </w:pPr>
      <w:r>
        <w:rPr>
          <w:rFonts w:eastAsia="方正小标宋_GBK"/>
          <w:sz w:val="36"/>
          <w:szCs w:val="36"/>
          <w:highlight w:val="none"/>
        </w:rPr>
        <w:t xml:space="preserve">   </w:t>
      </w:r>
      <w:r>
        <w:rPr>
          <w:rFonts w:eastAsia="方正小标宋_GBK"/>
          <w:sz w:val="36"/>
          <w:szCs w:val="36"/>
          <w:highlight w:val="none"/>
          <w:u w:val="single"/>
        </w:rPr>
        <w:t xml:space="preserve">          </w:t>
      </w:r>
      <w:r>
        <w:rPr>
          <w:rFonts w:eastAsia="方正仿宋_GBK"/>
          <w:b w:val="0"/>
          <w:kern w:val="0"/>
          <w:sz w:val="28"/>
          <w:szCs w:val="28"/>
          <w:highlight w:val="none"/>
        </w:rPr>
        <w:t>（法定代表人姓名）系</w:t>
      </w:r>
      <w:r>
        <w:rPr>
          <w:rFonts w:eastAsia="方正小标宋_GBK"/>
          <w:sz w:val="36"/>
          <w:szCs w:val="36"/>
          <w:highlight w:val="none"/>
          <w:u w:val="single"/>
        </w:rPr>
        <w:t xml:space="preserve">              </w:t>
      </w:r>
      <w:r>
        <w:rPr>
          <w:rFonts w:eastAsia="方正仿宋_GBK"/>
          <w:b w:val="0"/>
          <w:kern w:val="0"/>
          <w:sz w:val="28"/>
          <w:szCs w:val="28"/>
          <w:highlight w:val="none"/>
        </w:rPr>
        <w:t>（比选单位）的法定代表人。</w:t>
      </w:r>
    </w:p>
    <w:p w14:paraId="169B9275">
      <w:pPr>
        <w:ind w:firstLine="722"/>
        <w:rPr>
          <w:rFonts w:eastAsia="方正仿宋_GBK"/>
          <w:bCs/>
          <w:kern w:val="0"/>
          <w:sz w:val="28"/>
          <w:szCs w:val="28"/>
          <w:highlight w:val="none"/>
        </w:rPr>
      </w:pPr>
      <w:r>
        <w:rPr>
          <w:rFonts w:eastAsia="方正仿宋_GBK"/>
          <w:bCs/>
          <w:kern w:val="0"/>
          <w:sz w:val="28"/>
          <w:szCs w:val="28"/>
          <w:highlight w:val="none"/>
        </w:rPr>
        <w:t>特此证明</w:t>
      </w:r>
    </w:p>
    <w:p w14:paraId="7B6D5CCE">
      <w:pPr>
        <w:pStyle w:val="7"/>
        <w:rPr>
          <w:highlight w:val="none"/>
        </w:rPr>
      </w:pPr>
      <w:r>
        <w:rPr>
          <w:rFonts w:eastAsia="方正仿宋_GBK"/>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-75565</wp:posOffset>
                </wp:positionH>
                <wp:positionV relativeFrom="paragraph">
                  <wp:posOffset>268605</wp:posOffset>
                </wp:positionV>
                <wp:extent cx="6399530" cy="3787775"/>
                <wp:effectExtent l="6350" t="6350" r="13970" b="15875"/>
                <wp:wrapNone/>
                <wp:docPr id="19" name="文本框 19"/>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44B1085C">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3EEA3D08">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98.25pt;width:503.9pt;z-index:251667456;mso-width-relative:page;mso-height-relative:page;" fillcolor="#FFFFFF" filled="t" stroked="t" coordsize="21600,21600" o:gfxdata="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Hy9i3AAAAAoBAAAPAAAA&#10;AAAAAAEAIAAAACIAAABkcnMvZG93bnJldi54bWxQSwECFAAUAAAACACHTuJATgJnpRECAABHBAAA&#10;DgAAAAAAAAABACAAAAArAQAAZHJzL2Uyb0RvYy54bWxQSwUGAAAAAAYABgBZAQAArgUAAAAA&#10;">
                <v:fill on="t" focussize="0,0"/>
                <v:stroke weight="1pt" color="#000000" joinstyle="miter" dashstyle="dash"/>
                <v:imagedata o:title=""/>
                <o:lock v:ext="edit" aspectratio="f"/>
                <v:textbox>
                  <w:txbxContent>
                    <w:p w14:paraId="44B1085C">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3EEA3D08">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5FC1D167">
      <w:pPr>
        <w:pStyle w:val="7"/>
        <w:ind w:firstLine="722"/>
        <w:rPr>
          <w:highlight w:val="none"/>
        </w:rPr>
      </w:pPr>
    </w:p>
    <w:p w14:paraId="194C3EC2">
      <w:pPr>
        <w:widowControl/>
        <w:spacing w:before="100" w:beforeAutospacing="1" w:after="100" w:afterAutospacing="1" w:line="252" w:lineRule="atLeast"/>
        <w:rPr>
          <w:rFonts w:eastAsia="方正仿宋_GBK"/>
          <w:bCs/>
          <w:kern w:val="0"/>
          <w:sz w:val="28"/>
          <w:szCs w:val="28"/>
          <w:highlight w:val="none"/>
        </w:rPr>
      </w:pPr>
    </w:p>
    <w:p w14:paraId="4D5750C2">
      <w:pPr>
        <w:widowControl/>
        <w:spacing w:before="100" w:beforeAutospacing="1" w:after="100" w:afterAutospacing="1" w:line="252" w:lineRule="atLeast"/>
        <w:jc w:val="center"/>
        <w:rPr>
          <w:rFonts w:eastAsia="方正仿宋_GBK"/>
          <w:bCs/>
          <w:kern w:val="0"/>
          <w:sz w:val="28"/>
          <w:szCs w:val="28"/>
          <w:highlight w:val="none"/>
        </w:rPr>
      </w:pPr>
    </w:p>
    <w:p w14:paraId="29FCDD74">
      <w:pPr>
        <w:widowControl/>
        <w:spacing w:before="100" w:beforeAutospacing="1" w:after="100" w:afterAutospacing="1" w:line="252" w:lineRule="atLeast"/>
        <w:jc w:val="center"/>
        <w:rPr>
          <w:rFonts w:eastAsia="方正仿宋_GBK"/>
          <w:bCs/>
          <w:kern w:val="0"/>
          <w:sz w:val="28"/>
          <w:szCs w:val="28"/>
          <w:highlight w:val="none"/>
        </w:rPr>
      </w:pPr>
    </w:p>
    <w:p w14:paraId="0C595355">
      <w:pPr>
        <w:widowControl/>
        <w:spacing w:before="100" w:beforeAutospacing="1" w:after="100" w:afterAutospacing="1" w:line="252" w:lineRule="atLeast"/>
        <w:jc w:val="center"/>
        <w:rPr>
          <w:rFonts w:eastAsia="方正仿宋_GBK"/>
          <w:bCs/>
          <w:kern w:val="0"/>
          <w:sz w:val="28"/>
          <w:szCs w:val="28"/>
          <w:highlight w:val="none"/>
        </w:rPr>
      </w:pPr>
    </w:p>
    <w:p w14:paraId="5AE8D7FB">
      <w:pPr>
        <w:pStyle w:val="7"/>
        <w:tabs>
          <w:tab w:val="left" w:pos="5649"/>
        </w:tabs>
        <w:rPr>
          <w:rFonts w:eastAsia="方正仿宋_GBK"/>
          <w:kern w:val="0"/>
          <w:sz w:val="28"/>
          <w:szCs w:val="28"/>
          <w:highlight w:val="none"/>
        </w:rPr>
      </w:pPr>
    </w:p>
    <w:p w14:paraId="22F7909E">
      <w:pPr>
        <w:rPr>
          <w:highlight w:val="none"/>
        </w:rPr>
      </w:pPr>
    </w:p>
    <w:p w14:paraId="1B5C42DA">
      <w:pPr>
        <w:widowControl/>
        <w:spacing w:before="100" w:beforeAutospacing="1" w:after="100" w:afterAutospacing="1" w:line="252" w:lineRule="atLeast"/>
        <w:jc w:val="center"/>
        <w:rPr>
          <w:rFonts w:eastAsia="方正仿宋_GBK"/>
          <w:bCs/>
          <w:kern w:val="0"/>
          <w:sz w:val="28"/>
          <w:szCs w:val="28"/>
          <w:highlight w:val="none"/>
        </w:rPr>
      </w:pPr>
    </w:p>
    <w:p w14:paraId="62B860FB">
      <w:pPr>
        <w:widowControl/>
        <w:spacing w:before="100" w:beforeAutospacing="1" w:after="100" w:afterAutospacing="1" w:line="252" w:lineRule="atLeast"/>
        <w:jc w:val="center"/>
        <w:rPr>
          <w:rFonts w:eastAsia="方正仿宋_GBK"/>
          <w:bCs/>
          <w:kern w:val="0"/>
          <w:sz w:val="28"/>
          <w:szCs w:val="28"/>
          <w:highlight w:val="none"/>
        </w:rPr>
      </w:pPr>
    </w:p>
    <w:p w14:paraId="5A2FBD25">
      <w:pPr>
        <w:widowControl/>
        <w:spacing w:before="100" w:beforeAutospacing="1" w:after="100" w:afterAutospacing="1" w:line="252" w:lineRule="atLeast"/>
        <w:jc w:val="center"/>
        <w:rPr>
          <w:rFonts w:eastAsia="方正仿宋_GBK"/>
          <w:bCs/>
          <w:kern w:val="0"/>
          <w:sz w:val="28"/>
          <w:szCs w:val="28"/>
          <w:highlight w:val="none"/>
        </w:rPr>
      </w:pPr>
    </w:p>
    <w:p w14:paraId="2800DFA3">
      <w:pPr>
        <w:widowControl/>
        <w:spacing w:before="100" w:beforeAutospacing="1" w:after="100" w:afterAutospacing="1" w:line="252" w:lineRule="atLeast"/>
        <w:jc w:val="center"/>
        <w:rPr>
          <w:rFonts w:eastAsia="方正仿宋_GBK"/>
          <w:bCs/>
          <w:kern w:val="0"/>
          <w:sz w:val="28"/>
          <w:szCs w:val="28"/>
          <w:highlight w:val="none"/>
        </w:rPr>
      </w:pPr>
    </w:p>
    <w:p w14:paraId="285583CA">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比选单位名称（盖章）：</w:t>
      </w:r>
    </w:p>
    <w:p w14:paraId="7A7567A9">
      <w:pPr>
        <w:pStyle w:val="7"/>
        <w:rPr>
          <w:highlight w:val="none"/>
        </w:rPr>
        <w:sectPr>
          <w:pgSz w:w="11900" w:h="16840"/>
          <w:pgMar w:top="1440" w:right="1134" w:bottom="1440" w:left="1134" w:header="920" w:footer="454" w:gutter="0"/>
          <w:pgNumType w:fmt="decimal"/>
          <w:cols w:space="720" w:num="1"/>
          <w:docGrid w:type="lines" w:linePitch="1" w:charSpace="0"/>
        </w:sectPr>
      </w:pPr>
      <w:r>
        <w:rPr>
          <w:rFonts w:eastAsia="方正仿宋_GBK"/>
          <w:b w:val="0"/>
          <w:kern w:val="0"/>
          <w:sz w:val="28"/>
          <w:szCs w:val="28"/>
          <w:highlight w:val="none"/>
        </w:rPr>
        <w:t xml:space="preserve">                                       日期：</w:t>
      </w:r>
    </w:p>
    <w:p w14:paraId="140B68D7">
      <w:pPr>
        <w:widowControl/>
        <w:spacing w:line="252" w:lineRule="atLeast"/>
        <w:jc w:val="left"/>
        <w:rPr>
          <w:rFonts w:eastAsia="方正仿宋_GBK"/>
          <w:b/>
          <w:bCs/>
          <w:sz w:val="32"/>
          <w:szCs w:val="32"/>
          <w:highlight w:val="none"/>
        </w:rPr>
      </w:pPr>
      <w:r>
        <w:rPr>
          <w:rFonts w:eastAsia="方正仿宋_GBK"/>
          <w:b/>
          <w:bCs/>
          <w:sz w:val="32"/>
          <w:szCs w:val="32"/>
          <w:highlight w:val="none"/>
        </w:rPr>
        <w:t>4-2、法定代表人资格证明书（附件4-1与4-2根据参选单位实际情况只能填写一个附件）</w:t>
      </w:r>
    </w:p>
    <w:p w14:paraId="71BBDF49">
      <w:pPr>
        <w:rPr>
          <w:rFonts w:eastAsia="方正小标宋_GBK"/>
          <w:b/>
          <w:bCs/>
          <w:sz w:val="36"/>
          <w:szCs w:val="36"/>
          <w:highlight w:val="none"/>
        </w:rPr>
      </w:pPr>
    </w:p>
    <w:p w14:paraId="666BE9F6">
      <w:pPr>
        <w:jc w:val="center"/>
        <w:rPr>
          <w:rFonts w:eastAsia="方正小标宋_GBK"/>
          <w:b/>
          <w:bCs/>
          <w:sz w:val="36"/>
          <w:szCs w:val="36"/>
          <w:highlight w:val="none"/>
        </w:rPr>
      </w:pPr>
      <w:r>
        <w:rPr>
          <w:rFonts w:eastAsia="方正小标宋_GBK"/>
          <w:b/>
          <w:bCs/>
          <w:sz w:val="36"/>
          <w:szCs w:val="36"/>
          <w:highlight w:val="none"/>
        </w:rPr>
        <w:t>法定代表人资格证明书</w:t>
      </w:r>
    </w:p>
    <w:p w14:paraId="22F4C360">
      <w:pPr>
        <w:pStyle w:val="7"/>
        <w:rPr>
          <w:rFonts w:eastAsia="方正仿宋_GBK"/>
          <w:b w:val="0"/>
          <w:kern w:val="0"/>
          <w:sz w:val="28"/>
          <w:szCs w:val="28"/>
          <w:highlight w:val="none"/>
        </w:rPr>
      </w:pPr>
      <w:r>
        <w:rPr>
          <w:rFonts w:eastAsia="方正小标宋_GBK"/>
          <w:sz w:val="36"/>
          <w:szCs w:val="36"/>
          <w:highlight w:val="none"/>
        </w:rPr>
        <w:t xml:space="preserve">    </w:t>
      </w:r>
      <w:r>
        <w:rPr>
          <w:rFonts w:eastAsia="方正小标宋_GBK"/>
          <w:sz w:val="36"/>
          <w:szCs w:val="36"/>
          <w:highlight w:val="none"/>
          <w:u w:val="single"/>
        </w:rPr>
        <w:t xml:space="preserve">          </w:t>
      </w:r>
      <w:r>
        <w:rPr>
          <w:rFonts w:eastAsia="方正仿宋_GBK"/>
          <w:b w:val="0"/>
          <w:kern w:val="0"/>
          <w:sz w:val="28"/>
          <w:szCs w:val="28"/>
          <w:highlight w:val="none"/>
        </w:rPr>
        <w:t>（法定代表人姓名）系</w:t>
      </w:r>
      <w:r>
        <w:rPr>
          <w:rFonts w:eastAsia="方正小标宋_GBK"/>
          <w:sz w:val="36"/>
          <w:szCs w:val="36"/>
          <w:highlight w:val="none"/>
          <w:u w:val="single"/>
        </w:rPr>
        <w:t xml:space="preserve">              </w:t>
      </w:r>
      <w:r>
        <w:rPr>
          <w:rFonts w:eastAsia="方正仿宋_GBK"/>
          <w:b w:val="0"/>
          <w:kern w:val="0"/>
          <w:sz w:val="28"/>
          <w:szCs w:val="28"/>
          <w:highlight w:val="none"/>
        </w:rPr>
        <w:t>（比选单位）的法定代表人（）。</w:t>
      </w:r>
    </w:p>
    <w:p w14:paraId="3B7030F0">
      <w:pPr>
        <w:ind w:firstLine="722"/>
        <w:rPr>
          <w:rFonts w:eastAsia="方正仿宋_GBK"/>
          <w:bCs/>
          <w:kern w:val="0"/>
          <w:sz w:val="28"/>
          <w:szCs w:val="28"/>
          <w:highlight w:val="none"/>
        </w:rPr>
      </w:pPr>
      <w:r>
        <w:rPr>
          <w:rFonts w:eastAsia="方正仿宋_GBK"/>
          <w:bCs/>
          <w:kern w:val="0"/>
          <w:sz w:val="28"/>
          <w:szCs w:val="28"/>
          <w:highlight w:val="none"/>
        </w:rPr>
        <w:t>特此证明</w:t>
      </w:r>
    </w:p>
    <w:p w14:paraId="3DEABE96">
      <w:pPr>
        <w:pStyle w:val="7"/>
        <w:rPr>
          <w:highlight w:val="none"/>
        </w:rPr>
      </w:pPr>
      <w:r>
        <w:rPr>
          <w:rFonts w:eastAsia="方正仿宋_GBK"/>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-75565</wp:posOffset>
                </wp:positionH>
                <wp:positionV relativeFrom="paragraph">
                  <wp:posOffset>268605</wp:posOffset>
                </wp:positionV>
                <wp:extent cx="6399530" cy="3491865"/>
                <wp:effectExtent l="6350" t="6350" r="13970" b="6985"/>
                <wp:wrapNone/>
                <wp:docPr id="20" name="文本框 20"/>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1C09D468">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570D19D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503.9pt;z-index:251666432;mso-width-relative:page;mso-height-relative:page;" fillcolor="#FFFFFF" filled="t" stroked="t" coordsize="21600,21600" o:gfxdata="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cBYbDbAAAACgEAAA8AAAAA&#10;AAAAAQAgAAAAIgAAAGRycy9kb3ducmV2LnhtbFBLAQIUABQAAAAIAIdO4kDmnh3EEQIAAEcEAAAO&#10;AAAAAAAAAAEAIAAAACoBAABkcnMvZTJvRG9jLnhtbFBLBQYAAAAABgAGAFkBAACtBQAAAAA=&#10;">
                <v:fill on="t" focussize="0,0"/>
                <v:stroke weight="1pt" color="#000000" joinstyle="miter" dashstyle="dash"/>
                <v:imagedata o:title=""/>
                <o:lock v:ext="edit" aspectratio="f"/>
                <v:textbox>
                  <w:txbxContent>
                    <w:p w14:paraId="1C09D468">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570D19D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3631AC7D">
      <w:pPr>
        <w:pStyle w:val="7"/>
        <w:ind w:firstLine="722"/>
        <w:rPr>
          <w:highlight w:val="none"/>
        </w:rPr>
      </w:pPr>
    </w:p>
    <w:p w14:paraId="1A4963F7">
      <w:pPr>
        <w:widowControl/>
        <w:spacing w:before="100" w:beforeAutospacing="1" w:after="100" w:afterAutospacing="1" w:line="252" w:lineRule="atLeast"/>
        <w:rPr>
          <w:rFonts w:eastAsia="方正仿宋_GBK"/>
          <w:bCs/>
          <w:kern w:val="0"/>
          <w:sz w:val="28"/>
          <w:szCs w:val="28"/>
          <w:highlight w:val="none"/>
        </w:rPr>
      </w:pPr>
    </w:p>
    <w:p w14:paraId="22C6F6B8">
      <w:pPr>
        <w:widowControl/>
        <w:spacing w:before="100" w:beforeAutospacing="1" w:after="100" w:afterAutospacing="1" w:line="252" w:lineRule="atLeast"/>
        <w:jc w:val="center"/>
        <w:rPr>
          <w:rFonts w:eastAsia="方正仿宋_GBK"/>
          <w:bCs/>
          <w:kern w:val="0"/>
          <w:sz w:val="28"/>
          <w:szCs w:val="28"/>
          <w:highlight w:val="none"/>
        </w:rPr>
      </w:pPr>
    </w:p>
    <w:p w14:paraId="3D5650BC">
      <w:pPr>
        <w:widowControl/>
        <w:spacing w:before="100" w:beforeAutospacing="1" w:after="100" w:afterAutospacing="1" w:line="252" w:lineRule="atLeast"/>
        <w:jc w:val="center"/>
        <w:rPr>
          <w:rFonts w:eastAsia="方正仿宋_GBK"/>
          <w:bCs/>
          <w:kern w:val="0"/>
          <w:sz w:val="28"/>
          <w:szCs w:val="28"/>
          <w:highlight w:val="none"/>
        </w:rPr>
      </w:pPr>
    </w:p>
    <w:p w14:paraId="24034648">
      <w:pPr>
        <w:widowControl/>
        <w:spacing w:before="100" w:beforeAutospacing="1" w:after="100" w:afterAutospacing="1" w:line="252" w:lineRule="atLeast"/>
        <w:jc w:val="center"/>
        <w:rPr>
          <w:rFonts w:eastAsia="方正仿宋_GBK"/>
          <w:bCs/>
          <w:kern w:val="0"/>
          <w:sz w:val="28"/>
          <w:szCs w:val="28"/>
          <w:highlight w:val="none"/>
        </w:rPr>
      </w:pPr>
    </w:p>
    <w:p w14:paraId="2C6EC338">
      <w:pPr>
        <w:pStyle w:val="7"/>
        <w:tabs>
          <w:tab w:val="left" w:pos="5649"/>
        </w:tabs>
        <w:rPr>
          <w:rFonts w:eastAsia="方正仿宋_GBK"/>
          <w:kern w:val="0"/>
          <w:sz w:val="28"/>
          <w:szCs w:val="28"/>
          <w:highlight w:val="none"/>
        </w:rPr>
      </w:pPr>
    </w:p>
    <w:p w14:paraId="34E2FF41">
      <w:pPr>
        <w:rPr>
          <w:highlight w:val="none"/>
        </w:rPr>
      </w:pPr>
    </w:p>
    <w:p w14:paraId="2EE1B97E">
      <w:pPr>
        <w:widowControl/>
        <w:spacing w:before="100" w:beforeAutospacing="1" w:after="100" w:afterAutospacing="1" w:line="252" w:lineRule="atLeast"/>
        <w:jc w:val="center"/>
        <w:rPr>
          <w:rFonts w:eastAsia="方正仿宋_GBK"/>
          <w:bCs/>
          <w:kern w:val="0"/>
          <w:sz w:val="28"/>
          <w:szCs w:val="28"/>
          <w:highlight w:val="none"/>
        </w:rPr>
      </w:pPr>
    </w:p>
    <w:p w14:paraId="7F5FDCE6">
      <w:pPr>
        <w:widowControl/>
        <w:spacing w:before="100" w:beforeAutospacing="1" w:after="100" w:afterAutospacing="1" w:line="252" w:lineRule="atLeast"/>
        <w:jc w:val="center"/>
        <w:rPr>
          <w:rFonts w:eastAsia="方正仿宋_GBK"/>
          <w:bCs/>
          <w:kern w:val="0"/>
          <w:sz w:val="28"/>
          <w:szCs w:val="28"/>
          <w:highlight w:val="none"/>
        </w:rPr>
      </w:pPr>
    </w:p>
    <w:p w14:paraId="24B2E673">
      <w:pPr>
        <w:widowControl/>
        <w:spacing w:before="100" w:beforeAutospacing="1" w:after="100" w:afterAutospacing="1" w:line="252" w:lineRule="atLeast"/>
        <w:jc w:val="center"/>
        <w:rPr>
          <w:rFonts w:eastAsia="方正仿宋_GBK"/>
          <w:bCs/>
          <w:kern w:val="0"/>
          <w:sz w:val="28"/>
          <w:szCs w:val="28"/>
          <w:highlight w:val="none"/>
        </w:rPr>
      </w:pPr>
    </w:p>
    <w:p w14:paraId="3E2A3D66">
      <w:pPr>
        <w:widowControl/>
        <w:spacing w:before="100" w:beforeAutospacing="1" w:after="100" w:afterAutospacing="1" w:line="252" w:lineRule="atLeast"/>
        <w:jc w:val="center"/>
        <w:rPr>
          <w:rFonts w:eastAsia="方正仿宋_GBK"/>
          <w:bCs/>
          <w:kern w:val="0"/>
          <w:sz w:val="28"/>
          <w:szCs w:val="28"/>
          <w:highlight w:val="none"/>
        </w:rPr>
      </w:pPr>
    </w:p>
    <w:p w14:paraId="3F4E41D7">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比选单位名称（盖章）：</w:t>
      </w:r>
    </w:p>
    <w:p w14:paraId="6B973E3D">
      <w:pPr>
        <w:pStyle w:val="7"/>
        <w:rPr>
          <w:rFonts w:eastAsia="方正仿宋_GBK"/>
          <w:sz w:val="28"/>
          <w:szCs w:val="28"/>
          <w:highlight w:val="none"/>
        </w:rPr>
        <w:sectPr>
          <w:pgSz w:w="11900" w:h="16840"/>
          <w:pgMar w:top="1440" w:right="1134" w:bottom="1440" w:left="1134" w:header="920" w:footer="454" w:gutter="0"/>
          <w:pgNumType w:fmt="decimal"/>
          <w:cols w:space="720" w:num="1"/>
          <w:docGrid w:type="lines" w:linePitch="1" w:charSpace="0"/>
        </w:sectPr>
      </w:pPr>
      <w:r>
        <w:rPr>
          <w:rFonts w:eastAsia="方正仿宋_GBK"/>
          <w:b w:val="0"/>
          <w:kern w:val="0"/>
          <w:sz w:val="28"/>
          <w:szCs w:val="28"/>
          <w:highlight w:val="none"/>
        </w:rPr>
        <w:t xml:space="preserve">                                       日期：</w:t>
      </w:r>
    </w:p>
    <w:p w14:paraId="6547C0DA">
      <w:pPr>
        <w:rPr>
          <w:rFonts w:eastAsia="方正仿宋_GBK"/>
          <w:b/>
          <w:bCs/>
          <w:sz w:val="28"/>
          <w:szCs w:val="28"/>
          <w:highlight w:val="none"/>
        </w:rPr>
      </w:pPr>
      <w:r>
        <w:rPr>
          <w:rFonts w:hint="eastAsia" w:eastAsia="方正仿宋_GBK"/>
          <w:b/>
          <w:bCs/>
          <w:sz w:val="32"/>
          <w:szCs w:val="32"/>
          <w:highlight w:val="none"/>
          <w:lang w:eastAsia="zh-CN"/>
        </w:rPr>
        <w:t>5.</w:t>
      </w:r>
      <w:r>
        <w:rPr>
          <w:rFonts w:eastAsia="方正仿宋_GBK"/>
          <w:b/>
          <w:bCs/>
          <w:sz w:val="32"/>
          <w:szCs w:val="32"/>
          <w:highlight w:val="none"/>
        </w:rPr>
        <w:t>法定代表人授权委托书</w:t>
      </w:r>
      <w:r>
        <w:rPr>
          <w:rFonts w:eastAsia="方正仿宋_GBK"/>
          <w:sz w:val="32"/>
          <w:szCs w:val="32"/>
          <w:highlight w:val="none"/>
        </w:rPr>
        <w:t>（本页文字格式和内容不得删减和添加）</w:t>
      </w:r>
    </w:p>
    <w:p w14:paraId="4C7450E1">
      <w:pPr>
        <w:jc w:val="center"/>
        <w:rPr>
          <w:rFonts w:eastAsia="方正小标宋_GBK"/>
          <w:b/>
          <w:kern w:val="0"/>
          <w:sz w:val="24"/>
          <w:highlight w:val="none"/>
        </w:rPr>
      </w:pPr>
      <w:r>
        <w:rPr>
          <w:rFonts w:eastAsia="方正仿宋_GBK"/>
          <w:sz w:val="28"/>
          <w:szCs w:val="28"/>
          <w:highlight w:val="none"/>
        </w:rPr>
        <w:t xml:space="preserve"> </w:t>
      </w:r>
      <w:r>
        <w:rPr>
          <w:rFonts w:eastAsia="方正小标宋_GBK"/>
          <w:b/>
          <w:bCs/>
          <w:sz w:val="36"/>
          <w:szCs w:val="36"/>
          <w:highlight w:val="none"/>
        </w:rPr>
        <w:t xml:space="preserve">法定代表人授权委托书 </w:t>
      </w:r>
    </w:p>
    <w:p w14:paraId="640E3D73">
      <w:pPr>
        <w:widowControl/>
        <w:snapToGrid w:val="0"/>
        <w:spacing w:before="100" w:beforeAutospacing="1" w:after="100" w:afterAutospacing="1" w:line="360" w:lineRule="auto"/>
        <w:jc w:val="left"/>
        <w:textAlignment w:val="bottom"/>
        <w:rPr>
          <w:rFonts w:eastAsia="方正仿宋_GBK"/>
          <w:bCs/>
          <w:kern w:val="0"/>
          <w:sz w:val="28"/>
          <w:szCs w:val="28"/>
          <w:highlight w:val="none"/>
        </w:rPr>
      </w:pPr>
      <w:r>
        <w:rPr>
          <w:rFonts w:eastAsia="方正仿宋_GBK"/>
          <w:bCs/>
          <w:kern w:val="0"/>
          <w:sz w:val="28"/>
          <w:szCs w:val="28"/>
          <w:highlight w:val="none"/>
        </w:rPr>
        <w:t>     本授权书声明：注册于</w:t>
      </w:r>
      <w:r>
        <w:rPr>
          <w:rFonts w:eastAsia="方正仿宋_GBK"/>
          <w:bCs/>
          <w:iCs/>
          <w:kern w:val="0"/>
          <w:sz w:val="28"/>
          <w:szCs w:val="28"/>
          <w:highlight w:val="none"/>
          <w:u w:val="single"/>
        </w:rPr>
        <w:t xml:space="preserve">                                  （</w:t>
      </w:r>
      <w:r>
        <w:rPr>
          <w:rFonts w:eastAsia="方正仿宋_GBK"/>
          <w:bCs/>
          <w:kern w:val="0"/>
          <w:sz w:val="28"/>
          <w:szCs w:val="28"/>
          <w:highlight w:val="none"/>
          <w:u w:val="single"/>
        </w:rPr>
        <w:t>注册地址）</w:t>
      </w:r>
      <w:r>
        <w:rPr>
          <w:rFonts w:eastAsia="方正仿宋_GBK"/>
          <w:bCs/>
          <w:kern w:val="0"/>
          <w:sz w:val="28"/>
          <w:szCs w:val="28"/>
          <w:highlight w:val="none"/>
        </w:rPr>
        <w:t>的</w:t>
      </w:r>
      <w:r>
        <w:rPr>
          <w:rFonts w:eastAsia="方正仿宋_GBK"/>
          <w:bCs/>
          <w:iCs/>
          <w:kern w:val="0"/>
          <w:sz w:val="28"/>
          <w:szCs w:val="28"/>
          <w:highlight w:val="none"/>
          <w:u w:val="single"/>
        </w:rPr>
        <w:t xml:space="preserve">                   </w:t>
      </w:r>
      <w:r>
        <w:rPr>
          <w:rFonts w:eastAsia="方正仿宋_GBK"/>
          <w:bCs/>
          <w:kern w:val="0"/>
          <w:sz w:val="28"/>
          <w:szCs w:val="28"/>
          <w:highlight w:val="none"/>
          <w:u w:val="single"/>
        </w:rPr>
        <w:t xml:space="preserve">  （公司名称）</w:t>
      </w:r>
      <w:r>
        <w:rPr>
          <w:rFonts w:eastAsia="方正仿宋_GBK"/>
          <w:bCs/>
          <w:kern w:val="0"/>
          <w:sz w:val="28"/>
          <w:szCs w:val="28"/>
          <w:highlight w:val="none"/>
        </w:rPr>
        <w:t>公司的在下面签字的</w:t>
      </w:r>
      <w:r>
        <w:rPr>
          <w:rFonts w:eastAsia="方正仿宋_GBK"/>
          <w:bCs/>
          <w:iCs/>
          <w:kern w:val="0"/>
          <w:sz w:val="28"/>
          <w:szCs w:val="28"/>
          <w:highlight w:val="none"/>
          <w:u w:val="single"/>
        </w:rPr>
        <w:t xml:space="preserve">           </w:t>
      </w:r>
      <w:r>
        <w:rPr>
          <w:rFonts w:eastAsia="方正仿宋_GBK"/>
          <w:bCs/>
          <w:kern w:val="0"/>
          <w:sz w:val="28"/>
          <w:szCs w:val="28"/>
          <w:highlight w:val="none"/>
        </w:rPr>
        <w:t>（法定代表人姓名、职务）代表本公司授权在下面签字的</w:t>
      </w:r>
      <w:r>
        <w:rPr>
          <w:rFonts w:eastAsia="方正仿宋_GBK"/>
          <w:bCs/>
          <w:iCs/>
          <w:kern w:val="0"/>
          <w:sz w:val="28"/>
          <w:szCs w:val="28"/>
          <w:highlight w:val="none"/>
          <w:u w:val="single"/>
        </w:rPr>
        <w:t xml:space="preserve">            （</w:t>
      </w:r>
      <w:r>
        <w:rPr>
          <w:rFonts w:eastAsia="方正仿宋_GBK"/>
          <w:bCs/>
          <w:kern w:val="0"/>
          <w:sz w:val="28"/>
          <w:szCs w:val="28"/>
          <w:highlight w:val="none"/>
        </w:rPr>
        <w:t>被授权人的姓名、职务）为本公司的合法代理人，就</w:t>
      </w:r>
      <w:r>
        <w:rPr>
          <w:rFonts w:eastAsia="方正仿宋_GBK"/>
          <w:bCs/>
          <w:kern w:val="0"/>
          <w:sz w:val="28"/>
          <w:szCs w:val="28"/>
          <w:highlight w:val="none"/>
          <w:u w:val="single"/>
        </w:rPr>
        <w:t xml:space="preserve"> </w:t>
      </w:r>
      <w:r>
        <w:rPr>
          <w:rFonts w:hint="eastAsia" w:eastAsia="方正仿宋_GBK"/>
          <w:bCs/>
          <w:kern w:val="0"/>
          <w:sz w:val="28"/>
          <w:szCs w:val="28"/>
          <w:highlight w:val="none"/>
          <w:u w:val="single"/>
          <w:lang w:eastAsia="zh-CN"/>
        </w:rPr>
        <w:t>2026年度配电</w:t>
      </w:r>
      <w:r>
        <w:rPr>
          <w:rFonts w:eastAsia="方正仿宋_GBK"/>
          <w:bCs/>
          <w:kern w:val="0"/>
          <w:sz w:val="28"/>
          <w:szCs w:val="28"/>
          <w:highlight w:val="none"/>
          <w:u w:val="single"/>
        </w:rPr>
        <w:t xml:space="preserve">维保服务比选 </w:t>
      </w:r>
      <w:r>
        <w:rPr>
          <w:rFonts w:eastAsia="方正仿宋_GBK"/>
          <w:bCs/>
          <w:kern w:val="0"/>
          <w:sz w:val="28"/>
          <w:szCs w:val="28"/>
          <w:highlight w:val="none"/>
        </w:rPr>
        <w:t>项目的报价以及合同的谈判、签约、执行、完成等全权负责，以本公司名义处理一切与之有关的事务。</w:t>
      </w:r>
    </w:p>
    <w:p w14:paraId="0D39F327">
      <w:pPr>
        <w:widowControl/>
        <w:snapToGrid w:val="0"/>
        <w:spacing w:before="100" w:beforeAutospacing="1" w:after="100" w:afterAutospacing="1" w:line="360" w:lineRule="auto"/>
        <w:ind w:firstLine="560" w:firstLineChars="200"/>
        <w:jc w:val="left"/>
        <w:textAlignment w:val="bottom"/>
        <w:rPr>
          <w:rFonts w:eastAsia="方正仿宋_GBK"/>
          <w:bCs/>
          <w:kern w:val="0"/>
          <w:sz w:val="28"/>
          <w:szCs w:val="28"/>
          <w:highlight w:val="none"/>
        </w:rPr>
      </w:pPr>
      <w:r>
        <w:rPr>
          <w:rFonts w:eastAsia="方正仿宋_GBK"/>
          <w:bCs/>
          <w:kern w:val="0"/>
          <w:sz w:val="28"/>
          <w:szCs w:val="28"/>
          <w:highlight w:val="none"/>
        </w:rPr>
        <w:t>本授权书于    年   月   日签字生效，特此声明。</w:t>
      </w:r>
    </w:p>
    <w:p w14:paraId="378B39B1">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 xml:space="preserve">比选单位名称（盖章）：          </w:t>
      </w:r>
    </w:p>
    <w:p w14:paraId="18DFD0EB">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比选单位地址：</w:t>
      </w:r>
    </w:p>
    <w:p w14:paraId="08B7E2D9">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 xml:space="preserve">授权人（法定代表人）签字（或盖章）：                     </w:t>
      </w:r>
    </w:p>
    <w:p w14:paraId="2D68AC4C">
      <w:pPr>
        <w:widowControl/>
        <w:snapToGrid w:val="0"/>
        <w:spacing w:before="100" w:beforeAutospacing="1" w:after="100" w:afterAutospacing="1" w:line="252" w:lineRule="atLeast"/>
        <w:jc w:val="left"/>
        <w:textAlignment w:val="bottom"/>
        <w:rPr>
          <w:rFonts w:eastAsia="方正仿宋_GBK"/>
          <w:bCs/>
          <w:kern w:val="0"/>
          <w:sz w:val="28"/>
          <w:szCs w:val="28"/>
          <w:highlight w:val="none"/>
        </w:rPr>
      </w:pPr>
      <w:r>
        <w:rPr>
          <w:rFonts w:eastAsia="方正仿宋_GBK"/>
          <w:kern w:val="0"/>
          <w:sz w:val="28"/>
          <w:szCs w:val="28"/>
          <w:highlight w:val="none"/>
        </w:rPr>
        <w:t>被授权人（代理人）签字：  </w:t>
      </w:r>
      <w:r>
        <w:rPr>
          <w:rFonts w:eastAsia="方正仿宋_GBK"/>
          <w:kern w:val="0"/>
          <w:sz w:val="32"/>
          <w:szCs w:val="32"/>
          <w:highlight w:val="none"/>
        </w:rPr>
        <w:t> </w:t>
      </w:r>
    </w:p>
    <w:p w14:paraId="52F682E3">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r>
        <w:rPr>
          <w:rFonts w:eastAsia="方正仿宋_GBK"/>
          <w:b/>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3204845</wp:posOffset>
                </wp:positionH>
                <wp:positionV relativeFrom="paragraph">
                  <wp:posOffset>126365</wp:posOffset>
                </wp:positionV>
                <wp:extent cx="3006090" cy="3367405"/>
                <wp:effectExtent l="6350" t="6350" r="16510" b="17145"/>
                <wp:wrapNone/>
                <wp:docPr id="24" name="文本框 24"/>
                <wp:cNvGraphicFramePr/>
                <a:graphic xmlns:a="http://schemas.openxmlformats.org/drawingml/2006/main">
                  <a:graphicData uri="http://schemas.microsoft.com/office/word/2010/wordprocessingShape">
                    <wps:wsp>
                      <wps:cNvSpPr txBox="1"/>
                      <wps:spPr>
                        <a:xfrm>
                          <a:off x="0" y="0"/>
                          <a:ext cx="297180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4889DE1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009D9FF6">
                            <w:pPr>
                              <w:pStyle w:val="7"/>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F97F8F2"/>
                        </w:txbxContent>
                      </wps:txbx>
                      <wps:bodyPr upright="1"/>
                    </wps:wsp>
                  </a:graphicData>
                </a:graphic>
              </wp:anchor>
            </w:drawing>
          </mc:Choice>
          <mc:Fallback>
            <w:pict>
              <v:shape id="_x0000_s1026" o:spid="_x0000_s1026" o:spt="202" type="#_x0000_t202" style="position:absolute;left:0pt;margin-left:252.35pt;margin-top:9.95pt;height:265.15pt;width:236.7pt;z-index:251665408;mso-width-relative:page;mso-height-relative:page;" fillcolor="#FFFFFF" filled="t" stroked="t" coordsize="21600,21600" o:gfxdata="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ERfTLbAAAACgEAAA8A&#10;AAAAAAAAAQAgAAAAIgAAAGRycy9kb3ducmV2LnhtbFBLAQIUABQAAAAIAIdO4kDbG/xVFAIAAEcE&#10;AAAOAAAAAAAAAAEAIAAAACoBAABkcnMvZTJvRG9jLnhtbFBLBQYAAAAABgAGAFkBAACwBQAAAAA=&#10;">
                <v:fill on="t" focussize="0,0"/>
                <v:stroke weight="1pt" color="#000000" joinstyle="miter" dashstyle="dash"/>
                <v:imagedata o:title=""/>
                <o:lock v:ext="edit" aspectratio="f"/>
                <v:textbox>
                  <w:txbxContent>
                    <w:p w14:paraId="4889DE1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009D9FF6">
                      <w:pPr>
                        <w:pStyle w:val="7"/>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F97F8F2"/>
                  </w:txbxContent>
                </v:textbox>
              </v:shape>
            </w:pict>
          </mc:Fallback>
        </mc:AlternateContent>
      </w:r>
      <w:r>
        <w:rPr>
          <w:rFonts w:eastAsia="方正仿宋_GBK"/>
          <w:b/>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80010</wp:posOffset>
                </wp:positionH>
                <wp:positionV relativeFrom="paragraph">
                  <wp:posOffset>128905</wp:posOffset>
                </wp:positionV>
                <wp:extent cx="3006090" cy="3368040"/>
                <wp:effectExtent l="6350" t="6350" r="16510" b="16510"/>
                <wp:wrapNone/>
                <wp:docPr id="25" name="文本框 25"/>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4D49EE98">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39E1AE61">
                            <w:pPr>
                              <w:pStyle w:val="7"/>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E33BB7A">
                            <w:pPr>
                              <w:pStyle w:val="7"/>
                            </w:pPr>
                          </w:p>
                        </w:txbxContent>
                      </wps:txbx>
                      <wps:bodyPr upright="1"/>
                    </wps:wsp>
                  </a:graphicData>
                </a:graphic>
              </wp:anchor>
            </w:drawing>
          </mc:Choice>
          <mc:Fallback>
            <w:pict>
              <v:shape id="_x0000_s1026" o:spid="_x0000_s1026" o:spt="202" type="#_x0000_t202" style="position:absolute;left:0pt;margin-left:6.3pt;margin-top:10.15pt;height:265.2pt;width:236.7pt;z-index:251664384;mso-width-relative:page;mso-height-relative:page;" fillcolor="#FFFFFF" filled="t" stroked="t" coordsize="21600,21600" o:gfxdata="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KNdgNoAAAAJAQAADwAAAAAA&#10;AAABACAAAAAiAAAAZHJzL2Rvd25yZXYueG1sUEsBAhQAFAAAAAgAh07iQI0lLF0RAgAARwQAAA4A&#10;AAAAAAAAAQAgAAAAKQEAAGRycy9lMm9Eb2MueG1sUEsFBgAAAAAGAAYAWQEAAKwFAAAAAA==&#10;">
                <v:fill on="t" focussize="0,0"/>
                <v:stroke weight="1pt" color="#000000" joinstyle="miter" dashstyle="dash"/>
                <v:imagedata o:title=""/>
                <o:lock v:ext="edit" aspectratio="f"/>
                <v:textbox>
                  <w:txbxContent>
                    <w:p w14:paraId="4D49EE98">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39E1AE61">
                      <w:pPr>
                        <w:pStyle w:val="7"/>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E33BB7A">
                      <w:pPr>
                        <w:pStyle w:val="7"/>
                      </w:pPr>
                    </w:p>
                  </w:txbxContent>
                </v:textbox>
              </v:shape>
            </w:pict>
          </mc:Fallback>
        </mc:AlternateContent>
      </w:r>
    </w:p>
    <w:p w14:paraId="17F75E6E">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p>
    <w:p w14:paraId="3CFABBC3">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p>
    <w:p w14:paraId="2C341FD2">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r>
        <w:rPr>
          <w:rFonts w:eastAsia="方正仿宋_GBK"/>
          <w:b/>
          <w:kern w:val="0"/>
          <w:sz w:val="28"/>
          <w:szCs w:val="28"/>
          <w:highlight w:val="none"/>
        </w:rPr>
        <w:t> </w:t>
      </w:r>
    </w:p>
    <w:p w14:paraId="134BE93C">
      <w:pPr>
        <w:widowControl/>
        <w:spacing w:line="252" w:lineRule="atLeast"/>
        <w:jc w:val="left"/>
        <w:rPr>
          <w:rFonts w:eastAsia="方正仿宋_GBK"/>
          <w:b/>
          <w:bCs/>
          <w:sz w:val="32"/>
          <w:szCs w:val="32"/>
          <w:highlight w:val="none"/>
        </w:rPr>
      </w:pPr>
    </w:p>
    <w:p w14:paraId="217D04ED">
      <w:pPr>
        <w:widowControl/>
        <w:spacing w:line="252" w:lineRule="atLeast"/>
        <w:jc w:val="left"/>
        <w:rPr>
          <w:rFonts w:eastAsia="方正仿宋_GBK"/>
          <w:b/>
          <w:bCs/>
          <w:sz w:val="32"/>
          <w:szCs w:val="32"/>
          <w:highlight w:val="none"/>
        </w:rPr>
      </w:pPr>
    </w:p>
    <w:p w14:paraId="2E1631AF">
      <w:pPr>
        <w:widowControl/>
        <w:spacing w:line="252" w:lineRule="atLeast"/>
        <w:jc w:val="left"/>
        <w:rPr>
          <w:rFonts w:eastAsia="方正仿宋_GBK"/>
          <w:b/>
          <w:bCs/>
          <w:sz w:val="32"/>
          <w:szCs w:val="32"/>
          <w:highlight w:val="none"/>
        </w:rPr>
      </w:pPr>
    </w:p>
    <w:p w14:paraId="65D0A743">
      <w:pPr>
        <w:widowControl/>
        <w:spacing w:line="252" w:lineRule="atLeast"/>
        <w:jc w:val="left"/>
        <w:rPr>
          <w:rFonts w:eastAsia="方正仿宋_GBK"/>
          <w:b/>
          <w:bCs/>
          <w:sz w:val="32"/>
          <w:szCs w:val="32"/>
          <w:highlight w:val="none"/>
        </w:rPr>
      </w:pPr>
    </w:p>
    <w:p w14:paraId="6A870124">
      <w:pPr>
        <w:widowControl/>
        <w:spacing w:line="252" w:lineRule="atLeast"/>
        <w:jc w:val="left"/>
        <w:rPr>
          <w:rFonts w:eastAsia="方正仿宋_GBK"/>
          <w:b/>
          <w:bCs/>
          <w:sz w:val="32"/>
          <w:szCs w:val="32"/>
          <w:highlight w:val="none"/>
        </w:rPr>
      </w:pPr>
    </w:p>
    <w:p w14:paraId="0233E41B">
      <w:pPr>
        <w:rPr>
          <w:rFonts w:eastAsia="方正仿宋_GBK"/>
          <w:b/>
          <w:bCs/>
          <w:sz w:val="28"/>
          <w:szCs w:val="28"/>
          <w:highlight w:val="none"/>
        </w:rPr>
        <w:sectPr>
          <w:pgSz w:w="11900" w:h="16840"/>
          <w:pgMar w:top="1440" w:right="1134" w:bottom="1440" w:left="1134" w:header="920" w:footer="283" w:gutter="0"/>
          <w:pgNumType w:fmt="decimal"/>
          <w:cols w:space="720" w:num="1"/>
          <w:docGrid w:type="lines" w:linePitch="1" w:charSpace="0"/>
        </w:sectPr>
      </w:pPr>
    </w:p>
    <w:p w14:paraId="0E77CB9B">
      <w:pPr>
        <w:spacing w:line="600" w:lineRule="exact"/>
        <w:jc w:val="left"/>
        <w:rPr>
          <w:rFonts w:eastAsia="方正仿宋_GBK"/>
          <w:sz w:val="28"/>
          <w:szCs w:val="28"/>
          <w:highlight w:val="none"/>
        </w:rPr>
      </w:pPr>
      <w:r>
        <w:rPr>
          <w:rFonts w:hint="eastAsia" w:eastAsia="方正仿宋_GBK"/>
          <w:b/>
          <w:bCs/>
          <w:sz w:val="32"/>
          <w:szCs w:val="32"/>
          <w:highlight w:val="none"/>
          <w:lang w:eastAsia="zh-CN"/>
        </w:rPr>
        <w:t>6.</w:t>
      </w:r>
      <w:r>
        <w:rPr>
          <w:rFonts w:eastAsia="方正仿宋_GBK"/>
          <w:b/>
          <w:bCs/>
          <w:sz w:val="32"/>
          <w:szCs w:val="32"/>
          <w:highlight w:val="none"/>
        </w:rPr>
        <w:t>信用信息报告。</w:t>
      </w:r>
    </w:p>
    <w:p w14:paraId="1B144F3B">
      <w:pPr>
        <w:rPr>
          <w:rFonts w:eastAsia="方正仿宋_GBK"/>
          <w:sz w:val="28"/>
          <w:szCs w:val="28"/>
          <w:highlight w:val="none"/>
        </w:rPr>
      </w:pPr>
    </w:p>
    <w:p w14:paraId="41F6F0BC">
      <w:pPr>
        <w:spacing w:line="440" w:lineRule="exact"/>
        <w:rPr>
          <w:rFonts w:eastAsia="方正仿宋_GBK"/>
          <w:sz w:val="28"/>
          <w:szCs w:val="28"/>
          <w:highlight w:val="none"/>
        </w:rPr>
      </w:pPr>
      <w:r>
        <w:rPr>
          <w:rFonts w:hint="eastAsia" w:eastAsia="方正仿宋_GBK"/>
          <w:b/>
          <w:bCs/>
          <w:sz w:val="32"/>
          <w:szCs w:val="32"/>
          <w:highlight w:val="none"/>
          <w:lang w:eastAsia="zh-CN"/>
        </w:rPr>
        <w:t>7.</w:t>
      </w:r>
      <w:r>
        <w:rPr>
          <w:rFonts w:eastAsia="方正仿宋_GBK"/>
          <w:b/>
          <w:bCs/>
          <w:sz w:val="32"/>
          <w:szCs w:val="32"/>
          <w:highlight w:val="none"/>
        </w:rPr>
        <w:t>投标保证金缴纳凭证</w:t>
      </w:r>
      <w:r>
        <w:rPr>
          <w:rFonts w:eastAsia="方正仿宋_GBK"/>
          <w:sz w:val="28"/>
          <w:szCs w:val="28"/>
          <w:highlight w:val="none"/>
        </w:rPr>
        <w:t>（格式自拟，加盖公章）。</w:t>
      </w:r>
    </w:p>
    <w:p w14:paraId="16007F3A">
      <w:pPr>
        <w:rPr>
          <w:rFonts w:eastAsia="方正仿宋_GBK"/>
          <w:sz w:val="28"/>
          <w:szCs w:val="28"/>
          <w:highlight w:val="none"/>
        </w:rPr>
      </w:pPr>
    </w:p>
    <w:p w14:paraId="21064494">
      <w:pPr>
        <w:pStyle w:val="7"/>
        <w:rPr>
          <w:rFonts w:eastAsia="方正仿宋_GBK"/>
          <w:sz w:val="28"/>
          <w:szCs w:val="28"/>
          <w:highlight w:val="none"/>
        </w:rPr>
      </w:pPr>
    </w:p>
    <w:p w14:paraId="5096E344">
      <w:pPr>
        <w:rPr>
          <w:rFonts w:eastAsia="方正仿宋_GBK"/>
          <w:sz w:val="28"/>
          <w:szCs w:val="28"/>
          <w:highlight w:val="none"/>
        </w:rPr>
      </w:pPr>
    </w:p>
    <w:p w14:paraId="27A5A199">
      <w:pPr>
        <w:pStyle w:val="7"/>
        <w:rPr>
          <w:rFonts w:eastAsia="方正仿宋_GBK"/>
          <w:sz w:val="28"/>
          <w:szCs w:val="28"/>
          <w:highlight w:val="none"/>
        </w:rPr>
      </w:pPr>
    </w:p>
    <w:p w14:paraId="25590048">
      <w:pPr>
        <w:rPr>
          <w:rFonts w:eastAsia="方正仿宋_GBK"/>
          <w:sz w:val="28"/>
          <w:szCs w:val="28"/>
          <w:highlight w:val="none"/>
        </w:rPr>
      </w:pPr>
    </w:p>
    <w:p w14:paraId="0F6EF19F">
      <w:pPr>
        <w:pStyle w:val="7"/>
        <w:rPr>
          <w:rFonts w:eastAsia="方正仿宋_GBK"/>
          <w:sz w:val="28"/>
          <w:szCs w:val="28"/>
          <w:highlight w:val="none"/>
        </w:rPr>
      </w:pPr>
    </w:p>
    <w:p w14:paraId="56129ABC">
      <w:pPr>
        <w:rPr>
          <w:rFonts w:eastAsia="方正仿宋_GBK"/>
          <w:sz w:val="28"/>
          <w:szCs w:val="28"/>
          <w:highlight w:val="none"/>
        </w:rPr>
      </w:pPr>
    </w:p>
    <w:p w14:paraId="6274E89A">
      <w:pPr>
        <w:pStyle w:val="7"/>
        <w:rPr>
          <w:rFonts w:eastAsia="方正仿宋_GBK"/>
          <w:sz w:val="28"/>
          <w:szCs w:val="28"/>
          <w:highlight w:val="none"/>
        </w:rPr>
      </w:pPr>
    </w:p>
    <w:p w14:paraId="6C8DB672">
      <w:pPr>
        <w:rPr>
          <w:rFonts w:eastAsia="方正仿宋_GBK"/>
          <w:sz w:val="28"/>
          <w:szCs w:val="28"/>
          <w:highlight w:val="none"/>
        </w:rPr>
      </w:pPr>
    </w:p>
    <w:p w14:paraId="79C996C2">
      <w:pPr>
        <w:pStyle w:val="3"/>
        <w:rPr>
          <w:highlight w:val="none"/>
        </w:rPr>
      </w:pPr>
    </w:p>
    <w:p w14:paraId="31FBA64F">
      <w:pPr>
        <w:pStyle w:val="7"/>
        <w:rPr>
          <w:rFonts w:eastAsia="方正仿宋_GBK"/>
          <w:sz w:val="28"/>
          <w:szCs w:val="28"/>
          <w:highlight w:val="none"/>
        </w:rPr>
      </w:pPr>
    </w:p>
    <w:p w14:paraId="79CFA0EF">
      <w:pPr>
        <w:rPr>
          <w:rFonts w:eastAsia="方正仿宋_GBK"/>
          <w:sz w:val="28"/>
          <w:szCs w:val="28"/>
          <w:highlight w:val="none"/>
        </w:rPr>
      </w:pPr>
    </w:p>
    <w:p w14:paraId="531E6B8A">
      <w:pPr>
        <w:pStyle w:val="7"/>
        <w:rPr>
          <w:rFonts w:eastAsia="方正仿宋_GBK"/>
          <w:sz w:val="28"/>
          <w:szCs w:val="28"/>
          <w:highlight w:val="none"/>
        </w:rPr>
      </w:pPr>
    </w:p>
    <w:p w14:paraId="0AC481DD">
      <w:pPr>
        <w:rPr>
          <w:rFonts w:eastAsia="方正仿宋_GBK"/>
          <w:sz w:val="28"/>
          <w:szCs w:val="28"/>
          <w:highlight w:val="none"/>
        </w:rPr>
      </w:pPr>
    </w:p>
    <w:p w14:paraId="7137037E">
      <w:pPr>
        <w:rPr>
          <w:rFonts w:eastAsia="方正仿宋_GBK"/>
          <w:b/>
          <w:bCs/>
          <w:sz w:val="32"/>
          <w:szCs w:val="32"/>
          <w:highlight w:val="none"/>
        </w:rPr>
      </w:pPr>
    </w:p>
    <w:p w14:paraId="456F5FA9">
      <w:pPr>
        <w:widowControl/>
        <w:spacing w:before="100" w:beforeAutospacing="1" w:after="100" w:afterAutospacing="1" w:line="252" w:lineRule="atLeast"/>
        <w:jc w:val="left"/>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8.</w:t>
      </w:r>
      <w:r>
        <w:rPr>
          <w:rFonts w:hint="eastAsia" w:ascii="Times New Roman" w:hAnsi="Times New Roman" w:eastAsia="方正仿宋_GBK" w:cs="Times New Roman"/>
          <w:b/>
          <w:bCs/>
          <w:color w:val="000000"/>
          <w:sz w:val="32"/>
          <w:szCs w:val="32"/>
          <w:highlight w:val="none"/>
          <w:lang w:val="en-US" w:eastAsia="zh-CN"/>
        </w:rPr>
        <w:t>参选人</w:t>
      </w:r>
      <w:r>
        <w:rPr>
          <w:rFonts w:hint="default" w:ascii="Times New Roman" w:hAnsi="Times New Roman" w:eastAsia="方正仿宋_GBK" w:cs="Times New Roman"/>
          <w:b/>
          <w:bCs/>
          <w:color w:val="000000"/>
          <w:sz w:val="32"/>
          <w:szCs w:val="32"/>
          <w:highlight w:val="none"/>
          <w:lang w:val="en-US" w:eastAsia="zh-CN"/>
        </w:rPr>
        <w:t>关联关系单位披露表</w:t>
      </w:r>
    </w:p>
    <w:tbl>
      <w:tblPr>
        <w:tblStyle w:val="2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5254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2CB78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序号</w:t>
            </w:r>
          </w:p>
        </w:tc>
        <w:tc>
          <w:tcPr>
            <w:tcW w:w="1588" w:type="dxa"/>
            <w:noWrap w:val="0"/>
            <w:vAlign w:val="center"/>
          </w:tcPr>
          <w:p w14:paraId="0B50D6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关联关系</w:t>
            </w:r>
          </w:p>
          <w:p w14:paraId="787C85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类型</w:t>
            </w:r>
          </w:p>
        </w:tc>
        <w:tc>
          <w:tcPr>
            <w:tcW w:w="2134" w:type="dxa"/>
            <w:noWrap w:val="0"/>
            <w:vAlign w:val="center"/>
          </w:tcPr>
          <w:p w14:paraId="3662B8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关联单位名称</w:t>
            </w:r>
          </w:p>
        </w:tc>
        <w:tc>
          <w:tcPr>
            <w:tcW w:w="2249" w:type="dxa"/>
            <w:noWrap w:val="0"/>
            <w:vAlign w:val="center"/>
          </w:tcPr>
          <w:p w14:paraId="4BB278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关联单位</w:t>
            </w:r>
          </w:p>
          <w:p w14:paraId="32F629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企业信用代码</w:t>
            </w:r>
          </w:p>
        </w:tc>
        <w:tc>
          <w:tcPr>
            <w:tcW w:w="2994" w:type="dxa"/>
            <w:noWrap w:val="0"/>
            <w:vAlign w:val="center"/>
          </w:tcPr>
          <w:p w14:paraId="097789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与</w:t>
            </w:r>
            <w:r>
              <w:rPr>
                <w:rFonts w:hint="eastAsia" w:ascii="Times New Roman" w:hAnsi="Times New Roman" w:eastAsia="方正仿宋_GBK" w:cs="Times New Roman"/>
                <w:b/>
                <w:color w:val="000000"/>
                <w:sz w:val="24"/>
                <w:szCs w:val="24"/>
                <w:highlight w:val="none"/>
                <w:lang w:eastAsia="zh-CN"/>
              </w:rPr>
              <w:t>参选人</w:t>
            </w:r>
            <w:r>
              <w:rPr>
                <w:rFonts w:hint="default" w:ascii="Times New Roman" w:hAnsi="Times New Roman" w:eastAsia="方正仿宋_GBK" w:cs="Times New Roman"/>
                <w:b/>
                <w:color w:val="000000"/>
                <w:sz w:val="24"/>
                <w:szCs w:val="24"/>
                <w:highlight w:val="none"/>
              </w:rPr>
              <w:t>关系</w:t>
            </w:r>
          </w:p>
        </w:tc>
      </w:tr>
      <w:tr w14:paraId="66AA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2AEDE6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1</w:t>
            </w:r>
          </w:p>
        </w:tc>
        <w:tc>
          <w:tcPr>
            <w:tcW w:w="1588" w:type="dxa"/>
            <w:noWrap w:val="0"/>
            <w:vAlign w:val="center"/>
          </w:tcPr>
          <w:p w14:paraId="65B7C9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负责人</w:t>
            </w:r>
          </w:p>
          <w:p w14:paraId="281C04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为同一人</w:t>
            </w:r>
          </w:p>
        </w:tc>
        <w:tc>
          <w:tcPr>
            <w:tcW w:w="2134" w:type="dxa"/>
            <w:noWrap w:val="0"/>
            <w:vAlign w:val="center"/>
          </w:tcPr>
          <w:p w14:paraId="68290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14:paraId="180232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14:paraId="46E7BB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同一法定代表人</w:t>
            </w:r>
          </w:p>
        </w:tc>
      </w:tr>
      <w:tr w14:paraId="106D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181B49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lang w:val="en-US" w:eastAsia="zh-CN"/>
              </w:rPr>
            </w:pPr>
            <w:r>
              <w:rPr>
                <w:rFonts w:hint="default" w:ascii="Times New Roman" w:hAnsi="Times New Roman" w:eastAsia="方正仿宋_GBK" w:cs="Times New Roman"/>
                <w:bCs/>
                <w:color w:val="000000"/>
                <w:sz w:val="24"/>
                <w:szCs w:val="24"/>
                <w:highlight w:val="none"/>
                <w:lang w:val="en-US" w:eastAsia="zh-CN"/>
              </w:rPr>
              <w:t>2</w:t>
            </w:r>
          </w:p>
        </w:tc>
        <w:tc>
          <w:tcPr>
            <w:tcW w:w="1588" w:type="dxa"/>
            <w:vMerge w:val="restart"/>
            <w:noWrap w:val="0"/>
            <w:vAlign w:val="center"/>
          </w:tcPr>
          <w:p w14:paraId="3BC1E7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管理关系</w:t>
            </w:r>
          </w:p>
        </w:tc>
        <w:tc>
          <w:tcPr>
            <w:tcW w:w="2134" w:type="dxa"/>
            <w:noWrap w:val="0"/>
            <w:vAlign w:val="center"/>
          </w:tcPr>
          <w:p w14:paraId="27553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14:paraId="470B6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14:paraId="1CAAC5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是我公司的分公司</w:t>
            </w:r>
          </w:p>
        </w:tc>
      </w:tr>
      <w:tr w14:paraId="728C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053F60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lang w:eastAsia="zh-CN"/>
              </w:rPr>
            </w:pPr>
          </w:p>
        </w:tc>
        <w:tc>
          <w:tcPr>
            <w:tcW w:w="1588" w:type="dxa"/>
            <w:vMerge w:val="continue"/>
            <w:noWrap w:val="0"/>
            <w:vAlign w:val="center"/>
          </w:tcPr>
          <w:p w14:paraId="458E9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134" w:type="dxa"/>
            <w:noWrap w:val="0"/>
            <w:vAlign w:val="center"/>
          </w:tcPr>
          <w:p w14:paraId="1621E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14:paraId="278D51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14:paraId="02D407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是我公司的总公司</w:t>
            </w:r>
          </w:p>
        </w:tc>
      </w:tr>
    </w:tbl>
    <w:p w14:paraId="102C2D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000000"/>
          <w:sz w:val="28"/>
          <w:szCs w:val="28"/>
          <w:highlight w:val="none"/>
        </w:rPr>
      </w:pPr>
      <w:r>
        <w:rPr>
          <w:rFonts w:hint="default" w:ascii="Times New Roman" w:hAnsi="Times New Roman" w:eastAsia="方正仿宋_GBK" w:cs="Times New Roman"/>
          <w:b/>
          <w:bCs w:val="0"/>
          <w:color w:val="000000"/>
          <w:sz w:val="28"/>
          <w:szCs w:val="28"/>
          <w:highlight w:val="none"/>
        </w:rPr>
        <w:t>注：</w:t>
      </w:r>
    </w:p>
    <w:p w14:paraId="20FE0E6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Times New Roman"/>
          <w:b w:val="0"/>
          <w:bCs/>
          <w:color w:val="000000"/>
          <w:sz w:val="28"/>
          <w:szCs w:val="28"/>
          <w:highlight w:val="none"/>
        </w:rPr>
      </w:pPr>
      <w:r>
        <w:rPr>
          <w:rFonts w:hint="default" w:ascii="Times New Roman" w:hAnsi="Times New Roman" w:eastAsia="方正仿宋_GBK" w:cs="Times New Roman"/>
          <w:b w:val="0"/>
          <w:bCs/>
          <w:color w:val="000000"/>
          <w:sz w:val="28"/>
          <w:szCs w:val="28"/>
          <w:highlight w:val="none"/>
        </w:rPr>
        <w:t>1.</w:t>
      </w:r>
      <w:r>
        <w:rPr>
          <w:rFonts w:hint="eastAsia" w:ascii="Times New Roman" w:hAnsi="Times New Roman" w:eastAsia="方正仿宋_GBK" w:cs="Times New Roman"/>
          <w:b w:val="0"/>
          <w:bCs/>
          <w:color w:val="000000"/>
          <w:sz w:val="28"/>
          <w:szCs w:val="28"/>
          <w:highlight w:val="none"/>
          <w:lang w:eastAsia="zh-CN"/>
        </w:rPr>
        <w:t>参选人</w:t>
      </w:r>
      <w:r>
        <w:rPr>
          <w:rFonts w:hint="default" w:ascii="Times New Roman" w:hAnsi="Times New Roman" w:eastAsia="方正仿宋_GBK" w:cs="Times New Roman"/>
          <w:b w:val="0"/>
          <w:bCs/>
          <w:color w:val="000000"/>
          <w:sz w:val="28"/>
          <w:szCs w:val="28"/>
          <w:highlight w:val="none"/>
        </w:rPr>
        <w:t>应如实披露关联关系单位，禁止存在下列关联关系的</w:t>
      </w:r>
      <w:r>
        <w:rPr>
          <w:rFonts w:hint="eastAsia" w:ascii="Times New Roman" w:hAnsi="Times New Roman" w:eastAsia="方正仿宋_GBK" w:cs="Times New Roman"/>
          <w:b w:val="0"/>
          <w:bCs/>
          <w:color w:val="000000"/>
          <w:sz w:val="28"/>
          <w:szCs w:val="28"/>
          <w:highlight w:val="none"/>
          <w:lang w:eastAsia="zh-CN"/>
        </w:rPr>
        <w:t>参选人</w:t>
      </w:r>
      <w:r>
        <w:rPr>
          <w:rFonts w:hint="default" w:ascii="Times New Roman" w:hAnsi="Times New Roman" w:eastAsia="方正仿宋_GBK" w:cs="Times New Roman"/>
          <w:b w:val="0"/>
          <w:bCs/>
          <w:color w:val="000000"/>
          <w:sz w:val="28"/>
          <w:szCs w:val="28"/>
          <w:highlight w:val="none"/>
        </w:rPr>
        <w:t>同时参与本项目采购：（1）法定代表人或单位负责人为同一人（以</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国家企业信用信息公示系统</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显示的</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主要人员信息</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名单为准）</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lang w:val="en-US" w:eastAsia="zh-CN"/>
        </w:rPr>
        <w:t>（2）</w:t>
      </w:r>
      <w:r>
        <w:rPr>
          <w:rFonts w:hint="eastAsia" w:ascii="Times New Roman" w:hAnsi="Times New Roman" w:eastAsia="方正仿宋_GBK" w:cs="Times New Roman"/>
          <w:b w:val="0"/>
          <w:bCs/>
          <w:color w:val="000000"/>
          <w:sz w:val="28"/>
          <w:szCs w:val="28"/>
          <w:highlight w:val="none"/>
          <w:lang w:val="en-US" w:eastAsia="zh-CN"/>
        </w:rPr>
        <w:t>参选人</w:t>
      </w:r>
      <w:r>
        <w:rPr>
          <w:rFonts w:hint="default" w:ascii="Times New Roman" w:hAnsi="Times New Roman" w:eastAsia="方正仿宋_GBK" w:cs="Times New Roman"/>
          <w:b w:val="0"/>
          <w:bCs/>
          <w:color w:val="000000"/>
          <w:sz w:val="28"/>
          <w:szCs w:val="28"/>
          <w:highlight w:val="none"/>
          <w:lang w:val="en-US" w:eastAsia="zh-CN"/>
        </w:rPr>
        <w:t>之间存在管理关系。</w:t>
      </w:r>
      <w:r>
        <w:rPr>
          <w:rFonts w:hint="default" w:ascii="Times New Roman" w:hAnsi="Times New Roman" w:eastAsia="方正仿宋_GBK" w:cs="Times New Roman"/>
          <w:b/>
          <w:bCs w:val="0"/>
          <w:color w:val="000000"/>
          <w:sz w:val="28"/>
          <w:szCs w:val="28"/>
          <w:highlight w:val="none"/>
        </w:rPr>
        <w:t>投标过程中如发现各</w:t>
      </w:r>
      <w:r>
        <w:rPr>
          <w:rFonts w:hint="eastAsia" w:ascii="Times New Roman" w:hAnsi="Times New Roman" w:eastAsia="方正仿宋_GBK" w:cs="Times New Roman"/>
          <w:b/>
          <w:bCs w:val="0"/>
          <w:color w:val="000000"/>
          <w:sz w:val="28"/>
          <w:szCs w:val="28"/>
          <w:highlight w:val="none"/>
          <w:lang w:eastAsia="zh-CN"/>
        </w:rPr>
        <w:t>参选人</w:t>
      </w:r>
      <w:r>
        <w:rPr>
          <w:rFonts w:hint="default" w:ascii="Times New Roman" w:hAnsi="Times New Roman" w:eastAsia="方正仿宋_GBK" w:cs="Times New Roman"/>
          <w:b/>
          <w:bCs w:val="0"/>
          <w:color w:val="000000"/>
          <w:sz w:val="28"/>
          <w:szCs w:val="28"/>
          <w:highlight w:val="none"/>
        </w:rPr>
        <w:t>之间存在关联关系，招标人有权取消有关联关系的</w:t>
      </w:r>
      <w:r>
        <w:rPr>
          <w:rFonts w:hint="eastAsia" w:ascii="Times New Roman" w:hAnsi="Times New Roman" w:eastAsia="方正仿宋_GBK" w:cs="Times New Roman"/>
          <w:b/>
          <w:bCs w:val="0"/>
          <w:color w:val="000000"/>
          <w:sz w:val="28"/>
          <w:szCs w:val="28"/>
          <w:highlight w:val="none"/>
          <w:lang w:eastAsia="zh-CN"/>
        </w:rPr>
        <w:t>参选人</w:t>
      </w:r>
      <w:r>
        <w:rPr>
          <w:rFonts w:hint="default" w:ascii="Times New Roman" w:hAnsi="Times New Roman" w:eastAsia="方正仿宋_GBK" w:cs="Times New Roman"/>
          <w:b/>
          <w:bCs w:val="0"/>
          <w:color w:val="000000"/>
          <w:sz w:val="28"/>
          <w:szCs w:val="28"/>
          <w:highlight w:val="none"/>
        </w:rPr>
        <w:t>参与本项目的资格或重新组织</w:t>
      </w:r>
      <w:r>
        <w:rPr>
          <w:rFonts w:hint="default" w:ascii="Times New Roman" w:hAnsi="Times New Roman" w:eastAsia="方正仿宋_GBK" w:cs="Times New Roman"/>
          <w:b/>
          <w:bCs w:val="0"/>
          <w:color w:val="000000"/>
          <w:sz w:val="28"/>
          <w:szCs w:val="28"/>
          <w:highlight w:val="none"/>
          <w:lang w:val="en-US" w:eastAsia="zh-CN"/>
        </w:rPr>
        <w:t>比选</w:t>
      </w:r>
      <w:r>
        <w:rPr>
          <w:rFonts w:hint="default" w:ascii="Times New Roman" w:hAnsi="Times New Roman" w:eastAsia="方正仿宋_GBK" w:cs="Times New Roman"/>
          <w:b/>
          <w:bCs w:val="0"/>
          <w:color w:val="000000"/>
          <w:sz w:val="28"/>
          <w:szCs w:val="28"/>
          <w:highlight w:val="none"/>
        </w:rPr>
        <w:t>。</w:t>
      </w:r>
    </w:p>
    <w:p w14:paraId="47D9099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cs="Times New Roman"/>
          <w:color w:val="000000"/>
          <w:sz w:val="28"/>
          <w:szCs w:val="28"/>
          <w:highlight w:val="none"/>
        </w:rPr>
      </w:pPr>
      <w:r>
        <w:rPr>
          <w:rFonts w:hint="default" w:ascii="Times New Roman" w:hAnsi="Times New Roman" w:eastAsia="方正仿宋_GBK" w:cs="Times New Roman"/>
          <w:b w:val="0"/>
          <w:bCs/>
          <w:color w:val="000000"/>
          <w:sz w:val="28"/>
          <w:szCs w:val="28"/>
          <w:highlight w:val="none"/>
        </w:rPr>
        <w:t>2.</w:t>
      </w:r>
      <w:r>
        <w:rPr>
          <w:rFonts w:hint="default" w:ascii="Times New Roman" w:hAnsi="Times New Roman" w:eastAsia="方正仿宋_GBK" w:cs="Times New Roman"/>
          <w:b/>
          <w:bCs w:val="0"/>
          <w:color w:val="000000"/>
          <w:sz w:val="28"/>
          <w:szCs w:val="28"/>
          <w:highlight w:val="none"/>
        </w:rPr>
        <w:t>后附</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国家企业信用信息公示系统</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显示的</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主要人员信息</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名单截图</w:t>
      </w:r>
      <w:r>
        <w:rPr>
          <w:rFonts w:hint="eastAsia" w:ascii="Times New Roman" w:hAnsi="Times New Roman" w:eastAsia="方正仿宋_GBK" w:cs="Times New Roman"/>
          <w:b w:val="0"/>
          <w:bCs/>
          <w:color w:val="000000"/>
          <w:sz w:val="28"/>
          <w:szCs w:val="28"/>
          <w:highlight w:val="none"/>
          <w:lang w:eastAsia="zh-CN"/>
        </w:rPr>
        <w:t>（</w:t>
      </w:r>
      <w:r>
        <w:rPr>
          <w:rFonts w:hint="eastAsia" w:ascii="Times New Roman" w:hAnsi="Times New Roman" w:eastAsia="方正仿宋_GBK" w:cs="Times New Roman"/>
          <w:b w:val="0"/>
          <w:bCs/>
          <w:color w:val="000000"/>
          <w:sz w:val="28"/>
          <w:szCs w:val="28"/>
          <w:highlight w:val="none"/>
          <w:lang w:val="en-US" w:eastAsia="zh-CN"/>
        </w:rPr>
        <w:t>如无则提供完整报告</w:t>
      </w:r>
      <w:r>
        <w:rPr>
          <w:rFonts w:hint="eastAsia"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，截图</w:t>
      </w:r>
      <w:r>
        <w:rPr>
          <w:rFonts w:hint="eastAsia" w:ascii="Times New Roman" w:hAnsi="Times New Roman" w:eastAsia="方正仿宋_GBK" w:cs="Times New Roman"/>
          <w:b w:val="0"/>
          <w:bCs/>
          <w:color w:val="000000"/>
          <w:sz w:val="28"/>
          <w:szCs w:val="28"/>
          <w:highlight w:val="none"/>
          <w:lang w:val="en-US" w:eastAsia="zh-CN"/>
        </w:rPr>
        <w:t>/报告</w:t>
      </w:r>
      <w:r>
        <w:rPr>
          <w:rFonts w:hint="default" w:ascii="Times New Roman" w:hAnsi="Times New Roman" w:eastAsia="方正仿宋_GBK" w:cs="Times New Roman"/>
          <w:b w:val="0"/>
          <w:bCs/>
          <w:color w:val="000000"/>
          <w:sz w:val="28"/>
          <w:szCs w:val="28"/>
          <w:highlight w:val="none"/>
        </w:rPr>
        <w:t>加盖</w:t>
      </w:r>
      <w:r>
        <w:rPr>
          <w:rFonts w:hint="eastAsia" w:ascii="Times New Roman" w:hAnsi="Times New Roman" w:eastAsia="方正仿宋_GBK" w:cs="Times New Roman"/>
          <w:b w:val="0"/>
          <w:bCs/>
          <w:color w:val="000000"/>
          <w:sz w:val="28"/>
          <w:szCs w:val="28"/>
          <w:highlight w:val="none"/>
          <w:lang w:eastAsia="zh-CN"/>
        </w:rPr>
        <w:t>参选人</w:t>
      </w:r>
      <w:r>
        <w:rPr>
          <w:rFonts w:hint="eastAsia" w:ascii="Times New Roman" w:hAnsi="Times New Roman" w:eastAsia="方正仿宋_GBK" w:cs="Times New Roman"/>
          <w:b w:val="0"/>
          <w:bCs/>
          <w:color w:val="000000"/>
          <w:sz w:val="28"/>
          <w:szCs w:val="28"/>
          <w:highlight w:val="none"/>
          <w:lang w:val="en-US" w:eastAsia="zh-CN"/>
        </w:rPr>
        <w:t>有效</w:t>
      </w:r>
      <w:r>
        <w:rPr>
          <w:rFonts w:hint="default" w:ascii="Times New Roman" w:hAnsi="Times New Roman" w:eastAsia="方正仿宋_GBK" w:cs="Times New Roman"/>
          <w:b w:val="0"/>
          <w:bCs/>
          <w:color w:val="000000"/>
          <w:sz w:val="28"/>
          <w:szCs w:val="28"/>
          <w:highlight w:val="none"/>
        </w:rPr>
        <w:t>印章。</w:t>
      </w:r>
    </w:p>
    <w:p w14:paraId="45F42AE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sz w:val="28"/>
          <w:szCs w:val="28"/>
          <w:highlight w:val="none"/>
        </w:rPr>
      </w:pPr>
    </w:p>
    <w:p w14:paraId="52CD1E7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sz w:val="28"/>
          <w:szCs w:val="28"/>
          <w:highlight w:val="none"/>
          <w:lang w:val="en-US" w:eastAsia="zh-CN"/>
        </w:rPr>
      </w:pPr>
      <w:r>
        <w:rPr>
          <w:rFonts w:hint="eastAsia" w:ascii="Times New Roman" w:hAnsi="Times New Roman" w:eastAsia="方正仿宋_GBK" w:cs="Times New Roman"/>
          <w:color w:val="000000"/>
          <w:sz w:val="28"/>
          <w:szCs w:val="28"/>
          <w:highlight w:val="none"/>
          <w:lang w:eastAsia="zh-CN"/>
        </w:rPr>
        <w:t>参选人</w:t>
      </w:r>
      <w:r>
        <w:rPr>
          <w:rFonts w:hint="default" w:ascii="Times New Roman" w:hAnsi="Times New Roman" w:eastAsia="方正仿宋_GBK" w:cs="Times New Roman"/>
          <w:color w:val="000000"/>
          <w:sz w:val="28"/>
          <w:szCs w:val="28"/>
          <w:highlight w:val="none"/>
        </w:rPr>
        <w:t>（公章）：</w:t>
      </w:r>
      <w:r>
        <w:rPr>
          <w:rFonts w:hint="default" w:ascii="Times New Roman" w:hAnsi="Times New Roman" w:eastAsia="方正仿宋_GBK" w:cs="Times New Roman"/>
          <w:color w:val="000000"/>
          <w:sz w:val="28"/>
          <w:szCs w:val="28"/>
          <w:highlight w:val="none"/>
          <w:lang w:val="en-US" w:eastAsia="zh-CN"/>
        </w:rPr>
        <w:t xml:space="preserve"> </w:t>
      </w:r>
    </w:p>
    <w:p w14:paraId="56D2EA3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color w:val="000000"/>
          <w:sz w:val="28"/>
          <w:szCs w:val="28"/>
          <w:highlight w:val="none"/>
        </w:rPr>
        <w:t>日期：</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年</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月</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日</w:t>
      </w:r>
    </w:p>
    <w:p w14:paraId="089955A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32"/>
          <w:szCs w:val="32"/>
          <w:highlight w:val="none"/>
        </w:rPr>
      </w:pPr>
    </w:p>
    <w:p w14:paraId="1FA55FE7">
      <w:pPr>
        <w:rPr>
          <w:rFonts w:eastAsia="方正仿宋_GBK"/>
          <w:sz w:val="28"/>
          <w:szCs w:val="28"/>
          <w:highlight w:val="none"/>
        </w:rPr>
      </w:pPr>
      <w:r>
        <w:rPr>
          <w:rFonts w:hint="eastAsia" w:eastAsia="方正仿宋_GBK"/>
          <w:b/>
          <w:bCs/>
          <w:sz w:val="32"/>
          <w:szCs w:val="32"/>
          <w:highlight w:val="none"/>
          <w:lang w:eastAsia="zh-CN"/>
        </w:rPr>
        <w:br w:type="page"/>
      </w:r>
      <w:r>
        <w:rPr>
          <w:rFonts w:hint="eastAsia" w:eastAsia="方正仿宋_GBK"/>
          <w:b/>
          <w:bCs/>
          <w:sz w:val="32"/>
          <w:szCs w:val="32"/>
          <w:highlight w:val="none"/>
          <w:lang w:eastAsia="zh-CN"/>
        </w:rPr>
        <w:t>9.</w:t>
      </w:r>
      <w:r>
        <w:rPr>
          <w:rFonts w:eastAsia="方正仿宋_GBK"/>
          <w:b/>
          <w:bCs/>
          <w:sz w:val="32"/>
          <w:szCs w:val="32"/>
          <w:highlight w:val="none"/>
        </w:rPr>
        <w:t>业绩证明材料</w:t>
      </w:r>
      <w:r>
        <w:rPr>
          <w:rFonts w:eastAsia="方正仿宋_GBK"/>
          <w:b/>
          <w:bCs/>
          <w:sz w:val="28"/>
          <w:szCs w:val="28"/>
          <w:highlight w:val="none"/>
        </w:rPr>
        <w:t>（</w:t>
      </w:r>
      <w:r>
        <w:rPr>
          <w:rFonts w:eastAsia="方正仿宋_GBK"/>
          <w:sz w:val="28"/>
          <w:szCs w:val="28"/>
          <w:highlight w:val="none"/>
        </w:rPr>
        <w:t>不得对合同单价、总价、人数、服务面积、服务时间等关键信息遮挡）</w:t>
      </w:r>
    </w:p>
    <w:p w14:paraId="2A4DC036">
      <w:pPr>
        <w:jc w:val="center"/>
        <w:rPr>
          <w:rFonts w:eastAsia="方正黑体_GBK"/>
          <w:b/>
          <w:bCs/>
          <w:sz w:val="36"/>
          <w:szCs w:val="36"/>
          <w:highlight w:val="none"/>
        </w:rPr>
      </w:pPr>
      <w:r>
        <w:rPr>
          <w:rFonts w:eastAsia="方正黑体_GBK"/>
          <w:b/>
          <w:bCs/>
          <w:sz w:val="36"/>
          <w:szCs w:val="36"/>
          <w:highlight w:val="none"/>
        </w:rPr>
        <w:t>业绩证明材料</w:t>
      </w:r>
    </w:p>
    <w:p w14:paraId="70A6FAEA">
      <w:pPr>
        <w:rPr>
          <w:rFonts w:eastAsia="方正小标宋_GBK"/>
          <w:b/>
          <w:bCs/>
          <w:sz w:val="36"/>
          <w:szCs w:val="36"/>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0F7A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4156B89">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项目名称</w:t>
            </w:r>
          </w:p>
        </w:tc>
        <w:tc>
          <w:tcPr>
            <w:tcW w:w="6406" w:type="dxa"/>
            <w:noWrap w:val="0"/>
            <w:vAlign w:val="center"/>
          </w:tcPr>
          <w:p w14:paraId="163A26AD">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32BA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9AD4F23">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名称</w:t>
            </w:r>
          </w:p>
        </w:tc>
        <w:tc>
          <w:tcPr>
            <w:tcW w:w="6406" w:type="dxa"/>
            <w:noWrap w:val="0"/>
            <w:vAlign w:val="center"/>
          </w:tcPr>
          <w:p w14:paraId="02073F0D">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2AB3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7EE952E">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地址</w:t>
            </w:r>
          </w:p>
        </w:tc>
        <w:tc>
          <w:tcPr>
            <w:tcW w:w="6406" w:type="dxa"/>
            <w:noWrap w:val="0"/>
            <w:vAlign w:val="center"/>
          </w:tcPr>
          <w:p w14:paraId="3E7429FF">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3FF6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BD61A4B">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电话</w:t>
            </w:r>
          </w:p>
        </w:tc>
        <w:tc>
          <w:tcPr>
            <w:tcW w:w="6406" w:type="dxa"/>
            <w:noWrap w:val="0"/>
            <w:vAlign w:val="center"/>
          </w:tcPr>
          <w:p w14:paraId="38739984">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4D49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D169C05">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合同价格</w:t>
            </w:r>
          </w:p>
        </w:tc>
        <w:tc>
          <w:tcPr>
            <w:tcW w:w="6406" w:type="dxa"/>
            <w:noWrap w:val="0"/>
            <w:vAlign w:val="center"/>
          </w:tcPr>
          <w:p w14:paraId="5C5C731C">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18F5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AB42B82">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服务开始时间</w:t>
            </w:r>
          </w:p>
        </w:tc>
        <w:tc>
          <w:tcPr>
            <w:tcW w:w="6406" w:type="dxa"/>
            <w:noWrap w:val="0"/>
            <w:vAlign w:val="center"/>
          </w:tcPr>
          <w:p w14:paraId="0F57E450">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2944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B79B5B1">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服务结束时间</w:t>
            </w:r>
          </w:p>
        </w:tc>
        <w:tc>
          <w:tcPr>
            <w:tcW w:w="6406" w:type="dxa"/>
            <w:noWrap w:val="0"/>
            <w:vAlign w:val="center"/>
          </w:tcPr>
          <w:p w14:paraId="77F47960">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5A8D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1828234">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服务内容</w:t>
            </w:r>
          </w:p>
        </w:tc>
        <w:tc>
          <w:tcPr>
            <w:tcW w:w="6406" w:type="dxa"/>
            <w:noWrap w:val="0"/>
            <w:vAlign w:val="center"/>
          </w:tcPr>
          <w:p w14:paraId="325C178A">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2214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5681388">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服务质量</w:t>
            </w:r>
          </w:p>
        </w:tc>
        <w:tc>
          <w:tcPr>
            <w:tcW w:w="6406" w:type="dxa"/>
            <w:noWrap w:val="0"/>
            <w:vAlign w:val="center"/>
          </w:tcPr>
          <w:p w14:paraId="1F19F1DD">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46B6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3972BB9">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项目描述</w:t>
            </w:r>
          </w:p>
        </w:tc>
        <w:tc>
          <w:tcPr>
            <w:tcW w:w="6406" w:type="dxa"/>
            <w:noWrap w:val="0"/>
            <w:vAlign w:val="center"/>
          </w:tcPr>
          <w:p w14:paraId="73449F32">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5C04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9EE6123">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备注</w:t>
            </w:r>
          </w:p>
        </w:tc>
        <w:tc>
          <w:tcPr>
            <w:tcW w:w="6406" w:type="dxa"/>
            <w:noWrap w:val="0"/>
            <w:vAlign w:val="center"/>
          </w:tcPr>
          <w:p w14:paraId="0353D81A">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bl>
    <w:p w14:paraId="129B20E2">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注：每个业绩需提供合同复印件并加盖鲜章并单独填写此表。</w:t>
      </w:r>
    </w:p>
    <w:p w14:paraId="7B671DA4">
      <w:pPr>
        <w:widowControl/>
        <w:snapToGrid w:val="0"/>
        <w:spacing w:before="100" w:beforeAutospacing="1" w:after="100" w:afterAutospacing="1" w:line="252" w:lineRule="atLeast"/>
        <w:ind w:firstLine="560" w:firstLineChars="200"/>
        <w:jc w:val="left"/>
        <w:textAlignment w:val="bottom"/>
        <w:rPr>
          <w:rFonts w:eastAsia="方正仿宋_GBK"/>
          <w:kern w:val="0"/>
          <w:sz w:val="28"/>
          <w:szCs w:val="28"/>
          <w:highlight w:val="none"/>
        </w:rPr>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pPr>
    </w:p>
    <w:p w14:paraId="11A8D4EC">
      <w:pPr>
        <w:rPr>
          <w:rFonts w:eastAsia="方正仿宋_GBK"/>
          <w:sz w:val="28"/>
          <w:szCs w:val="28"/>
          <w:highlight w:val="none"/>
        </w:rPr>
      </w:pPr>
    </w:p>
    <w:p w14:paraId="54043AD4">
      <w:pPr>
        <w:rPr>
          <w:rFonts w:eastAsia="方正仿宋_GBK"/>
          <w:b/>
          <w:bCs/>
          <w:sz w:val="32"/>
          <w:szCs w:val="32"/>
          <w:highlight w:val="none"/>
        </w:rPr>
      </w:pPr>
      <w:r>
        <w:rPr>
          <w:rFonts w:hint="eastAsia" w:eastAsia="方正仿宋_GBK"/>
          <w:b/>
          <w:bCs/>
          <w:sz w:val="32"/>
          <w:szCs w:val="32"/>
          <w:highlight w:val="none"/>
          <w:lang w:eastAsia="zh-CN"/>
        </w:rPr>
        <w:t>10.</w:t>
      </w:r>
      <w:r>
        <w:rPr>
          <w:rFonts w:eastAsia="方正仿宋_GBK"/>
          <w:b/>
          <w:bCs/>
          <w:sz w:val="32"/>
          <w:szCs w:val="32"/>
          <w:highlight w:val="none"/>
        </w:rPr>
        <w:t>参与项目人员资格证件</w:t>
      </w:r>
    </w:p>
    <w:p w14:paraId="7E2AB03B">
      <w:pPr>
        <w:rPr>
          <w:rFonts w:eastAsia="方正仿宋_GBK"/>
          <w:sz w:val="28"/>
          <w:szCs w:val="28"/>
          <w:highlight w:val="none"/>
        </w:rPr>
      </w:pPr>
    </w:p>
    <w:p w14:paraId="22DA6D98">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 xml:space="preserve"> </w:t>
      </w:r>
      <w:r>
        <w:rPr>
          <w:rFonts w:eastAsia="方正小标宋_GBK"/>
          <w:b/>
          <w:bCs/>
          <w:sz w:val="36"/>
          <w:szCs w:val="36"/>
          <w:highlight w:val="none"/>
        </w:rPr>
        <w:t>拟投入本项目人员名单</w:t>
      </w:r>
    </w:p>
    <w:tbl>
      <w:tblPr>
        <w:tblStyle w:val="2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2408"/>
      </w:tblGrid>
      <w:tr w14:paraId="3AB0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center"/>
          </w:tcPr>
          <w:p w14:paraId="03F950F2">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姓名</w:t>
            </w:r>
          </w:p>
        </w:tc>
        <w:tc>
          <w:tcPr>
            <w:tcW w:w="2174" w:type="dxa"/>
            <w:noWrap w:val="0"/>
            <w:vAlign w:val="center"/>
          </w:tcPr>
          <w:p w14:paraId="56079AEC">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资质证书/职称</w:t>
            </w:r>
          </w:p>
        </w:tc>
        <w:tc>
          <w:tcPr>
            <w:tcW w:w="1462" w:type="dxa"/>
            <w:noWrap w:val="0"/>
            <w:vAlign w:val="center"/>
          </w:tcPr>
          <w:p w14:paraId="29AC5B7F">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专业类别</w:t>
            </w:r>
          </w:p>
        </w:tc>
        <w:tc>
          <w:tcPr>
            <w:tcW w:w="2340" w:type="dxa"/>
            <w:noWrap w:val="0"/>
            <w:vAlign w:val="center"/>
          </w:tcPr>
          <w:p w14:paraId="1EA47114">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拟在本项目任职</w:t>
            </w:r>
          </w:p>
        </w:tc>
        <w:tc>
          <w:tcPr>
            <w:tcW w:w="2408" w:type="dxa"/>
            <w:noWrap w:val="0"/>
            <w:vAlign w:val="center"/>
          </w:tcPr>
          <w:p w14:paraId="6C4001FA">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工作年限</w:t>
            </w:r>
          </w:p>
        </w:tc>
      </w:tr>
      <w:tr w14:paraId="33D4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top"/>
          </w:tcPr>
          <w:p w14:paraId="6BD751F4">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2B073AF4">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17447D59">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5198223F">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5D5CB669">
            <w:pPr>
              <w:widowControl/>
              <w:spacing w:before="100" w:beforeAutospacing="1" w:after="100" w:afterAutospacing="1" w:line="252" w:lineRule="atLeast"/>
              <w:jc w:val="center"/>
              <w:rPr>
                <w:rFonts w:eastAsia="方正仿宋_GBK"/>
                <w:bCs/>
                <w:kern w:val="0"/>
                <w:sz w:val="28"/>
                <w:szCs w:val="28"/>
                <w:highlight w:val="none"/>
              </w:rPr>
            </w:pPr>
          </w:p>
        </w:tc>
      </w:tr>
      <w:tr w14:paraId="3881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top"/>
          </w:tcPr>
          <w:p w14:paraId="2E0F68A2">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27A825D1">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635FED1A">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123023B2">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6FE9E49B">
            <w:pPr>
              <w:widowControl/>
              <w:spacing w:before="100" w:beforeAutospacing="1" w:after="100" w:afterAutospacing="1" w:line="252" w:lineRule="atLeast"/>
              <w:jc w:val="center"/>
              <w:rPr>
                <w:rFonts w:eastAsia="方正仿宋_GBK"/>
                <w:bCs/>
                <w:kern w:val="0"/>
                <w:sz w:val="28"/>
                <w:szCs w:val="28"/>
                <w:highlight w:val="none"/>
              </w:rPr>
            </w:pPr>
          </w:p>
        </w:tc>
      </w:tr>
      <w:tr w14:paraId="0A0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4DE31F42">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72C74923">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63791C8B">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091388EC">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690E5B21">
            <w:pPr>
              <w:widowControl/>
              <w:spacing w:before="100" w:beforeAutospacing="1" w:after="100" w:afterAutospacing="1" w:line="252" w:lineRule="atLeast"/>
              <w:jc w:val="center"/>
              <w:rPr>
                <w:rFonts w:eastAsia="方正仿宋_GBK"/>
                <w:bCs/>
                <w:kern w:val="0"/>
                <w:sz w:val="28"/>
                <w:szCs w:val="28"/>
                <w:highlight w:val="none"/>
              </w:rPr>
            </w:pPr>
          </w:p>
        </w:tc>
      </w:tr>
      <w:tr w14:paraId="5BB0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3A912F12">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1650F7A3">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34C1D2CA">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5649A215">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0030ED1A">
            <w:pPr>
              <w:widowControl/>
              <w:spacing w:before="100" w:beforeAutospacing="1" w:after="100" w:afterAutospacing="1" w:line="252" w:lineRule="atLeast"/>
              <w:jc w:val="center"/>
              <w:rPr>
                <w:rFonts w:eastAsia="方正仿宋_GBK"/>
                <w:bCs/>
                <w:kern w:val="0"/>
                <w:sz w:val="28"/>
                <w:szCs w:val="28"/>
                <w:highlight w:val="none"/>
              </w:rPr>
            </w:pPr>
          </w:p>
        </w:tc>
      </w:tr>
      <w:tr w14:paraId="5C9B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76F3DCDA">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4C2C82B6">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7B2A4CA5">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1727EC95">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7ED721B0">
            <w:pPr>
              <w:widowControl/>
              <w:spacing w:before="100" w:beforeAutospacing="1" w:after="100" w:afterAutospacing="1" w:line="252" w:lineRule="atLeast"/>
              <w:jc w:val="center"/>
              <w:rPr>
                <w:rFonts w:eastAsia="方正仿宋_GBK"/>
                <w:bCs/>
                <w:kern w:val="0"/>
                <w:sz w:val="28"/>
                <w:szCs w:val="28"/>
                <w:highlight w:val="none"/>
              </w:rPr>
            </w:pPr>
          </w:p>
        </w:tc>
      </w:tr>
    </w:tbl>
    <w:p w14:paraId="4520960D">
      <w:pPr>
        <w:widowControl/>
        <w:spacing w:before="100" w:beforeAutospacing="1" w:after="100" w:afterAutospacing="1" w:line="360" w:lineRule="auto"/>
        <w:ind w:left="560" w:hanging="560" w:hangingChars="200"/>
        <w:rPr>
          <w:highlight w:val="none"/>
        </w:rPr>
      </w:pPr>
      <w:r>
        <w:rPr>
          <w:rFonts w:eastAsia="方正仿宋_GBK"/>
          <w:bCs/>
          <w:kern w:val="0"/>
          <w:sz w:val="28"/>
          <w:szCs w:val="28"/>
          <w:highlight w:val="none"/>
        </w:rPr>
        <w:t>注：1</w:t>
      </w:r>
      <w:r>
        <w:rPr>
          <w:rFonts w:hint="eastAsia" w:eastAsia="方正仿宋_GBK"/>
          <w:bCs/>
          <w:kern w:val="0"/>
          <w:sz w:val="28"/>
          <w:szCs w:val="28"/>
          <w:highlight w:val="none"/>
          <w:lang w:val="en-US" w:eastAsia="zh-CN"/>
        </w:rPr>
        <w:t>.</w:t>
      </w:r>
      <w:r>
        <w:rPr>
          <w:rFonts w:eastAsia="方正仿宋_GBK"/>
          <w:bCs/>
          <w:kern w:val="0"/>
          <w:sz w:val="28"/>
          <w:szCs w:val="28"/>
          <w:highlight w:val="none"/>
        </w:rPr>
        <w:t>以上人员需提供身份证和资格证书复印件并加盖鲜章，凡资格证书失效及年龄超过60岁的人员不得参与本项目的投标，否则作否决投标处理。</w:t>
      </w:r>
    </w:p>
    <w:p w14:paraId="351F5488">
      <w:pPr>
        <w:pStyle w:val="7"/>
        <w:ind w:firstLine="560" w:firstLineChars="200"/>
        <w:rPr>
          <w:rFonts w:eastAsia="方正仿宋_GBK"/>
          <w:b w:val="0"/>
          <w:kern w:val="0"/>
          <w:sz w:val="28"/>
          <w:szCs w:val="28"/>
          <w:highlight w:val="none"/>
        </w:rPr>
        <w:sectPr>
          <w:pgSz w:w="11900" w:h="16840"/>
          <w:pgMar w:top="1440" w:right="1134" w:bottom="1440" w:left="1134" w:header="920" w:footer="454" w:gutter="0"/>
          <w:pgNumType w:fmt="decimal"/>
          <w:cols w:space="720" w:num="1"/>
          <w:docGrid w:type="lines" w:linePitch="1" w:charSpace="0"/>
        </w:sectPr>
      </w:pPr>
      <w:r>
        <w:rPr>
          <w:rFonts w:hint="eastAsia" w:eastAsia="方正仿宋_GBK"/>
          <w:b w:val="0"/>
          <w:kern w:val="0"/>
          <w:sz w:val="28"/>
          <w:szCs w:val="28"/>
          <w:highlight w:val="none"/>
          <w:lang w:eastAsia="zh-CN"/>
        </w:rPr>
        <w:t>2.</w:t>
      </w:r>
      <w:r>
        <w:rPr>
          <w:rFonts w:eastAsia="方正仿宋_GBK"/>
          <w:b w:val="0"/>
          <w:kern w:val="0"/>
          <w:sz w:val="28"/>
          <w:szCs w:val="28"/>
          <w:highlight w:val="none"/>
        </w:rPr>
        <w:t>人员证件需提供身份证及资格证件复印件，按上表排名顺序依次附后。</w:t>
      </w:r>
    </w:p>
    <w:p w14:paraId="18DF4C47">
      <w:pPr>
        <w:rPr>
          <w:rFonts w:eastAsia="方正仿宋_GBK"/>
          <w:b/>
          <w:bCs/>
          <w:sz w:val="32"/>
          <w:szCs w:val="32"/>
          <w:highlight w:val="none"/>
        </w:rPr>
      </w:pPr>
      <w:r>
        <w:rPr>
          <w:rFonts w:hint="eastAsia" w:eastAsia="方正仿宋_GBK"/>
          <w:b/>
          <w:bCs/>
          <w:sz w:val="32"/>
          <w:szCs w:val="32"/>
          <w:highlight w:val="none"/>
          <w:lang w:eastAsia="zh-CN"/>
        </w:rPr>
        <w:t>11.</w:t>
      </w:r>
      <w:r>
        <w:rPr>
          <w:rFonts w:eastAsia="方正仿宋_GBK"/>
          <w:b/>
          <w:bCs/>
          <w:sz w:val="32"/>
          <w:szCs w:val="32"/>
          <w:highlight w:val="none"/>
        </w:rPr>
        <w:t>社保缴纳情况相关资料（按属地社保要求打印）</w:t>
      </w:r>
    </w:p>
    <w:p w14:paraId="00EF6143">
      <w:pPr>
        <w:rPr>
          <w:rFonts w:eastAsia="方正仿宋_GBK"/>
          <w:b/>
          <w:bCs/>
          <w:sz w:val="36"/>
          <w:szCs w:val="36"/>
          <w:highlight w:val="none"/>
        </w:rPr>
      </w:pPr>
    </w:p>
    <w:p w14:paraId="2321BA92">
      <w:pPr>
        <w:rPr>
          <w:rFonts w:eastAsia="方正仿宋_GBK"/>
          <w:b/>
          <w:bCs/>
          <w:sz w:val="36"/>
          <w:szCs w:val="36"/>
          <w:highlight w:val="none"/>
        </w:rPr>
      </w:pPr>
    </w:p>
    <w:p w14:paraId="24758AF6">
      <w:pPr>
        <w:rPr>
          <w:rFonts w:eastAsia="方正仿宋_GBK"/>
          <w:b/>
          <w:bCs/>
          <w:sz w:val="36"/>
          <w:szCs w:val="36"/>
          <w:highlight w:val="none"/>
        </w:rPr>
      </w:pPr>
    </w:p>
    <w:p w14:paraId="6691A1F2">
      <w:pPr>
        <w:rPr>
          <w:rFonts w:eastAsia="方正仿宋_GBK"/>
          <w:b/>
          <w:bCs/>
          <w:sz w:val="36"/>
          <w:szCs w:val="36"/>
          <w:highlight w:val="none"/>
        </w:rPr>
      </w:pPr>
    </w:p>
    <w:p w14:paraId="326F836E">
      <w:pPr>
        <w:rPr>
          <w:rFonts w:eastAsia="方正仿宋_GBK"/>
          <w:b/>
          <w:bCs/>
          <w:sz w:val="32"/>
          <w:szCs w:val="32"/>
          <w:highlight w:val="none"/>
        </w:rPr>
      </w:pPr>
      <w:r>
        <w:rPr>
          <w:rFonts w:hint="eastAsia" w:eastAsia="方正仿宋_GBK"/>
          <w:b/>
          <w:bCs/>
          <w:sz w:val="32"/>
          <w:szCs w:val="32"/>
          <w:highlight w:val="none"/>
          <w:lang w:eastAsia="zh-CN"/>
        </w:rPr>
        <w:t>12.</w:t>
      </w:r>
      <w:r>
        <w:rPr>
          <w:rFonts w:eastAsia="方正仿宋_GBK"/>
          <w:b/>
          <w:bCs/>
          <w:sz w:val="32"/>
          <w:szCs w:val="32"/>
          <w:highlight w:val="none"/>
        </w:rPr>
        <w:t>需要添加的其他资料（若有）</w:t>
      </w:r>
    </w:p>
    <w:p w14:paraId="0DA0B644">
      <w:pPr>
        <w:spacing w:line="360" w:lineRule="auto"/>
        <w:jc w:val="left"/>
        <w:rPr>
          <w:rFonts w:eastAsia="方正仿宋_GBK"/>
          <w:b/>
          <w:bCs/>
          <w:sz w:val="32"/>
          <w:szCs w:val="32"/>
          <w:highlight w:val="none"/>
        </w:rPr>
      </w:pPr>
    </w:p>
    <w:p w14:paraId="3788F364">
      <w:pPr>
        <w:rPr>
          <w:rFonts w:eastAsia="方正仿宋_GBK"/>
          <w:b/>
          <w:bCs/>
          <w:sz w:val="32"/>
          <w:szCs w:val="32"/>
          <w:highlight w:val="none"/>
        </w:rPr>
      </w:pPr>
    </w:p>
    <w:p w14:paraId="6F55BE85">
      <w:pPr>
        <w:rPr>
          <w:rFonts w:eastAsia="方正仿宋_GBK"/>
          <w:b/>
          <w:bCs/>
          <w:sz w:val="36"/>
          <w:szCs w:val="36"/>
          <w:highlight w:val="none"/>
        </w:rPr>
      </w:pPr>
    </w:p>
    <w:p w14:paraId="4C85F2A2">
      <w:pPr>
        <w:spacing w:line="360" w:lineRule="auto"/>
        <w:rPr>
          <w:rFonts w:eastAsia="方正仿宋_GBK"/>
          <w:sz w:val="32"/>
          <w:szCs w:val="32"/>
          <w:highlight w:val="none"/>
        </w:rPr>
      </w:pPr>
    </w:p>
    <w:p w14:paraId="79327592">
      <w:pPr>
        <w:spacing w:line="360" w:lineRule="auto"/>
        <w:rPr>
          <w:rFonts w:eastAsia="方正仿宋_GBK"/>
          <w:sz w:val="32"/>
          <w:szCs w:val="32"/>
          <w:highlight w:val="none"/>
        </w:rPr>
      </w:pPr>
    </w:p>
    <w:p w14:paraId="32E0AB4C">
      <w:pPr>
        <w:spacing w:line="360" w:lineRule="auto"/>
        <w:rPr>
          <w:rFonts w:eastAsia="方正仿宋_GBK"/>
          <w:sz w:val="32"/>
          <w:szCs w:val="32"/>
          <w:highlight w:val="none"/>
        </w:rPr>
      </w:pPr>
    </w:p>
    <w:p w14:paraId="65A84500">
      <w:pPr>
        <w:spacing w:line="360" w:lineRule="auto"/>
        <w:rPr>
          <w:rFonts w:eastAsia="方正仿宋_GBK"/>
          <w:sz w:val="32"/>
          <w:szCs w:val="32"/>
          <w:highlight w:val="none"/>
        </w:rPr>
      </w:pPr>
    </w:p>
    <w:p w14:paraId="5421B2BF">
      <w:pPr>
        <w:spacing w:line="360" w:lineRule="auto"/>
        <w:rPr>
          <w:rFonts w:eastAsia="方正仿宋_GBK"/>
          <w:sz w:val="32"/>
          <w:szCs w:val="32"/>
          <w:highlight w:val="none"/>
        </w:rPr>
      </w:pPr>
    </w:p>
    <w:p w14:paraId="1D94886F">
      <w:pPr>
        <w:spacing w:line="360" w:lineRule="auto"/>
        <w:rPr>
          <w:rFonts w:eastAsia="方正仿宋_GBK"/>
          <w:sz w:val="32"/>
          <w:szCs w:val="32"/>
          <w:highlight w:val="none"/>
        </w:rPr>
      </w:pPr>
    </w:p>
    <w:p w14:paraId="3AD17CFF">
      <w:pPr>
        <w:pStyle w:val="7"/>
        <w:rPr>
          <w:rFonts w:eastAsia="方正仿宋_GBK"/>
          <w:b w:val="0"/>
          <w:bCs w:val="0"/>
          <w:highlight w:val="none"/>
        </w:rPr>
      </w:pPr>
    </w:p>
    <w:p w14:paraId="773F0696">
      <w:pPr>
        <w:rPr>
          <w:rFonts w:eastAsia="方正仿宋_GBK"/>
          <w:sz w:val="32"/>
          <w:szCs w:val="32"/>
          <w:highlight w:val="none"/>
        </w:rPr>
      </w:pPr>
    </w:p>
    <w:p w14:paraId="42AF7E78">
      <w:pPr>
        <w:pStyle w:val="7"/>
        <w:rPr>
          <w:rFonts w:eastAsia="方正仿宋_GBK"/>
          <w:b w:val="0"/>
          <w:bCs w:val="0"/>
          <w:highlight w:val="none"/>
        </w:rPr>
      </w:pPr>
    </w:p>
    <w:p w14:paraId="50CED47E">
      <w:pPr>
        <w:spacing w:line="360" w:lineRule="auto"/>
        <w:rPr>
          <w:rFonts w:eastAsia="方正仿宋_GBK"/>
          <w:sz w:val="32"/>
          <w:szCs w:val="32"/>
          <w:highlight w:val="none"/>
        </w:rPr>
      </w:pPr>
    </w:p>
    <w:p w14:paraId="289660CB">
      <w:pPr>
        <w:spacing w:line="360" w:lineRule="auto"/>
        <w:rPr>
          <w:rFonts w:eastAsia="方正仿宋_GBK"/>
          <w:sz w:val="32"/>
          <w:szCs w:val="32"/>
          <w:highlight w:val="none"/>
        </w:rPr>
      </w:pPr>
    </w:p>
    <w:p w14:paraId="335CE960">
      <w:pPr>
        <w:spacing w:line="360" w:lineRule="auto"/>
        <w:rPr>
          <w:rFonts w:eastAsia="方正仿宋_GBK"/>
          <w:sz w:val="32"/>
          <w:szCs w:val="32"/>
          <w:highlight w:val="none"/>
        </w:rPr>
      </w:pPr>
    </w:p>
    <w:p w14:paraId="2F707504">
      <w:pPr>
        <w:spacing w:line="360" w:lineRule="auto"/>
        <w:rPr>
          <w:rFonts w:eastAsia="方正仿宋_GBK"/>
          <w:sz w:val="32"/>
          <w:szCs w:val="32"/>
          <w:highlight w:val="none"/>
        </w:rPr>
      </w:pPr>
    </w:p>
    <w:p w14:paraId="529C55CD">
      <w:pPr>
        <w:spacing w:line="360" w:lineRule="auto"/>
        <w:rPr>
          <w:rFonts w:eastAsia="方正仿宋_GBK"/>
          <w:sz w:val="32"/>
          <w:szCs w:val="32"/>
          <w:highlight w:val="none"/>
        </w:rPr>
      </w:pPr>
    </w:p>
    <w:p w14:paraId="21B3B172">
      <w:pPr>
        <w:spacing w:line="360" w:lineRule="auto"/>
        <w:rPr>
          <w:rFonts w:eastAsia="方正仿宋_GBK"/>
          <w:sz w:val="32"/>
          <w:szCs w:val="32"/>
          <w:highlight w:val="none"/>
        </w:rPr>
      </w:pPr>
    </w:p>
    <w:p w14:paraId="4B8F758F">
      <w:pPr>
        <w:spacing w:line="360" w:lineRule="auto"/>
        <w:rPr>
          <w:rFonts w:eastAsia="方正仿宋_GBK"/>
          <w:sz w:val="32"/>
          <w:szCs w:val="32"/>
          <w:highlight w:val="none"/>
        </w:rPr>
      </w:pPr>
    </w:p>
    <w:p w14:paraId="3CBBBDC8">
      <w:pPr>
        <w:spacing w:line="360" w:lineRule="auto"/>
        <w:rPr>
          <w:rFonts w:eastAsia="方正仿宋_GBK"/>
          <w:sz w:val="32"/>
          <w:szCs w:val="32"/>
          <w:highlight w:val="none"/>
        </w:rPr>
      </w:pPr>
      <w:r>
        <w:rPr>
          <w:rFonts w:eastAsia="方正仿宋_GBK"/>
          <w:sz w:val="32"/>
          <w:szCs w:val="32"/>
          <w:highlight w:val="none"/>
        </w:rPr>
        <w:t>附件3：经济文件要求</w:t>
      </w:r>
    </w:p>
    <w:p w14:paraId="7A581FE8">
      <w:pPr>
        <w:spacing w:line="360" w:lineRule="auto"/>
        <w:rPr>
          <w:rFonts w:eastAsia="方正仿宋_GBK"/>
          <w:b/>
          <w:bCs/>
          <w:sz w:val="32"/>
          <w:szCs w:val="32"/>
          <w:highlight w:val="none"/>
        </w:rPr>
      </w:pPr>
    </w:p>
    <w:p w14:paraId="2F1BAB6D">
      <w:pPr>
        <w:spacing w:line="360" w:lineRule="auto"/>
        <w:rPr>
          <w:rFonts w:eastAsia="方正仿宋_GBK"/>
          <w:b/>
          <w:bCs/>
          <w:sz w:val="32"/>
          <w:szCs w:val="32"/>
          <w:highlight w:val="none"/>
        </w:rPr>
      </w:pPr>
    </w:p>
    <w:p w14:paraId="50523A85">
      <w:pPr>
        <w:pStyle w:val="7"/>
        <w:rPr>
          <w:rFonts w:eastAsia="方正仿宋_GBK"/>
          <w:b w:val="0"/>
          <w:bCs w:val="0"/>
          <w:highlight w:val="none"/>
        </w:rPr>
      </w:pPr>
    </w:p>
    <w:p w14:paraId="7382D5E1">
      <w:pPr>
        <w:rPr>
          <w:rFonts w:eastAsia="方正仿宋_GBK"/>
          <w:b/>
          <w:bCs/>
          <w:sz w:val="32"/>
          <w:szCs w:val="32"/>
          <w:highlight w:val="none"/>
        </w:rPr>
      </w:pPr>
    </w:p>
    <w:p w14:paraId="16FC0CF7">
      <w:pPr>
        <w:pStyle w:val="7"/>
        <w:rPr>
          <w:rFonts w:eastAsia="方正仿宋_GBK"/>
          <w:b w:val="0"/>
          <w:bCs w:val="0"/>
          <w:highlight w:val="none"/>
        </w:rPr>
      </w:pPr>
    </w:p>
    <w:p w14:paraId="03C7B4FA">
      <w:pPr>
        <w:rPr>
          <w:rFonts w:eastAsia="方正仿宋_GBK"/>
          <w:b/>
          <w:bCs/>
          <w:sz w:val="32"/>
          <w:szCs w:val="32"/>
          <w:highlight w:val="none"/>
        </w:rPr>
      </w:pPr>
    </w:p>
    <w:p w14:paraId="4FB848F5">
      <w:pPr>
        <w:pStyle w:val="7"/>
        <w:rPr>
          <w:rFonts w:eastAsia="方正仿宋_GBK"/>
          <w:b w:val="0"/>
          <w:bCs w:val="0"/>
          <w:highlight w:val="none"/>
        </w:rPr>
      </w:pPr>
    </w:p>
    <w:p w14:paraId="4970C607">
      <w:pPr>
        <w:rPr>
          <w:rFonts w:eastAsia="方正仿宋_GBK"/>
          <w:b/>
          <w:bCs/>
          <w:sz w:val="32"/>
          <w:szCs w:val="32"/>
          <w:highlight w:val="none"/>
        </w:rPr>
      </w:pPr>
    </w:p>
    <w:p w14:paraId="7AD252AF">
      <w:pPr>
        <w:pStyle w:val="7"/>
        <w:rPr>
          <w:rFonts w:eastAsia="方正仿宋_GBK"/>
          <w:b w:val="0"/>
          <w:bCs w:val="0"/>
          <w:highlight w:val="none"/>
        </w:rPr>
      </w:pPr>
    </w:p>
    <w:p w14:paraId="2927A156">
      <w:pPr>
        <w:rPr>
          <w:rFonts w:eastAsia="方正仿宋_GBK"/>
          <w:b/>
          <w:bCs/>
          <w:sz w:val="32"/>
          <w:szCs w:val="32"/>
          <w:highlight w:val="none"/>
        </w:rPr>
      </w:pPr>
    </w:p>
    <w:p w14:paraId="3DD7ACCA">
      <w:pPr>
        <w:pStyle w:val="7"/>
        <w:rPr>
          <w:rFonts w:eastAsia="方正仿宋_GBK"/>
          <w:b w:val="0"/>
          <w:bCs w:val="0"/>
          <w:highlight w:val="none"/>
        </w:rPr>
      </w:pPr>
    </w:p>
    <w:p w14:paraId="5F455DF5">
      <w:pPr>
        <w:rPr>
          <w:rFonts w:eastAsia="方正仿宋_GBK"/>
          <w:b/>
          <w:bCs/>
          <w:sz w:val="32"/>
          <w:szCs w:val="32"/>
          <w:highlight w:val="none"/>
        </w:rPr>
      </w:pPr>
    </w:p>
    <w:p w14:paraId="04C0A2DB">
      <w:pPr>
        <w:pStyle w:val="7"/>
        <w:rPr>
          <w:rFonts w:eastAsia="方正仿宋_GBK"/>
          <w:b w:val="0"/>
          <w:bCs w:val="0"/>
          <w:highlight w:val="none"/>
        </w:rPr>
      </w:pPr>
    </w:p>
    <w:p w14:paraId="2EFC74C1">
      <w:pPr>
        <w:rPr>
          <w:rFonts w:eastAsia="方正仿宋_GBK"/>
          <w:b/>
          <w:bCs/>
          <w:sz w:val="32"/>
          <w:szCs w:val="32"/>
          <w:highlight w:val="none"/>
        </w:rPr>
      </w:pPr>
    </w:p>
    <w:p w14:paraId="1C518845">
      <w:pPr>
        <w:spacing w:line="440" w:lineRule="exact"/>
        <w:rPr>
          <w:rFonts w:eastAsia="方正仿宋_GBK"/>
          <w:sz w:val="32"/>
          <w:szCs w:val="32"/>
          <w:highlight w:val="none"/>
        </w:rPr>
      </w:pPr>
    </w:p>
    <w:p w14:paraId="1F63CFF0">
      <w:pPr>
        <w:spacing w:line="440" w:lineRule="exact"/>
        <w:rPr>
          <w:rFonts w:eastAsia="方正仿宋_GBK"/>
          <w:sz w:val="32"/>
          <w:szCs w:val="32"/>
          <w:highlight w:val="none"/>
        </w:rPr>
      </w:pPr>
    </w:p>
    <w:p w14:paraId="3BEDAD88">
      <w:pPr>
        <w:spacing w:line="440" w:lineRule="exact"/>
        <w:rPr>
          <w:rFonts w:eastAsia="方正仿宋_GBK"/>
          <w:sz w:val="32"/>
          <w:szCs w:val="32"/>
          <w:highlight w:val="none"/>
        </w:rPr>
      </w:pPr>
    </w:p>
    <w:p w14:paraId="7520A941">
      <w:pPr>
        <w:spacing w:line="440" w:lineRule="exact"/>
        <w:rPr>
          <w:rFonts w:eastAsia="方正仿宋_GBK"/>
          <w:sz w:val="24"/>
          <w:highlight w:val="none"/>
        </w:rPr>
      </w:pPr>
    </w:p>
    <w:p w14:paraId="614ED274">
      <w:pPr>
        <w:spacing w:line="440" w:lineRule="exact"/>
        <w:rPr>
          <w:rFonts w:eastAsia="方正仿宋_GBK"/>
          <w:sz w:val="24"/>
          <w:highlight w:val="none"/>
        </w:rPr>
      </w:pPr>
    </w:p>
    <w:p w14:paraId="26A5EC2A">
      <w:pPr>
        <w:spacing w:line="440" w:lineRule="exact"/>
        <w:rPr>
          <w:rFonts w:eastAsia="方正仿宋_GBK"/>
          <w:sz w:val="24"/>
          <w:highlight w:val="none"/>
        </w:rPr>
      </w:pPr>
    </w:p>
    <w:p w14:paraId="745DF4F8">
      <w:pPr>
        <w:spacing w:line="440" w:lineRule="exact"/>
        <w:rPr>
          <w:rFonts w:eastAsia="方正仿宋_GBK"/>
          <w:sz w:val="24"/>
          <w:highlight w:val="none"/>
        </w:rPr>
      </w:pPr>
      <w:r>
        <w:rPr>
          <w:rFonts w:eastAsia="方正仿宋_GBK"/>
          <w:sz w:val="24"/>
          <w:highlight w:val="none"/>
        </w:rPr>
        <w:t>经济文件封面格式</w:t>
      </w:r>
    </w:p>
    <w:p w14:paraId="1173B68A">
      <w:pPr>
        <w:spacing w:line="360" w:lineRule="auto"/>
        <w:rPr>
          <w:rFonts w:eastAsia="方正小标宋_GBK"/>
          <w:b/>
          <w:bCs/>
          <w:sz w:val="36"/>
          <w:szCs w:val="36"/>
          <w:highlight w:val="none"/>
        </w:rPr>
      </w:pPr>
    </w:p>
    <w:p w14:paraId="455DC94E">
      <w:pPr>
        <w:spacing w:line="360" w:lineRule="auto"/>
        <w:jc w:val="center"/>
        <w:rPr>
          <w:rFonts w:eastAsia="方正小标宋_GBK"/>
          <w:b/>
          <w:bCs/>
          <w:sz w:val="36"/>
          <w:szCs w:val="36"/>
          <w:highlight w:val="none"/>
        </w:rPr>
      </w:pPr>
    </w:p>
    <w:p w14:paraId="1DB9D264">
      <w:pPr>
        <w:spacing w:line="360" w:lineRule="auto"/>
        <w:jc w:val="center"/>
        <w:rPr>
          <w:rFonts w:eastAsia="方正小标宋_GBK"/>
          <w:b/>
          <w:bCs/>
          <w:sz w:val="52"/>
          <w:szCs w:val="52"/>
          <w:highlight w:val="none"/>
        </w:rPr>
      </w:pPr>
      <w:r>
        <w:rPr>
          <w:rFonts w:hint="eastAsia" w:eastAsia="方正小标宋_GBK"/>
          <w:b/>
          <w:bCs/>
          <w:sz w:val="52"/>
          <w:szCs w:val="52"/>
          <w:highlight w:val="none"/>
          <w:lang w:eastAsia="zh-CN"/>
        </w:rPr>
        <w:t>2026年度配电</w:t>
      </w:r>
      <w:r>
        <w:rPr>
          <w:rFonts w:eastAsia="方正小标宋_GBK"/>
          <w:b/>
          <w:bCs/>
          <w:sz w:val="52"/>
          <w:szCs w:val="52"/>
          <w:highlight w:val="none"/>
        </w:rPr>
        <w:t>维保服务比选</w:t>
      </w:r>
    </w:p>
    <w:p w14:paraId="31FAFBD6">
      <w:pPr>
        <w:pStyle w:val="7"/>
        <w:jc w:val="center"/>
        <w:rPr>
          <w:rFonts w:eastAsia="方正小标宋_GBK"/>
          <w:sz w:val="84"/>
          <w:szCs w:val="84"/>
          <w:highlight w:val="none"/>
        </w:rPr>
      </w:pPr>
      <w:r>
        <w:rPr>
          <w:rFonts w:eastAsia="方正小标宋_GBK"/>
          <w:sz w:val="84"/>
          <w:szCs w:val="84"/>
          <w:highlight w:val="none"/>
        </w:rPr>
        <w:t>经济文件</w:t>
      </w:r>
    </w:p>
    <w:p w14:paraId="74B95B7A">
      <w:pPr>
        <w:pStyle w:val="7"/>
        <w:rPr>
          <w:rFonts w:eastAsia="方正仿宋_GBK"/>
          <w:b w:val="0"/>
          <w:bCs w:val="0"/>
          <w:highlight w:val="none"/>
        </w:rPr>
      </w:pPr>
    </w:p>
    <w:p w14:paraId="5B68DF04">
      <w:pPr>
        <w:rPr>
          <w:highlight w:val="none"/>
        </w:rPr>
      </w:pPr>
    </w:p>
    <w:p w14:paraId="7940BCC5">
      <w:pPr>
        <w:spacing w:line="360" w:lineRule="auto"/>
        <w:rPr>
          <w:rFonts w:eastAsia="方正仿宋_GBK"/>
          <w:b/>
          <w:bCs/>
          <w:sz w:val="32"/>
          <w:szCs w:val="32"/>
          <w:highlight w:val="none"/>
        </w:rPr>
      </w:pPr>
    </w:p>
    <w:p w14:paraId="2FEFAF38">
      <w:pPr>
        <w:spacing w:line="360" w:lineRule="auto"/>
        <w:rPr>
          <w:rFonts w:eastAsia="方正仿宋_GBK"/>
          <w:b/>
          <w:bCs/>
          <w:sz w:val="32"/>
          <w:szCs w:val="32"/>
          <w:highlight w:val="none"/>
        </w:rPr>
      </w:pPr>
    </w:p>
    <w:p w14:paraId="081A0555">
      <w:pPr>
        <w:spacing w:line="360" w:lineRule="auto"/>
        <w:rPr>
          <w:rFonts w:eastAsia="方正仿宋_GBK"/>
          <w:b/>
          <w:bCs/>
          <w:sz w:val="32"/>
          <w:szCs w:val="32"/>
          <w:highlight w:val="none"/>
        </w:rPr>
      </w:pPr>
    </w:p>
    <w:p w14:paraId="6F0EC9A6">
      <w:pPr>
        <w:spacing w:line="360" w:lineRule="auto"/>
        <w:rPr>
          <w:rFonts w:eastAsia="方正仿宋_GBK"/>
          <w:b/>
          <w:bCs/>
          <w:sz w:val="32"/>
          <w:szCs w:val="32"/>
          <w:highlight w:val="none"/>
        </w:rPr>
      </w:pPr>
    </w:p>
    <w:p w14:paraId="42BB1D94">
      <w:pPr>
        <w:spacing w:line="360" w:lineRule="auto"/>
        <w:rPr>
          <w:rFonts w:eastAsia="方正仿宋_GBK"/>
          <w:b/>
          <w:bCs/>
          <w:sz w:val="32"/>
          <w:szCs w:val="32"/>
          <w:highlight w:val="none"/>
        </w:rPr>
      </w:pPr>
    </w:p>
    <w:p w14:paraId="44C45ABB">
      <w:pPr>
        <w:spacing w:line="360" w:lineRule="auto"/>
        <w:rPr>
          <w:rFonts w:eastAsia="方正仿宋_GBK"/>
          <w:b/>
          <w:bCs/>
          <w:sz w:val="32"/>
          <w:szCs w:val="32"/>
          <w:highlight w:val="none"/>
        </w:rPr>
      </w:pPr>
    </w:p>
    <w:p w14:paraId="464BA11E">
      <w:pPr>
        <w:spacing w:line="360" w:lineRule="auto"/>
        <w:rPr>
          <w:rFonts w:eastAsia="方正仿宋_GBK"/>
          <w:b/>
          <w:bCs/>
          <w:sz w:val="32"/>
          <w:szCs w:val="32"/>
          <w:highlight w:val="none"/>
        </w:rPr>
      </w:pPr>
    </w:p>
    <w:p w14:paraId="5424CA92">
      <w:pPr>
        <w:spacing w:line="360" w:lineRule="auto"/>
        <w:rPr>
          <w:rFonts w:eastAsia="方正仿宋_GBK"/>
          <w:b/>
          <w:bCs/>
          <w:sz w:val="32"/>
          <w:szCs w:val="32"/>
          <w:highlight w:val="none"/>
        </w:rPr>
      </w:pPr>
    </w:p>
    <w:p w14:paraId="0B37CEA3">
      <w:pPr>
        <w:spacing w:line="360" w:lineRule="auto"/>
        <w:ind w:firstLine="1920" w:firstLineChars="600"/>
        <w:rPr>
          <w:rFonts w:eastAsia="方正仿宋_GBK"/>
          <w:sz w:val="32"/>
          <w:szCs w:val="32"/>
          <w:highlight w:val="none"/>
        </w:rPr>
      </w:pPr>
      <w:r>
        <w:rPr>
          <w:rFonts w:eastAsia="方正仿宋_GBK"/>
          <w:sz w:val="32"/>
          <w:szCs w:val="32"/>
          <w:highlight w:val="none"/>
        </w:rPr>
        <w:t>比选单位：XXX（盖章）</w:t>
      </w:r>
    </w:p>
    <w:p w14:paraId="5C7822C6">
      <w:pPr>
        <w:pStyle w:val="7"/>
        <w:ind w:firstLine="1920" w:firstLineChars="600"/>
        <w:rPr>
          <w:rFonts w:eastAsia="方正仿宋_GBK"/>
          <w:b w:val="0"/>
          <w:bCs w:val="0"/>
          <w:highlight w:val="none"/>
        </w:rPr>
      </w:pPr>
      <w:r>
        <w:rPr>
          <w:rFonts w:eastAsia="方正仿宋_GBK"/>
          <w:b w:val="0"/>
          <w:bCs w:val="0"/>
          <w:highlight w:val="none"/>
        </w:rPr>
        <w:t>日    期：   年   月  日</w:t>
      </w:r>
    </w:p>
    <w:p w14:paraId="0775241E">
      <w:pPr>
        <w:spacing w:line="360" w:lineRule="auto"/>
        <w:rPr>
          <w:rFonts w:eastAsia="方正仿宋_GBK"/>
          <w:b/>
          <w:bCs/>
          <w:sz w:val="32"/>
          <w:szCs w:val="32"/>
          <w:highlight w:val="none"/>
        </w:rPr>
      </w:pPr>
    </w:p>
    <w:p w14:paraId="15D998C0">
      <w:pPr>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b/>
          <w:bCs/>
          <w:color w:val="000000"/>
          <w:sz w:val="36"/>
          <w:szCs w:val="36"/>
          <w:highlight w:val="none"/>
        </w:rPr>
        <w:br w:type="page"/>
      </w:r>
      <w:r>
        <w:rPr>
          <w:rFonts w:hint="default" w:ascii="Times New Roman" w:hAnsi="Times New Roman" w:eastAsia="方正仿宋_GBK" w:cs="Times New Roman"/>
          <w:b/>
          <w:bCs/>
          <w:color w:val="000000"/>
          <w:sz w:val="36"/>
          <w:szCs w:val="36"/>
          <w:highlight w:val="none"/>
        </w:rPr>
        <w:t>二、经济文件</w:t>
      </w:r>
      <w:r>
        <w:rPr>
          <w:rFonts w:hint="default" w:ascii="Times New Roman" w:hAnsi="Times New Roman" w:eastAsia="方正仿宋_GBK" w:cs="Times New Roman"/>
          <w:b/>
          <w:bCs/>
          <w:color w:val="000000"/>
          <w:sz w:val="32"/>
          <w:szCs w:val="32"/>
          <w:highlight w:val="none"/>
        </w:rPr>
        <w:t xml:space="preserve"> </w:t>
      </w:r>
      <w:r>
        <w:rPr>
          <w:rFonts w:hint="default" w:ascii="Times New Roman" w:hAnsi="Times New Roman" w:eastAsia="方正仿宋_GBK" w:cs="Times New Roman"/>
          <w:color w:val="000000"/>
          <w:sz w:val="28"/>
          <w:szCs w:val="28"/>
          <w:highlight w:val="none"/>
        </w:rPr>
        <w:t>（本页文字格式和内容不得删减和添加）</w:t>
      </w:r>
    </w:p>
    <w:p w14:paraId="3DEF549C">
      <w:pPr>
        <w:jc w:val="center"/>
        <w:rPr>
          <w:rFonts w:hint="default" w:ascii="Times New Roman" w:hAnsi="Times New Roman" w:eastAsia="方正仿宋_GBK" w:cs="Times New Roman"/>
          <w:color w:val="000000"/>
          <w:sz w:val="28"/>
          <w:szCs w:val="28"/>
          <w:highlight w:val="none"/>
        </w:rPr>
      </w:pPr>
      <w:r>
        <w:rPr>
          <w:rFonts w:hint="default" w:ascii="Times New Roman" w:hAnsi="Times New Roman" w:eastAsia="方正小标宋_GBK" w:cs="Times New Roman"/>
          <w:b/>
          <w:bCs/>
          <w:color w:val="000000"/>
          <w:sz w:val="36"/>
          <w:szCs w:val="36"/>
          <w:highlight w:val="none"/>
        </w:rPr>
        <w:t>比 选 函</w:t>
      </w:r>
    </w:p>
    <w:p w14:paraId="4985C56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重庆通邑卫士智慧生活服务有限公司</w:t>
      </w:r>
      <w:r>
        <w:rPr>
          <w:rFonts w:hint="default" w:ascii="Times New Roman" w:hAnsi="Times New Roman" w:eastAsia="方正仿宋_GBK" w:cs="Times New Roman"/>
          <w:color w:val="000000"/>
          <w:sz w:val="28"/>
          <w:szCs w:val="28"/>
          <w:highlight w:val="none"/>
        </w:rPr>
        <w:t>：</w:t>
      </w:r>
    </w:p>
    <w:p w14:paraId="5B04341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根据贵方 </w:t>
      </w:r>
      <w:r>
        <w:rPr>
          <w:rFonts w:hint="eastAsia" w:ascii="Times New Roman" w:hAnsi="Times New Roman" w:eastAsia="方正仿宋_GBK" w:cs="Times New Roman"/>
          <w:color w:val="000000"/>
          <w:sz w:val="28"/>
          <w:szCs w:val="28"/>
          <w:highlight w:val="none"/>
          <w:u w:val="single"/>
          <w:lang w:eastAsia="zh-CN"/>
        </w:rPr>
        <w:t>2026年度配电维保服务</w:t>
      </w:r>
      <w:r>
        <w:rPr>
          <w:rFonts w:hint="default" w:ascii="Times New Roman" w:hAnsi="Times New Roman" w:eastAsia="方正仿宋_GBK" w:cs="Times New Roman"/>
          <w:color w:val="000000"/>
          <w:sz w:val="28"/>
          <w:szCs w:val="28"/>
          <w:highlight w:val="none"/>
          <w:u w:val="single"/>
        </w:rPr>
        <w:t>比选</w:t>
      </w:r>
      <w:r>
        <w:rPr>
          <w:rFonts w:hint="default" w:ascii="Times New Roman" w:hAnsi="Times New Roman" w:eastAsia="方正仿宋_GBK" w:cs="Times New Roman"/>
          <w:color w:val="000000"/>
          <w:sz w:val="28"/>
          <w:szCs w:val="28"/>
          <w:highlight w:val="none"/>
        </w:rPr>
        <w:t>项目的比选函文件，本公司正式授权的下述签字人</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（姓名和职务）代表本公司</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w:t>
      </w:r>
      <w:r>
        <w:rPr>
          <w:rFonts w:hint="eastAsia" w:ascii="Times New Roman" w:hAnsi="Times New Roman" w:eastAsia="方正仿宋_GBK" w:cs="Times New Roman"/>
          <w:color w:val="000000"/>
          <w:sz w:val="28"/>
          <w:szCs w:val="28"/>
          <w:highlight w:val="none"/>
          <w:lang w:eastAsia="zh-CN"/>
        </w:rPr>
        <w:t>参选人</w:t>
      </w:r>
      <w:r>
        <w:rPr>
          <w:rFonts w:hint="default" w:ascii="Times New Roman" w:hAnsi="Times New Roman" w:eastAsia="方正仿宋_GBK" w:cs="Times New Roman"/>
          <w:color w:val="000000"/>
          <w:sz w:val="28"/>
          <w:szCs w:val="28"/>
          <w:highlight w:val="none"/>
        </w:rPr>
        <w:t>名称），提交本比选函。</w:t>
      </w:r>
    </w:p>
    <w:p w14:paraId="264FACF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据此函，签字人兹宣布同意如下：</w:t>
      </w:r>
    </w:p>
    <w:p w14:paraId="294CA1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1.</w:t>
      </w:r>
      <w:r>
        <w:rPr>
          <w:rFonts w:hint="default" w:ascii="Times New Roman" w:hAnsi="Times New Roman" w:eastAsia="方正仿宋_GBK" w:cs="Times New Roman"/>
          <w:color w:val="000000"/>
          <w:sz w:val="28"/>
          <w:szCs w:val="28"/>
          <w:highlight w:val="none"/>
        </w:rPr>
        <w:t>愿意接受本次比选函中提出的支付方式，报价为：</w:t>
      </w:r>
    </w:p>
    <w:p w14:paraId="3DD2DB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000000"/>
          <w:sz w:val="28"/>
          <w:szCs w:val="28"/>
          <w:highlight w:val="none"/>
          <w:lang w:eastAsia="zh-CN"/>
        </w:rPr>
      </w:pPr>
      <w:r>
        <w:rPr>
          <w:rFonts w:hint="eastAsia" w:eastAsia="方正仿宋_GBK"/>
          <w:sz w:val="28"/>
          <w:szCs w:val="28"/>
          <w:highlight w:val="none"/>
          <w:lang w:eastAsia="zh-CN"/>
        </w:rPr>
        <w:t>不含税总价：</w:t>
      </w:r>
      <w:r>
        <w:rPr>
          <w:rFonts w:eastAsia="方正仿宋_GBK"/>
          <w:sz w:val="28"/>
          <w:szCs w:val="28"/>
          <w:highlight w:val="none"/>
          <w:u w:val="single"/>
        </w:rPr>
        <w:t xml:space="preserve">         </w:t>
      </w:r>
      <w:r>
        <w:rPr>
          <w:rFonts w:eastAsia="方正仿宋_GBK"/>
          <w:sz w:val="28"/>
          <w:szCs w:val="28"/>
          <w:highlight w:val="none"/>
        </w:rPr>
        <w:t xml:space="preserve"> 元（大写：人民币</w:t>
      </w:r>
      <w:r>
        <w:rPr>
          <w:rFonts w:eastAsia="方正仿宋_GBK"/>
          <w:sz w:val="28"/>
          <w:szCs w:val="28"/>
          <w:highlight w:val="none"/>
          <w:u w:val="single"/>
        </w:rPr>
        <w:t xml:space="preserve">            </w:t>
      </w:r>
      <w:r>
        <w:rPr>
          <w:rFonts w:eastAsia="方正仿宋_GBK"/>
          <w:sz w:val="28"/>
          <w:szCs w:val="28"/>
          <w:highlight w:val="none"/>
        </w:rPr>
        <w:t>元）</w:t>
      </w:r>
      <w:r>
        <w:rPr>
          <w:rFonts w:hint="eastAsia" w:eastAsia="方正仿宋_GBK"/>
          <w:sz w:val="28"/>
          <w:szCs w:val="28"/>
          <w:highlight w:val="none"/>
          <w:lang w:eastAsia="zh-CN"/>
        </w:rPr>
        <w:t>；</w:t>
      </w:r>
      <w:r>
        <w:rPr>
          <w:rFonts w:eastAsia="方正仿宋_GBK"/>
          <w:sz w:val="28"/>
          <w:szCs w:val="28"/>
          <w:highlight w:val="none"/>
        </w:rPr>
        <w:t>含税总价：</w:t>
      </w:r>
      <w:r>
        <w:rPr>
          <w:rFonts w:eastAsia="方正仿宋_GBK"/>
          <w:sz w:val="28"/>
          <w:szCs w:val="28"/>
          <w:highlight w:val="none"/>
          <w:u w:val="single"/>
        </w:rPr>
        <w:t xml:space="preserve">         </w:t>
      </w:r>
      <w:r>
        <w:rPr>
          <w:rFonts w:eastAsia="方正仿宋_GBK"/>
          <w:sz w:val="28"/>
          <w:szCs w:val="28"/>
          <w:highlight w:val="none"/>
        </w:rPr>
        <w:t xml:space="preserve"> 元（大写：人民币</w:t>
      </w:r>
      <w:r>
        <w:rPr>
          <w:rFonts w:eastAsia="方正仿宋_GBK"/>
          <w:sz w:val="28"/>
          <w:szCs w:val="28"/>
          <w:highlight w:val="none"/>
          <w:u w:val="single"/>
        </w:rPr>
        <w:t xml:space="preserve">            </w:t>
      </w:r>
      <w:r>
        <w:rPr>
          <w:rFonts w:eastAsia="方正仿宋_GBK"/>
          <w:sz w:val="28"/>
          <w:szCs w:val="28"/>
          <w:highlight w:val="none"/>
        </w:rPr>
        <w:t>元），</w:t>
      </w:r>
      <w:r>
        <w:rPr>
          <w:rFonts w:eastAsia="方正仿宋_GBK"/>
          <w:color w:val="000000"/>
          <w:sz w:val="28"/>
          <w:szCs w:val="28"/>
          <w:highlight w:val="none"/>
        </w:rPr>
        <w:t>增值税专用发票税率</w:t>
      </w:r>
      <w:r>
        <w:rPr>
          <w:rFonts w:eastAsia="方正仿宋_GBK"/>
          <w:color w:val="000000"/>
          <w:sz w:val="28"/>
          <w:szCs w:val="28"/>
          <w:highlight w:val="none"/>
          <w:u w:val="single"/>
        </w:rPr>
        <w:t xml:space="preserve">    </w:t>
      </w:r>
      <w:r>
        <w:rPr>
          <w:rFonts w:eastAsia="方正仿宋_GBK"/>
          <w:color w:val="000000"/>
          <w:sz w:val="28"/>
          <w:szCs w:val="28"/>
          <w:highlight w:val="none"/>
        </w:rPr>
        <w:t xml:space="preserve"> %</w:t>
      </w:r>
      <w:r>
        <w:rPr>
          <w:rFonts w:hint="default" w:ascii="Times New Roman" w:hAnsi="Times New Roman" w:eastAsia="方正仿宋_GBK" w:cs="Times New Roman"/>
          <w:color w:val="000000"/>
          <w:sz w:val="28"/>
          <w:szCs w:val="28"/>
          <w:highlight w:val="none"/>
          <w:lang w:eastAsia="zh-CN"/>
        </w:rPr>
        <w:t>。</w:t>
      </w:r>
    </w:p>
    <w:p w14:paraId="30265EF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b/>
          <w:bCs/>
          <w:color w:val="000000"/>
          <w:sz w:val="28"/>
          <w:szCs w:val="28"/>
          <w:highlight w:val="none"/>
          <w:lang w:val="en-US" w:eastAsia="zh-CN"/>
        </w:rPr>
        <w:t>【备注：各项目含税总价=含税单价*数量*维保时间，各项目不含税总价=含税总价/</w:t>
      </w:r>
      <w:r>
        <w:rPr>
          <w:rFonts w:hint="eastAsia"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lang w:val="en-US" w:eastAsia="zh-CN"/>
        </w:rPr>
        <w:t>1+税率</w:t>
      </w:r>
      <w:r>
        <w:rPr>
          <w:rFonts w:hint="eastAsia"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lang w:val="en-US" w:eastAsia="zh-CN"/>
        </w:rPr>
        <w:t>；</w:t>
      </w:r>
      <w:r>
        <w:rPr>
          <w:rFonts w:hint="eastAsia" w:ascii="Times New Roman" w:hAnsi="Times New Roman" w:eastAsia="方正仿宋_GBK" w:cs="Times New Roman"/>
          <w:b/>
          <w:bCs/>
          <w:color w:val="000000"/>
          <w:sz w:val="28"/>
          <w:szCs w:val="28"/>
          <w:highlight w:val="none"/>
          <w:lang w:val="en-US" w:eastAsia="zh-CN"/>
        </w:rPr>
        <w:t>10</w:t>
      </w:r>
      <w:r>
        <w:rPr>
          <w:rFonts w:hint="default" w:ascii="Times New Roman" w:hAnsi="Times New Roman" w:eastAsia="方正仿宋_GBK" w:cs="Times New Roman"/>
          <w:b/>
          <w:bCs/>
          <w:color w:val="000000"/>
          <w:sz w:val="28"/>
          <w:szCs w:val="28"/>
          <w:highlight w:val="none"/>
          <w:lang w:val="en-US" w:eastAsia="zh-CN"/>
        </w:rPr>
        <w:t>个项目维保含税总价=各项目含税总价之和，不含税总价=</w:t>
      </w:r>
      <w:r>
        <w:rPr>
          <w:rFonts w:hint="eastAsia" w:ascii="Times New Roman" w:hAnsi="Times New Roman" w:eastAsia="方正仿宋_GBK" w:cs="Times New Roman"/>
          <w:b/>
          <w:bCs/>
          <w:color w:val="000000"/>
          <w:sz w:val="28"/>
          <w:szCs w:val="28"/>
          <w:highlight w:val="none"/>
          <w:lang w:val="en-US" w:eastAsia="zh-CN"/>
        </w:rPr>
        <w:t>10</w:t>
      </w:r>
      <w:r>
        <w:rPr>
          <w:rFonts w:hint="default" w:ascii="Times New Roman" w:hAnsi="Times New Roman" w:eastAsia="方正仿宋_GBK" w:cs="Times New Roman"/>
          <w:b/>
          <w:bCs/>
          <w:color w:val="000000"/>
          <w:sz w:val="28"/>
          <w:szCs w:val="28"/>
          <w:highlight w:val="none"/>
          <w:lang w:val="en-US" w:eastAsia="zh-CN"/>
        </w:rPr>
        <w:t>个项目维保含税总价/</w:t>
      </w:r>
      <w:r>
        <w:rPr>
          <w:rFonts w:hint="eastAsia"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lang w:val="en-US" w:eastAsia="zh-CN"/>
        </w:rPr>
        <w:t>1+税率</w:t>
      </w:r>
      <w:r>
        <w:rPr>
          <w:rFonts w:hint="eastAsia"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rPr>
        <w:t>所填报价格必须保留至小数点后2位，小数点后无数字时填写0</w:t>
      </w:r>
      <w:r>
        <w:rPr>
          <w:rFonts w:hint="default"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color w:val="000000"/>
          <w:sz w:val="28"/>
          <w:szCs w:val="28"/>
          <w:highlight w:val="none"/>
          <w:lang w:val="en-US" w:eastAsia="zh-CN"/>
        </w:rPr>
        <w:t>。</w:t>
      </w:r>
    </w:p>
    <w:p w14:paraId="62C223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2.</w:t>
      </w:r>
      <w:r>
        <w:rPr>
          <w:rFonts w:hint="default" w:ascii="Times New Roman" w:hAnsi="Times New Roman" w:eastAsia="方正仿宋_GBK" w:cs="Times New Roman"/>
          <w:color w:val="000000"/>
          <w:sz w:val="28"/>
          <w:szCs w:val="28"/>
          <w:highlight w:val="none"/>
        </w:rPr>
        <w:t>我们已详细阅读了比选函全部内容，我们知道必须放弃提出含糊不清或误解的问题的权利。</w:t>
      </w:r>
    </w:p>
    <w:p w14:paraId="170CE8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方正仿宋_GBK"/>
          <w:sz w:val="28"/>
          <w:szCs w:val="28"/>
          <w:highlight w:val="none"/>
        </w:rPr>
      </w:pPr>
      <w:r>
        <w:rPr>
          <w:rFonts w:hint="eastAsia" w:ascii="Times New Roman" w:hAnsi="Times New Roman" w:eastAsia="方正仿宋_GBK" w:cs="Times New Roman"/>
          <w:color w:val="000000"/>
          <w:sz w:val="28"/>
          <w:szCs w:val="28"/>
          <w:highlight w:val="none"/>
          <w:lang w:val="en-US" w:eastAsia="zh-CN"/>
        </w:rPr>
        <w:t>3.</w:t>
      </w:r>
      <w:r>
        <w:rPr>
          <w:rFonts w:hint="eastAsia" w:ascii="方正仿宋_GBK" w:hAnsi="方正仿宋_GBK" w:eastAsia="方正仿宋_GBK" w:cs="方正仿宋_GBK"/>
          <w:color w:val="000000"/>
          <w:sz w:val="28"/>
          <w:szCs w:val="28"/>
          <w:highlight w:val="none"/>
        </w:rPr>
        <w:t>我们保证根据规定履行合同责任和义务，不得要求变更我司报价，服务费用据实结算</w:t>
      </w:r>
      <w:r>
        <w:rPr>
          <w:rFonts w:eastAsia="方正仿宋_GBK"/>
          <w:sz w:val="28"/>
          <w:szCs w:val="28"/>
          <w:highlight w:val="none"/>
        </w:rPr>
        <w:t>。</w:t>
      </w:r>
    </w:p>
    <w:p w14:paraId="42A192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4.</w:t>
      </w:r>
      <w:r>
        <w:rPr>
          <w:rFonts w:hint="default" w:ascii="Times New Roman" w:hAnsi="Times New Roman" w:eastAsia="方正仿宋_GBK" w:cs="Times New Roman"/>
          <w:color w:val="000000"/>
          <w:sz w:val="28"/>
          <w:szCs w:val="28"/>
          <w:highlight w:val="none"/>
        </w:rPr>
        <w:t>本比选函自开启之日起至项目全部完成之内有效。</w:t>
      </w:r>
    </w:p>
    <w:p w14:paraId="7637AF2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p>
    <w:p w14:paraId="5B77971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报价人全称（公章）： </w:t>
      </w:r>
    </w:p>
    <w:p w14:paraId="4102C22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通信地址：                              </w:t>
      </w:r>
    </w:p>
    <w:p w14:paraId="35F07A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电话、传真：</w:t>
      </w:r>
    </w:p>
    <w:p w14:paraId="09F8D98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报价人法定代表人或授权代理人签字：</w:t>
      </w:r>
    </w:p>
    <w:p w14:paraId="306F254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bCs/>
          <w:color w:val="000000"/>
          <w:sz w:val="36"/>
          <w:szCs w:val="36"/>
          <w:highlight w:val="none"/>
        </w:rPr>
      </w:pPr>
      <w:r>
        <w:rPr>
          <w:rFonts w:hint="default" w:ascii="Times New Roman" w:hAnsi="Times New Roman" w:eastAsia="方正仿宋_GBK" w:cs="Times New Roman"/>
          <w:color w:val="000000"/>
          <w:sz w:val="28"/>
          <w:szCs w:val="28"/>
          <w:highlight w:val="none"/>
        </w:rPr>
        <w:t xml:space="preserve">日期： </w:t>
      </w:r>
    </w:p>
    <w:p w14:paraId="45D9E418">
      <w:pPr>
        <w:spacing w:line="500" w:lineRule="exact"/>
        <w:jc w:val="center"/>
        <w:rPr>
          <w:rFonts w:hint="default" w:ascii="Times New Roman" w:hAnsi="Times New Roman" w:eastAsia="方正仿宋_GBK" w:cs="Times New Roman"/>
          <w:b/>
          <w:bCs/>
          <w:color w:val="000000"/>
          <w:sz w:val="36"/>
          <w:szCs w:val="36"/>
          <w:highlight w:val="none"/>
        </w:rPr>
      </w:pPr>
      <w:r>
        <w:rPr>
          <w:rFonts w:hint="eastAsia" w:ascii="Times New Roman" w:hAnsi="Times New Roman" w:eastAsia="方正仿宋_GBK" w:cs="Times New Roman"/>
          <w:b/>
          <w:bCs/>
          <w:color w:val="000000"/>
          <w:sz w:val="36"/>
          <w:szCs w:val="36"/>
          <w:highlight w:val="none"/>
          <w:lang w:eastAsia="zh-CN"/>
        </w:rPr>
        <w:br w:type="page"/>
      </w:r>
      <w:r>
        <w:rPr>
          <w:rFonts w:hint="eastAsia" w:ascii="Times New Roman" w:hAnsi="Times New Roman" w:eastAsia="方正仿宋_GBK" w:cs="Times New Roman"/>
          <w:b/>
          <w:bCs/>
          <w:color w:val="000000"/>
          <w:sz w:val="36"/>
          <w:szCs w:val="36"/>
          <w:highlight w:val="none"/>
          <w:lang w:eastAsia="zh-CN"/>
        </w:rPr>
        <w:t>2026年度配电维保服务</w:t>
      </w:r>
      <w:r>
        <w:rPr>
          <w:rFonts w:hint="default" w:ascii="Times New Roman" w:hAnsi="Times New Roman" w:eastAsia="方正仿宋_GBK" w:cs="Times New Roman"/>
          <w:b/>
          <w:bCs/>
          <w:color w:val="000000"/>
          <w:sz w:val="36"/>
          <w:szCs w:val="36"/>
          <w:highlight w:val="none"/>
        </w:rPr>
        <w:t>报价清单</w:t>
      </w:r>
    </w:p>
    <w:tbl>
      <w:tblPr>
        <w:tblStyle w:val="23"/>
        <w:tblW w:w="10920" w:type="dxa"/>
        <w:tblInd w:w="-816" w:type="dxa"/>
        <w:tblLayout w:type="fixed"/>
        <w:tblCellMar>
          <w:top w:w="0" w:type="dxa"/>
          <w:left w:w="108" w:type="dxa"/>
          <w:bottom w:w="0" w:type="dxa"/>
          <w:right w:w="108" w:type="dxa"/>
        </w:tblCellMar>
      </w:tblPr>
      <w:tblGrid>
        <w:gridCol w:w="578"/>
        <w:gridCol w:w="510"/>
        <w:gridCol w:w="1080"/>
        <w:gridCol w:w="825"/>
        <w:gridCol w:w="870"/>
        <w:gridCol w:w="810"/>
        <w:gridCol w:w="795"/>
        <w:gridCol w:w="885"/>
        <w:gridCol w:w="1065"/>
        <w:gridCol w:w="634"/>
        <w:gridCol w:w="828"/>
        <w:gridCol w:w="972"/>
        <w:gridCol w:w="1068"/>
      </w:tblGrid>
      <w:tr w14:paraId="0B22066B">
        <w:tblPrEx>
          <w:tblCellMar>
            <w:top w:w="0" w:type="dxa"/>
            <w:left w:w="108" w:type="dxa"/>
            <w:bottom w:w="0" w:type="dxa"/>
            <w:right w:w="108" w:type="dxa"/>
          </w:tblCellMar>
        </w:tblPrEx>
        <w:trPr>
          <w:trHeight w:val="540" w:hRule="atLeast"/>
        </w:trPr>
        <w:tc>
          <w:tcPr>
            <w:tcW w:w="10920" w:type="dxa"/>
            <w:gridSpan w:val="13"/>
            <w:tcBorders>
              <w:top w:val="single" w:color="000000" w:sz="4" w:space="0"/>
              <w:left w:val="single" w:color="000000" w:sz="4" w:space="0"/>
              <w:bottom w:val="single" w:color="000000" w:sz="4" w:space="0"/>
              <w:right w:val="single" w:color="000000" w:sz="4" w:space="0"/>
            </w:tcBorders>
            <w:noWrap w:val="0"/>
            <w:vAlign w:val="center"/>
          </w:tcPr>
          <w:p w14:paraId="40B341F5">
            <w:pPr>
              <w:widowControl/>
              <w:jc w:val="left"/>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一</w:t>
            </w:r>
            <w:r>
              <w:rPr>
                <w:rFonts w:hint="default" w:ascii="Times New Roman" w:hAnsi="Times New Roman" w:eastAsia="方正仿宋_GBK" w:cs="Times New Roman"/>
                <w:b/>
                <w:bCs/>
                <w:color w:val="000000"/>
                <w:kern w:val="0"/>
                <w:szCs w:val="21"/>
                <w:highlight w:val="none"/>
                <w:lang w:eastAsia="zh-CN" w:bidi="ar"/>
              </w:rPr>
              <w:t>、配电维保明细</w:t>
            </w:r>
            <w:r>
              <w:rPr>
                <w:rFonts w:hint="default" w:ascii="Times New Roman" w:hAnsi="Times New Roman" w:eastAsia="方正仿宋_GBK" w:cs="Times New Roman"/>
                <w:b/>
                <w:bCs/>
                <w:color w:val="000000"/>
                <w:kern w:val="0"/>
                <w:szCs w:val="21"/>
                <w:highlight w:val="none"/>
                <w:lang w:bidi="ar"/>
              </w:rPr>
              <w:t xml:space="preserve"> </w:t>
            </w:r>
          </w:p>
        </w:tc>
      </w:tr>
      <w:tr w14:paraId="16BB28E6">
        <w:tblPrEx>
          <w:tblCellMar>
            <w:top w:w="0" w:type="dxa"/>
            <w:left w:w="108" w:type="dxa"/>
            <w:bottom w:w="0" w:type="dxa"/>
            <w:right w:w="108" w:type="dxa"/>
          </w:tblCellMar>
        </w:tblPrEx>
        <w:trPr>
          <w:trHeight w:val="312"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D76C7B">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序号</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9E1A0B">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7C1A16">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维保项目</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1C8321">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变压器</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1DBF90">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10KV高压柜</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7B0F187B">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避雷器</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5E8BF">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电缆</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06E4E7">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继电保护装置</w:t>
            </w: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498F4">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地阻测试</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819B0">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工具检测</w:t>
            </w:r>
          </w:p>
        </w:tc>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7BF01">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真空断路器</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528B3">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低压屏</w:t>
            </w:r>
          </w:p>
        </w:tc>
      </w:tr>
      <w:tr w14:paraId="7A8B3D35">
        <w:tblPrEx>
          <w:tblCellMar>
            <w:top w:w="0" w:type="dxa"/>
            <w:left w:w="108" w:type="dxa"/>
            <w:bottom w:w="0" w:type="dxa"/>
            <w:right w:w="108" w:type="dxa"/>
          </w:tblCellMar>
        </w:tblPrEx>
        <w:trPr>
          <w:trHeight w:val="392"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E1217">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A900F">
            <w:pPr>
              <w:jc w:val="center"/>
              <w:rPr>
                <w:rFonts w:hint="default" w:ascii="Times New Roman" w:hAnsi="Times New Roman" w:eastAsia="方正仿宋_GBK" w:cs="Times New Roman"/>
                <w:b/>
                <w:bCs/>
                <w:color w:val="000000"/>
                <w:szCs w:val="21"/>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55B3A">
            <w:pPr>
              <w:jc w:val="center"/>
              <w:rPr>
                <w:rFonts w:hint="default" w:ascii="Times New Roman" w:hAnsi="Times New Roman" w:eastAsia="方正仿宋_GBK" w:cs="Times New Roman"/>
                <w:b/>
                <w:bCs/>
                <w:color w:val="000000"/>
                <w:szCs w:val="21"/>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66272">
            <w:pPr>
              <w:jc w:val="center"/>
              <w:rPr>
                <w:rFonts w:hint="default" w:ascii="Times New Roman" w:hAnsi="Times New Roman" w:eastAsia="方正仿宋_GBK" w:cs="Times New Roman"/>
                <w:b/>
                <w:bCs/>
                <w:color w:val="000000"/>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FE0F6">
            <w:pPr>
              <w:jc w:val="center"/>
              <w:rPr>
                <w:rFonts w:hint="default" w:ascii="Times New Roman" w:hAnsi="Times New Roman" w:eastAsia="方正仿宋_GBK" w:cs="Times New Roman"/>
                <w:b/>
                <w:bCs/>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6DC4C0">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10KV</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7DA8A0">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0.4KV</w:t>
            </w: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39CA0">
            <w:pPr>
              <w:jc w:val="center"/>
              <w:rPr>
                <w:rFonts w:hint="default" w:ascii="Times New Roman" w:hAnsi="Times New Roman" w:eastAsia="方正仿宋_GBK" w:cs="Times New Roman"/>
                <w:b/>
                <w:bCs/>
                <w:color w:val="000000"/>
                <w:szCs w:val="21"/>
                <w:highlight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4C412">
            <w:pPr>
              <w:jc w:val="center"/>
              <w:rPr>
                <w:rFonts w:hint="default" w:ascii="Times New Roman" w:hAnsi="Times New Roman" w:eastAsia="方正仿宋_GBK" w:cs="Times New Roman"/>
                <w:b/>
                <w:bCs/>
                <w:color w:val="000000"/>
                <w:szCs w:val="21"/>
                <w:highlight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7E5F6">
            <w:pPr>
              <w:jc w:val="center"/>
              <w:rPr>
                <w:rFonts w:hint="default" w:ascii="Times New Roman" w:hAnsi="Times New Roman" w:eastAsia="方正仿宋_GBK" w:cs="Times New Roman"/>
                <w:b/>
                <w:bCs/>
                <w:color w:val="000000"/>
                <w:szCs w:val="21"/>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0A9B4">
            <w:pPr>
              <w:jc w:val="center"/>
              <w:rPr>
                <w:rFonts w:hint="default" w:ascii="Times New Roman" w:hAnsi="Times New Roman" w:eastAsia="方正仿宋_GBK" w:cs="Times New Roman"/>
                <w:b/>
                <w:bCs/>
                <w:color w:val="000000"/>
                <w:szCs w:val="21"/>
                <w:highlight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30D01">
            <w:pPr>
              <w:jc w:val="center"/>
              <w:rPr>
                <w:rFonts w:hint="default" w:ascii="Times New Roman" w:hAnsi="Times New Roman" w:eastAsia="方正仿宋_GBK" w:cs="Times New Roman"/>
                <w:b/>
                <w:bCs/>
                <w:color w:val="000000"/>
                <w:szCs w:val="21"/>
                <w:highlight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3D469">
            <w:pPr>
              <w:jc w:val="center"/>
              <w:rPr>
                <w:rFonts w:hint="default" w:ascii="Times New Roman" w:hAnsi="Times New Roman" w:eastAsia="方正仿宋_GBK" w:cs="Times New Roman"/>
                <w:b/>
                <w:bCs/>
                <w:color w:val="000000"/>
                <w:szCs w:val="21"/>
                <w:highlight w:val="none"/>
              </w:rPr>
            </w:pPr>
          </w:p>
        </w:tc>
      </w:tr>
      <w:tr w14:paraId="73B4F9CA">
        <w:tblPrEx>
          <w:tblCellMar>
            <w:top w:w="0" w:type="dxa"/>
            <w:left w:w="108" w:type="dxa"/>
            <w:bottom w:w="0" w:type="dxa"/>
            <w:right w:w="108" w:type="dxa"/>
          </w:tblCellMar>
        </w:tblPrEx>
        <w:trPr>
          <w:trHeight w:val="740"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1B832">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00EF6">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066A92">
            <w:pPr>
              <w:widowControl/>
              <w:jc w:val="left"/>
              <w:textAlignment w:val="center"/>
              <w:rPr>
                <w:rFonts w:hint="default" w:ascii="Times New Roman" w:hAnsi="Times New Roman" w:eastAsia="方正仿宋_GBK" w:cs="Times New Roman"/>
                <w:b/>
                <w:bCs/>
                <w:color w:val="000000"/>
                <w:kern w:val="0"/>
                <w:szCs w:val="21"/>
                <w:highlight w:val="none"/>
                <w:lang w:bidi="ar"/>
              </w:rPr>
            </w:pPr>
            <w:r>
              <w:rPr>
                <w:rFonts w:hint="default" w:ascii="Times New Roman" w:hAnsi="Times New Roman" w:eastAsia="方正仿宋_GBK" w:cs="Times New Roman"/>
                <w:b/>
                <w:bCs/>
                <w:color w:val="000000"/>
                <w:kern w:val="0"/>
                <w:szCs w:val="21"/>
                <w:highlight w:val="none"/>
                <w:lang w:bidi="ar"/>
              </w:rPr>
              <w:t xml:space="preserve">含税单价   </w:t>
            </w:r>
          </w:p>
          <w:p w14:paraId="0C83BDDB">
            <w:pPr>
              <w:widowControl/>
              <w:jc w:val="left"/>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（元/台/月）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FA065C">
            <w:pPr>
              <w:widowControl/>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E378BA">
            <w:pPr>
              <w:widowControl/>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045905">
            <w:pPr>
              <w:widowControl/>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70672D">
            <w:pPr>
              <w:widowControl/>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60C1D5">
            <w:pPr>
              <w:widowControl/>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64B8891">
            <w:pPr>
              <w:widowControl/>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DC39E1C">
            <w:pPr>
              <w:widowControl/>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5AB2B46">
            <w:pPr>
              <w:widowControl/>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B6DDA31">
            <w:pPr>
              <w:widowControl/>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668629">
            <w:pPr>
              <w:widowControl/>
              <w:jc w:val="center"/>
              <w:textAlignment w:val="center"/>
              <w:rPr>
                <w:rFonts w:hint="default" w:ascii="Times New Roman" w:hAnsi="Times New Roman" w:eastAsia="方正仿宋_GBK" w:cs="Times New Roman"/>
                <w:color w:val="000000"/>
                <w:szCs w:val="21"/>
                <w:highlight w:val="none"/>
              </w:rPr>
            </w:pPr>
          </w:p>
        </w:tc>
      </w:tr>
      <w:tr w14:paraId="58A76B7A">
        <w:tblPrEx>
          <w:tblCellMar>
            <w:top w:w="0" w:type="dxa"/>
            <w:left w:w="108" w:type="dxa"/>
            <w:bottom w:w="0" w:type="dxa"/>
            <w:right w:w="108" w:type="dxa"/>
          </w:tblCellMar>
        </w:tblPrEx>
        <w:trPr>
          <w:trHeight w:val="559"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485DF">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8E0A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白鹤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E3E8A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DF497E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423E0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DF2B9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30585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FE15D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D9D716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C5679B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315ABE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499787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08876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33</w:t>
            </w:r>
          </w:p>
        </w:tc>
      </w:tr>
      <w:tr w14:paraId="7AC0A650">
        <w:tblPrEx>
          <w:tblCellMar>
            <w:top w:w="0" w:type="dxa"/>
            <w:left w:w="108" w:type="dxa"/>
            <w:bottom w:w="0" w:type="dxa"/>
            <w:right w:w="108" w:type="dxa"/>
          </w:tblCellMar>
        </w:tblPrEx>
        <w:trPr>
          <w:trHeight w:val="575"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2F7A1">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DAA83">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F2A01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7A540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76412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4932E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33975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3158B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6513AC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BEE324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C01A2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3935D5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D623DE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4373BE69">
        <w:tblPrEx>
          <w:tblCellMar>
            <w:top w:w="0" w:type="dxa"/>
            <w:left w:w="108" w:type="dxa"/>
            <w:bottom w:w="0" w:type="dxa"/>
            <w:right w:w="108" w:type="dxa"/>
          </w:tblCellMar>
        </w:tblPrEx>
        <w:trPr>
          <w:trHeight w:val="69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0522B">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ED3BA">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DB894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37B616B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9D4F65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4BC9FE03">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4B619592">
        <w:tblPrEx>
          <w:tblCellMar>
            <w:top w:w="0" w:type="dxa"/>
            <w:left w:w="108" w:type="dxa"/>
            <w:bottom w:w="0" w:type="dxa"/>
            <w:right w:w="108" w:type="dxa"/>
          </w:tblCellMar>
        </w:tblPrEx>
        <w:trPr>
          <w:trHeight w:val="540"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CDEA3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96FD6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腾黄路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00327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6215CD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13B20F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DCDFF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452FB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945E4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A46940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74324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906ACD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D09086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2E70E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6F6535F5">
        <w:tblPrEx>
          <w:tblCellMar>
            <w:top w:w="0" w:type="dxa"/>
            <w:left w:w="108" w:type="dxa"/>
            <w:bottom w:w="0" w:type="dxa"/>
            <w:right w:w="108" w:type="dxa"/>
          </w:tblCellMar>
        </w:tblPrEx>
        <w:trPr>
          <w:trHeight w:val="587"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544A3">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CFF9A">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041DE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C37883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730CFC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E7D65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842F1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DCFCC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AC7676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80975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8E6434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F1BB96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6476C2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1489DD0B">
        <w:tblPrEx>
          <w:tblCellMar>
            <w:top w:w="0" w:type="dxa"/>
            <w:left w:w="108" w:type="dxa"/>
            <w:bottom w:w="0" w:type="dxa"/>
            <w:right w:w="108" w:type="dxa"/>
          </w:tblCellMar>
        </w:tblPrEx>
        <w:trPr>
          <w:trHeight w:val="734"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790D0">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8E08C">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317ED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15F4CA2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B71E13A">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3AB239E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3924EF0F">
        <w:tblPrEx>
          <w:tblCellMar>
            <w:top w:w="0" w:type="dxa"/>
            <w:left w:w="108" w:type="dxa"/>
            <w:bottom w:w="0" w:type="dxa"/>
            <w:right w:w="108" w:type="dxa"/>
          </w:tblCellMar>
        </w:tblPrEx>
        <w:trPr>
          <w:trHeight w:val="589"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6C1B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9120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康庄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833E05">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1DBBBD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48EE6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632EC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02B92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C6BAE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EA075D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7CF750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84E8ED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AB0595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F2F13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16</w:t>
            </w:r>
          </w:p>
        </w:tc>
      </w:tr>
      <w:tr w14:paraId="13D3D39A">
        <w:tblPrEx>
          <w:tblCellMar>
            <w:top w:w="0" w:type="dxa"/>
            <w:left w:w="108" w:type="dxa"/>
            <w:bottom w:w="0" w:type="dxa"/>
            <w:right w:w="108" w:type="dxa"/>
          </w:tblCellMar>
        </w:tblPrEx>
        <w:trPr>
          <w:trHeight w:val="647"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29C70">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D904C">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1E551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668620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47F2E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17F19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F16BD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786BA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3537F2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D5685A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235A29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15D59E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96718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60AFCEAD">
        <w:tblPrEx>
          <w:tblCellMar>
            <w:top w:w="0" w:type="dxa"/>
            <w:left w:w="108" w:type="dxa"/>
            <w:bottom w:w="0" w:type="dxa"/>
            <w:right w:w="108" w:type="dxa"/>
          </w:tblCellMar>
        </w:tblPrEx>
        <w:trPr>
          <w:trHeight w:val="710"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94CDE">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45652">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98C1A0">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5BEECE8F">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568F47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33CD227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56A6B2B1">
        <w:tblPrEx>
          <w:tblCellMar>
            <w:top w:w="0" w:type="dxa"/>
            <w:left w:w="108" w:type="dxa"/>
            <w:bottom w:w="0" w:type="dxa"/>
            <w:right w:w="108" w:type="dxa"/>
          </w:tblCellMar>
        </w:tblPrEx>
        <w:trPr>
          <w:trHeight w:val="607"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FC50F9">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D0A1F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盛德路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05EAD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102AEC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C26E0E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6A867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F60DA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B46B8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08C36F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C21703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9758E8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9553B5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54227B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w:t>
            </w:r>
          </w:p>
        </w:tc>
      </w:tr>
      <w:tr w14:paraId="181399CC">
        <w:tblPrEx>
          <w:tblCellMar>
            <w:top w:w="0" w:type="dxa"/>
            <w:left w:w="108" w:type="dxa"/>
            <w:bottom w:w="0" w:type="dxa"/>
            <w:right w:w="108" w:type="dxa"/>
          </w:tblCellMar>
        </w:tblPrEx>
        <w:trPr>
          <w:trHeight w:val="642"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0A0BF">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0D404">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2DAF9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F38364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697B3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61A28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C8ADF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A09C4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EC7056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B18B83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C8FDEB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3BC24AD">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05BBB5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30A28263">
        <w:tblPrEx>
          <w:tblCellMar>
            <w:top w:w="0" w:type="dxa"/>
            <w:left w:w="108" w:type="dxa"/>
            <w:bottom w:w="0" w:type="dxa"/>
            <w:right w:w="108" w:type="dxa"/>
          </w:tblCellMar>
        </w:tblPrEx>
        <w:trPr>
          <w:trHeight w:val="90"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B793F">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F5B51">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AD0A0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4706288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12B691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775CBB01">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01B0133F">
        <w:tblPrEx>
          <w:tblCellMar>
            <w:top w:w="0" w:type="dxa"/>
            <w:left w:w="108" w:type="dxa"/>
            <w:bottom w:w="0" w:type="dxa"/>
            <w:right w:w="108" w:type="dxa"/>
          </w:tblCellMar>
        </w:tblPrEx>
        <w:trPr>
          <w:trHeight w:val="597"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EF31D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5</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E1A68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沙坪坝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F8942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76A1D1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05B5A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780E7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CADF3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F2D69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0ADDCD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2B9660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8CCF86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BA448D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6240E2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17</w:t>
            </w:r>
          </w:p>
        </w:tc>
      </w:tr>
      <w:tr w14:paraId="6136D70A">
        <w:tblPrEx>
          <w:tblCellMar>
            <w:top w:w="0" w:type="dxa"/>
            <w:left w:w="108" w:type="dxa"/>
            <w:bottom w:w="0" w:type="dxa"/>
            <w:right w:w="108" w:type="dxa"/>
          </w:tblCellMar>
        </w:tblPrEx>
        <w:trPr>
          <w:trHeight w:val="619"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46119">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EF421">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EACBE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C0FA89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CB3FB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4A9FE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53243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19E64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CA6FDB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C79FB1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56C162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EA55A7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B9992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1275A5B1">
        <w:tblPrEx>
          <w:tblCellMar>
            <w:top w:w="0" w:type="dxa"/>
            <w:left w:w="108" w:type="dxa"/>
            <w:bottom w:w="0" w:type="dxa"/>
            <w:right w:w="108" w:type="dxa"/>
          </w:tblCellMar>
        </w:tblPrEx>
        <w:trPr>
          <w:trHeight w:val="69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486D2">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C8448">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59145D">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53988E40">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891499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638645B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6E8E8BD6">
        <w:tblPrEx>
          <w:tblCellMar>
            <w:top w:w="0" w:type="dxa"/>
            <w:left w:w="108" w:type="dxa"/>
            <w:bottom w:w="0" w:type="dxa"/>
            <w:right w:w="108" w:type="dxa"/>
          </w:tblCellMar>
        </w:tblPrEx>
        <w:trPr>
          <w:trHeight w:val="632"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79F1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6</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D032E4">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西站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5190E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FB7F6D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41BDC8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FDB24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81BCF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3C0FE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41D87C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8EDD13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D945B0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3F01E8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4D3875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762A01E7">
        <w:tblPrEx>
          <w:tblCellMar>
            <w:top w:w="0" w:type="dxa"/>
            <w:left w:w="108" w:type="dxa"/>
            <w:bottom w:w="0" w:type="dxa"/>
            <w:right w:w="108" w:type="dxa"/>
          </w:tblCellMar>
        </w:tblPrEx>
        <w:trPr>
          <w:trHeight w:val="577"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847CC">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1BCD1">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E8DDB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637B1F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61265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F525B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A6B82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EF998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368833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9D9E54A">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6749CD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61544B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4C3625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7D39B012">
        <w:tblPrEx>
          <w:tblCellMar>
            <w:top w:w="0" w:type="dxa"/>
            <w:left w:w="108" w:type="dxa"/>
            <w:bottom w:w="0" w:type="dxa"/>
            <w:right w:w="108" w:type="dxa"/>
          </w:tblCellMar>
        </w:tblPrEx>
        <w:trPr>
          <w:trHeight w:val="56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718B1">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3005F">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FB877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480F5980">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09A21F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474DD6C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3CCA2A85">
        <w:tblPrEx>
          <w:tblCellMar>
            <w:top w:w="0" w:type="dxa"/>
            <w:left w:w="108" w:type="dxa"/>
            <w:bottom w:w="0" w:type="dxa"/>
            <w:right w:w="108" w:type="dxa"/>
          </w:tblCellMar>
        </w:tblPrEx>
        <w:trPr>
          <w:trHeight w:val="567"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007A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7</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90D68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陈庹路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0716A4">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2B64C30">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C9E6A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CF649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50D7CF">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91AA4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FB4F966">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8607801">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DDFFBF8">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A08297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1510F2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w:t>
            </w:r>
          </w:p>
        </w:tc>
      </w:tr>
      <w:tr w14:paraId="6D26E5AA">
        <w:tblPrEx>
          <w:tblCellMar>
            <w:top w:w="0" w:type="dxa"/>
            <w:left w:w="108" w:type="dxa"/>
            <w:bottom w:w="0" w:type="dxa"/>
            <w:right w:w="108" w:type="dxa"/>
          </w:tblCellMar>
        </w:tblPrEx>
        <w:trPr>
          <w:trHeight w:val="537"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D1106">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F4B5A">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AFA6B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3EE691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98C072">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254393">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6F02C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D73CC9">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11AEF57">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289441B">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E23DD0C">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2AAD3BE">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3EAFEB5">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14:paraId="796DA212">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CA498">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74F85">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9FE77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725482FD">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735FC5F">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475E799D">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462EC55E">
        <w:tblPrEx>
          <w:tblCellMar>
            <w:top w:w="0" w:type="dxa"/>
            <w:left w:w="108" w:type="dxa"/>
            <w:bottom w:w="0" w:type="dxa"/>
            <w:right w:w="108" w:type="dxa"/>
          </w:tblCellMar>
        </w:tblPrEx>
        <w:trPr>
          <w:trHeight w:val="64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E78A84">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8</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15178">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交通局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F1568C">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42EBECF">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00B163B">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D59B81">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030727">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B4E029">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123FDC2">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164A292">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B212CC0">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5F5F032">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28E6823">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r>
      <w:tr w14:paraId="2467B885">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43A7A">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C6F88">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59814F">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E0215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9C11DB">
            <w:pPr>
              <w:keepNext w:val="0"/>
              <w:keepLines w:val="0"/>
              <w:widowControl/>
              <w:suppressLineNumbers w:val="0"/>
              <w:jc w:val="center"/>
              <w:textAlignment w:val="center"/>
              <w:rPr>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0FC7C4">
            <w:pPr>
              <w:keepNext w:val="0"/>
              <w:keepLines w:val="0"/>
              <w:widowControl/>
              <w:suppressLineNumbers w:val="0"/>
              <w:jc w:val="center"/>
              <w:textAlignment w:val="center"/>
              <w:rPr>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F18D8E">
            <w:pPr>
              <w:keepNext w:val="0"/>
              <w:keepLines w:val="0"/>
              <w:widowControl/>
              <w:suppressLineNumbers w:val="0"/>
              <w:jc w:val="center"/>
              <w:textAlignment w:val="center"/>
              <w:rPr>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6AAEBD">
            <w:pPr>
              <w:keepNext w:val="0"/>
              <w:keepLines w:val="0"/>
              <w:widowControl/>
              <w:suppressLineNumbers w:val="0"/>
              <w:jc w:val="center"/>
              <w:textAlignment w:val="center"/>
              <w:rPr>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0BB141A">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00D785E">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D36FF6F">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7CC562B">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761DDD2">
            <w:pPr>
              <w:keepNext w:val="0"/>
              <w:keepLines w:val="0"/>
              <w:widowControl/>
              <w:suppressLineNumbers w:val="0"/>
              <w:jc w:val="center"/>
              <w:textAlignment w:val="center"/>
              <w:rPr>
                <w:highlight w:val="none"/>
              </w:rPr>
            </w:pPr>
          </w:p>
        </w:tc>
      </w:tr>
      <w:tr w14:paraId="7F62A473">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E29F7">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DD6D6">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0D57FD">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3AD5874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5B69F6E">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0D3B8B51">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04F92F59">
        <w:tblPrEx>
          <w:tblCellMar>
            <w:top w:w="0" w:type="dxa"/>
            <w:left w:w="108" w:type="dxa"/>
            <w:bottom w:w="0" w:type="dxa"/>
            <w:right w:w="108" w:type="dxa"/>
          </w:tblCellMar>
        </w:tblPrEx>
        <w:trPr>
          <w:trHeight w:val="64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9302D">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9</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C12A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保税港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C4890C">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2180AF3">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B49425">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214597">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6F4D43">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ECAA79">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C5204CA">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E709BB3">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C70C2EA">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DB11E24">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82BABE">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14:paraId="3AA8F7FF">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84DFC">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8FB40">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5F3FEE">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645B671">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0239BB">
            <w:pPr>
              <w:keepNext w:val="0"/>
              <w:keepLines w:val="0"/>
              <w:widowControl/>
              <w:suppressLineNumbers w:val="0"/>
              <w:jc w:val="center"/>
              <w:textAlignment w:val="center"/>
              <w:rPr>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E1F4AD">
            <w:pPr>
              <w:keepNext w:val="0"/>
              <w:keepLines w:val="0"/>
              <w:widowControl/>
              <w:suppressLineNumbers w:val="0"/>
              <w:jc w:val="center"/>
              <w:textAlignment w:val="center"/>
              <w:rPr>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09CC9B">
            <w:pPr>
              <w:keepNext w:val="0"/>
              <w:keepLines w:val="0"/>
              <w:widowControl/>
              <w:suppressLineNumbers w:val="0"/>
              <w:jc w:val="center"/>
              <w:textAlignment w:val="center"/>
              <w:rPr>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BF83C4">
            <w:pPr>
              <w:keepNext w:val="0"/>
              <w:keepLines w:val="0"/>
              <w:widowControl/>
              <w:suppressLineNumbers w:val="0"/>
              <w:jc w:val="center"/>
              <w:textAlignment w:val="center"/>
              <w:rPr>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60A0F59">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CBE0B80">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951B85">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B51E071">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2EC2227">
            <w:pPr>
              <w:keepNext w:val="0"/>
              <w:keepLines w:val="0"/>
              <w:widowControl/>
              <w:suppressLineNumbers w:val="0"/>
              <w:jc w:val="center"/>
              <w:textAlignment w:val="center"/>
              <w:rPr>
                <w:highlight w:val="none"/>
              </w:rPr>
            </w:pPr>
          </w:p>
        </w:tc>
      </w:tr>
      <w:tr w14:paraId="6554AD4E">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528CF">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0083A">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FF8629">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074CFAE3">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D45F0F6">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5AB15630">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0C2E4997">
        <w:tblPrEx>
          <w:tblCellMar>
            <w:top w:w="0" w:type="dxa"/>
            <w:left w:w="108" w:type="dxa"/>
            <w:bottom w:w="0" w:type="dxa"/>
            <w:right w:w="108" w:type="dxa"/>
          </w:tblCellMar>
        </w:tblPrEx>
        <w:trPr>
          <w:trHeight w:val="64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F334CC">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F31DF">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金沙街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9E55A4">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FECE6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8A8DD2">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25C4FB">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1FA29F">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5D9075">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0885862">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C281E2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AAA4942">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E763DD2">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FDCF524">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21</w:t>
            </w:r>
          </w:p>
        </w:tc>
      </w:tr>
      <w:tr w14:paraId="40272FDD">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7A75D">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03A3F">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CB2B49">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A38952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B5243F">
            <w:pPr>
              <w:keepNext w:val="0"/>
              <w:keepLines w:val="0"/>
              <w:widowControl/>
              <w:suppressLineNumbers w:val="0"/>
              <w:jc w:val="center"/>
              <w:textAlignment w:val="center"/>
              <w:rPr>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8F11F">
            <w:pPr>
              <w:keepNext w:val="0"/>
              <w:keepLines w:val="0"/>
              <w:widowControl/>
              <w:suppressLineNumbers w:val="0"/>
              <w:jc w:val="center"/>
              <w:textAlignment w:val="center"/>
              <w:rPr>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80E74D">
            <w:pPr>
              <w:keepNext w:val="0"/>
              <w:keepLines w:val="0"/>
              <w:widowControl/>
              <w:suppressLineNumbers w:val="0"/>
              <w:jc w:val="center"/>
              <w:textAlignment w:val="center"/>
              <w:rPr>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E2C12C">
            <w:pPr>
              <w:keepNext w:val="0"/>
              <w:keepLines w:val="0"/>
              <w:widowControl/>
              <w:suppressLineNumbers w:val="0"/>
              <w:jc w:val="center"/>
              <w:textAlignment w:val="center"/>
              <w:rPr>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616C39B">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7F08768">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76C1592">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E88F808">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4D32E9E">
            <w:pPr>
              <w:keepNext w:val="0"/>
              <w:keepLines w:val="0"/>
              <w:widowControl/>
              <w:suppressLineNumbers w:val="0"/>
              <w:jc w:val="center"/>
              <w:textAlignment w:val="center"/>
              <w:rPr>
                <w:highlight w:val="none"/>
              </w:rPr>
            </w:pPr>
          </w:p>
        </w:tc>
      </w:tr>
      <w:tr w14:paraId="2829DF0F">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B2204">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63C6D">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F6B8AA">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14:paraId="26AE1305">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573688D">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14:paraId="4101C3AB">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14:paraId="27C6D055">
        <w:tblPrEx>
          <w:tblCellMar>
            <w:top w:w="0" w:type="dxa"/>
            <w:left w:w="108" w:type="dxa"/>
            <w:bottom w:w="0" w:type="dxa"/>
            <w:right w:w="108" w:type="dxa"/>
          </w:tblCellMar>
        </w:tblPrEx>
        <w:trPr>
          <w:trHeight w:val="819" w:hRule="atLeast"/>
        </w:trPr>
        <w:tc>
          <w:tcPr>
            <w:tcW w:w="2168" w:type="dxa"/>
            <w:gridSpan w:val="3"/>
            <w:tcBorders>
              <w:top w:val="single" w:color="000000" w:sz="4" w:space="0"/>
              <w:left w:val="single" w:color="000000" w:sz="4" w:space="0"/>
              <w:right w:val="single" w:color="000000" w:sz="4" w:space="0"/>
            </w:tcBorders>
            <w:noWrap w:val="0"/>
            <w:vAlign w:val="center"/>
          </w:tcPr>
          <w:p w14:paraId="66CAA9B6">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Style w:val="192"/>
                <w:rFonts w:hint="eastAsia" w:ascii="Times New Roman" w:hAnsi="Times New Roman" w:eastAsia="宋体" w:cs="Times New Roman"/>
                <w:color w:val="000000"/>
                <w:highlight w:val="none"/>
                <w:lang w:val="en-US" w:eastAsia="zh-CN" w:bidi="ar"/>
              </w:rPr>
              <w:t>10</w:t>
            </w:r>
            <w:r>
              <w:rPr>
                <w:rStyle w:val="193"/>
                <w:rFonts w:hint="default" w:ascii="Times New Roman" w:hAnsi="Times New Roman" w:cs="Times New Roman"/>
                <w:color w:val="000000"/>
                <w:highlight w:val="none"/>
                <w:lang w:val="en-US" w:eastAsia="zh-CN" w:bidi="ar"/>
              </w:rPr>
              <w:t>个项目含税总价（元）</w:t>
            </w:r>
          </w:p>
        </w:tc>
        <w:tc>
          <w:tcPr>
            <w:tcW w:w="4185" w:type="dxa"/>
            <w:gridSpan w:val="5"/>
            <w:tcBorders>
              <w:top w:val="single" w:color="000000" w:sz="4" w:space="0"/>
              <w:left w:val="single" w:color="000000" w:sz="4" w:space="0"/>
              <w:right w:val="single" w:color="000000" w:sz="4" w:space="0"/>
            </w:tcBorders>
            <w:noWrap w:val="0"/>
            <w:vAlign w:val="center"/>
          </w:tcPr>
          <w:p w14:paraId="28356784">
            <w:pPr>
              <w:jc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auto" w:sz="4" w:space="0"/>
              <w:right w:val="single" w:color="000000" w:sz="4" w:space="0"/>
            </w:tcBorders>
            <w:noWrap w:val="0"/>
            <w:vAlign w:val="center"/>
          </w:tcPr>
          <w:p w14:paraId="63EFA907">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auto" w:sz="4" w:space="0"/>
              <w:right w:val="single" w:color="000000" w:sz="4" w:space="0"/>
            </w:tcBorders>
            <w:noWrap w:val="0"/>
            <w:vAlign w:val="center"/>
          </w:tcPr>
          <w:p w14:paraId="7368C4AD">
            <w:pPr>
              <w:jc w:val="center"/>
              <w:rPr>
                <w:rFonts w:hint="default" w:ascii="Times New Roman" w:hAnsi="Times New Roman" w:eastAsia="方正仿宋_GBK" w:cs="Times New Roman"/>
                <w:b/>
                <w:bCs/>
                <w:color w:val="000000"/>
                <w:szCs w:val="21"/>
                <w:highlight w:val="none"/>
              </w:rPr>
            </w:pPr>
          </w:p>
        </w:tc>
      </w:tr>
      <w:tr w14:paraId="743E4433">
        <w:tblPrEx>
          <w:tblCellMar>
            <w:top w:w="0" w:type="dxa"/>
            <w:left w:w="108" w:type="dxa"/>
            <w:bottom w:w="0" w:type="dxa"/>
            <w:right w:w="108" w:type="dxa"/>
          </w:tblCellMar>
        </w:tblPrEx>
        <w:trPr>
          <w:trHeight w:val="469"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14:paraId="0147F5F4">
            <w:pPr>
              <w:widowControl/>
              <w:textAlignment w:val="center"/>
              <w:rPr>
                <w:rFonts w:hint="default" w:ascii="Times New Roman" w:hAnsi="Times New Roman" w:eastAsia="方正仿宋_GBK" w:cs="Times New Roman"/>
                <w:b/>
                <w:bCs/>
                <w:color w:val="000000"/>
                <w:kern w:val="0"/>
                <w:szCs w:val="21"/>
                <w:highlight w:val="none"/>
                <w:lang w:val="en-US" w:eastAsia="zh-CN" w:bidi="ar"/>
              </w:rPr>
            </w:pPr>
            <w:r>
              <w:rPr>
                <w:rFonts w:hint="eastAsia" w:ascii="Times New Roman" w:hAnsi="Times New Roman" w:eastAsia="方正仿宋_GBK" w:cs="Times New Roman"/>
                <w:b/>
                <w:bCs/>
                <w:color w:val="000000"/>
                <w:kern w:val="0"/>
                <w:szCs w:val="21"/>
                <w:highlight w:val="none"/>
                <w:lang w:val="en-US" w:eastAsia="zh-CN" w:bidi="ar"/>
              </w:rPr>
              <w:t>税率：</w:t>
            </w:r>
          </w:p>
        </w:tc>
      </w:tr>
      <w:tr w14:paraId="56CDF333">
        <w:tblPrEx>
          <w:tblCellMar>
            <w:top w:w="0" w:type="dxa"/>
            <w:left w:w="108" w:type="dxa"/>
            <w:bottom w:w="0" w:type="dxa"/>
            <w:right w:w="108" w:type="dxa"/>
          </w:tblCellMar>
        </w:tblPrEx>
        <w:trPr>
          <w:trHeight w:val="569"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14:paraId="130A582F">
            <w:pPr>
              <w:widowControl/>
              <w:textAlignment w:val="center"/>
              <w:rPr>
                <w:rFonts w:hint="default" w:ascii="Times New Roman" w:hAnsi="Times New Roman" w:eastAsia="方正仿宋_GBK" w:cs="Times New Roman"/>
                <w:b/>
                <w:bCs/>
                <w:color w:val="000000"/>
                <w:kern w:val="0"/>
                <w:szCs w:val="21"/>
                <w:highlight w:val="none"/>
                <w:lang w:bidi="ar"/>
              </w:rPr>
            </w:pPr>
            <w:r>
              <w:rPr>
                <w:rFonts w:hint="default" w:ascii="Times New Roman" w:hAnsi="Times New Roman" w:eastAsia="方正仿宋_GBK" w:cs="Times New Roman"/>
                <w:b/>
                <w:bCs/>
                <w:color w:val="000000"/>
                <w:kern w:val="0"/>
                <w:szCs w:val="21"/>
                <w:highlight w:val="none"/>
                <w:lang w:val="en-US" w:eastAsia="zh-CN" w:bidi="ar"/>
              </w:rPr>
              <w:t>二、</w:t>
            </w:r>
            <w:r>
              <w:rPr>
                <w:rFonts w:hint="default" w:ascii="Times New Roman" w:hAnsi="Times New Roman" w:eastAsia="方正仿宋_GBK" w:cs="Times New Roman"/>
                <w:b/>
                <w:bCs/>
                <w:color w:val="000000"/>
                <w:kern w:val="0"/>
                <w:szCs w:val="21"/>
                <w:highlight w:val="none"/>
                <w:lang w:bidi="ar"/>
              </w:rPr>
              <w:t>服务期限：202</w:t>
            </w:r>
            <w:r>
              <w:rPr>
                <w:rFonts w:hint="eastAsia" w:ascii="Times New Roman" w:hAnsi="Times New Roman" w:eastAsia="方正仿宋_GBK" w:cs="Times New Roman"/>
                <w:b/>
                <w:bCs/>
                <w:color w:val="000000"/>
                <w:kern w:val="0"/>
                <w:szCs w:val="21"/>
                <w:highlight w:val="none"/>
                <w:lang w:val="en-US" w:eastAsia="zh-CN" w:bidi="ar"/>
              </w:rPr>
              <w:t>6</w:t>
            </w:r>
            <w:r>
              <w:rPr>
                <w:rFonts w:hint="default" w:ascii="Times New Roman" w:hAnsi="Times New Roman" w:eastAsia="方正仿宋_GBK" w:cs="Times New Roman"/>
                <w:b/>
                <w:bCs/>
                <w:color w:val="000000"/>
                <w:kern w:val="0"/>
                <w:szCs w:val="21"/>
                <w:highlight w:val="none"/>
                <w:lang w:bidi="ar"/>
              </w:rPr>
              <w:t>.1.1-202</w:t>
            </w:r>
            <w:r>
              <w:rPr>
                <w:rFonts w:hint="eastAsia" w:ascii="Times New Roman" w:hAnsi="Times New Roman" w:eastAsia="方正仿宋_GBK" w:cs="Times New Roman"/>
                <w:b/>
                <w:bCs/>
                <w:color w:val="000000"/>
                <w:kern w:val="0"/>
                <w:szCs w:val="21"/>
                <w:highlight w:val="none"/>
                <w:lang w:val="en-US" w:eastAsia="zh-CN" w:bidi="ar"/>
              </w:rPr>
              <w:t>6</w:t>
            </w:r>
            <w:r>
              <w:rPr>
                <w:rFonts w:hint="default" w:ascii="Times New Roman" w:hAnsi="Times New Roman" w:eastAsia="方正仿宋_GBK" w:cs="Times New Roman"/>
                <w:b/>
                <w:bCs/>
                <w:color w:val="000000"/>
                <w:kern w:val="0"/>
                <w:szCs w:val="21"/>
                <w:highlight w:val="none"/>
                <w:lang w:bidi="ar"/>
              </w:rPr>
              <w:t>.12.31，共计12个月。</w:t>
            </w:r>
          </w:p>
        </w:tc>
      </w:tr>
      <w:tr w14:paraId="6BCECE61">
        <w:tblPrEx>
          <w:tblCellMar>
            <w:top w:w="0" w:type="dxa"/>
            <w:left w:w="108" w:type="dxa"/>
            <w:bottom w:w="0" w:type="dxa"/>
            <w:right w:w="108" w:type="dxa"/>
          </w:tblCellMar>
        </w:tblPrEx>
        <w:trPr>
          <w:trHeight w:val="1236"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14:paraId="09B25816">
            <w:pPr>
              <w:widowControl/>
              <w:numPr>
                <w:ilvl w:val="0"/>
                <w:numId w:val="5"/>
              </w:numPr>
              <w:textAlignment w:val="center"/>
              <w:rPr>
                <w:rFonts w:hint="default" w:ascii="Times New Roman" w:hAnsi="Times New Roman" w:eastAsia="方正仿宋_GBK" w:cs="Times New Roman"/>
                <w:b/>
                <w:bCs/>
                <w:color w:val="000000"/>
                <w:kern w:val="0"/>
                <w:szCs w:val="21"/>
                <w:highlight w:val="none"/>
                <w:lang w:eastAsia="zh-CN" w:bidi="ar"/>
              </w:rPr>
            </w:pPr>
            <w:r>
              <w:rPr>
                <w:rFonts w:hint="default" w:ascii="Times New Roman" w:hAnsi="Times New Roman" w:eastAsia="方正仿宋_GBK" w:cs="Times New Roman"/>
                <w:b/>
                <w:bCs/>
                <w:color w:val="000000"/>
                <w:kern w:val="0"/>
                <w:szCs w:val="21"/>
                <w:highlight w:val="none"/>
                <w:lang w:val="en-US" w:eastAsia="zh-CN" w:bidi="ar"/>
              </w:rPr>
              <w:t>备注：1.</w:t>
            </w:r>
            <w:r>
              <w:rPr>
                <w:rFonts w:hint="default" w:ascii="Times New Roman" w:hAnsi="Times New Roman" w:eastAsia="方正仿宋_GBK" w:cs="Times New Roman"/>
                <w:b/>
                <w:bCs/>
                <w:color w:val="000000"/>
                <w:kern w:val="0"/>
                <w:szCs w:val="21"/>
                <w:highlight w:val="none"/>
                <w:lang w:bidi="ar"/>
              </w:rPr>
              <w:t>上述报价为包干价，含300元及300元以内的配件免费更换</w:t>
            </w:r>
            <w:r>
              <w:rPr>
                <w:rFonts w:hint="default" w:ascii="Times New Roman" w:hAnsi="Times New Roman" w:eastAsia="方正仿宋_GBK" w:cs="Times New Roman"/>
                <w:b/>
                <w:bCs/>
                <w:color w:val="000000"/>
                <w:kern w:val="0"/>
                <w:szCs w:val="21"/>
                <w:highlight w:val="none"/>
                <w:lang w:eastAsia="zh-CN" w:bidi="ar"/>
              </w:rPr>
              <w:t>；</w:t>
            </w:r>
          </w:p>
          <w:p w14:paraId="029D7986">
            <w:pPr>
              <w:widowControl/>
              <w:numPr>
                <w:ilvl w:val="0"/>
                <w:numId w:val="0"/>
              </w:numPr>
              <w:ind w:leftChars="0" w:firstLine="1004" w:firstLineChars="500"/>
              <w:textAlignment w:val="center"/>
              <w:rPr>
                <w:rFonts w:hint="default" w:ascii="Times New Roman" w:hAnsi="Times New Roman" w:eastAsia="方正仿宋_GBK" w:cs="Times New Roman"/>
                <w:b/>
                <w:bCs/>
                <w:color w:val="000000"/>
                <w:kern w:val="0"/>
                <w:szCs w:val="21"/>
                <w:highlight w:val="none"/>
                <w:lang w:eastAsia="zh-CN" w:bidi="ar"/>
              </w:rPr>
            </w:pPr>
            <w:r>
              <w:rPr>
                <w:rFonts w:hint="default" w:ascii="Times New Roman" w:hAnsi="Times New Roman" w:eastAsia="方正仿宋_GBK" w:cs="Times New Roman"/>
                <w:b/>
                <w:bCs/>
                <w:color w:val="000000"/>
                <w:kern w:val="0"/>
                <w:szCs w:val="21"/>
                <w:highlight w:val="none"/>
                <w:lang w:val="en-US" w:eastAsia="zh-CN" w:bidi="ar"/>
              </w:rPr>
              <w:t>2.</w:t>
            </w:r>
            <w:r>
              <w:rPr>
                <w:rFonts w:hint="default" w:ascii="Times New Roman" w:hAnsi="Times New Roman" w:eastAsia="方正仿宋_GBK" w:cs="Times New Roman"/>
                <w:b/>
                <w:bCs/>
                <w:color w:val="000000"/>
                <w:kern w:val="0"/>
                <w:szCs w:val="21"/>
                <w:highlight w:val="none"/>
                <w:lang w:bidi="ar"/>
              </w:rPr>
              <w:t>所填报价格必须保留至小数点后2位，小数点后无数字时填写0</w:t>
            </w:r>
            <w:r>
              <w:rPr>
                <w:rFonts w:hint="default" w:ascii="Times New Roman" w:hAnsi="Times New Roman" w:eastAsia="方正仿宋_GBK" w:cs="Times New Roman"/>
                <w:b/>
                <w:bCs/>
                <w:color w:val="000000"/>
                <w:kern w:val="0"/>
                <w:szCs w:val="21"/>
                <w:highlight w:val="none"/>
                <w:lang w:eastAsia="zh-CN" w:bidi="ar"/>
              </w:rPr>
              <w:t>；</w:t>
            </w:r>
          </w:p>
          <w:p w14:paraId="65E488BF">
            <w:pPr>
              <w:widowControl/>
              <w:numPr>
                <w:ilvl w:val="0"/>
                <w:numId w:val="0"/>
              </w:numPr>
              <w:ind w:leftChars="0" w:firstLine="1004" w:firstLineChars="500"/>
              <w:textAlignment w:val="center"/>
              <w:rPr>
                <w:rFonts w:hint="default" w:ascii="Times New Roman" w:hAnsi="Times New Roman" w:eastAsia="方正仿宋_GBK" w:cs="Times New Roman"/>
                <w:b/>
                <w:bCs/>
                <w:color w:val="000000"/>
                <w:kern w:val="0"/>
                <w:szCs w:val="21"/>
                <w:highlight w:val="none"/>
                <w:lang w:val="en-US" w:eastAsia="zh-CN" w:bidi="ar"/>
              </w:rPr>
            </w:pPr>
            <w:r>
              <w:rPr>
                <w:rFonts w:hint="default" w:ascii="Times New Roman" w:hAnsi="Times New Roman" w:eastAsia="方正仿宋_GBK" w:cs="Times New Roman"/>
                <w:b/>
                <w:bCs/>
                <w:color w:val="000000"/>
                <w:kern w:val="0"/>
                <w:szCs w:val="21"/>
                <w:highlight w:val="none"/>
                <w:lang w:val="en-US" w:eastAsia="zh-CN" w:bidi="ar"/>
              </w:rPr>
              <w:t>3.请同步将“</w:t>
            </w:r>
            <w:r>
              <w:rPr>
                <w:rFonts w:hint="default" w:ascii="Times New Roman" w:hAnsi="Times New Roman" w:eastAsia="方正仿宋_GBK" w:cs="Times New Roman"/>
                <w:b/>
                <w:bCs/>
                <w:color w:val="000000"/>
                <w:kern w:val="0"/>
                <w:szCs w:val="21"/>
                <w:highlight w:val="none"/>
                <w:lang w:bidi="ar"/>
              </w:rPr>
              <w:t>配电维保服务报价清单</w:t>
            </w:r>
            <w:r>
              <w:rPr>
                <w:rFonts w:hint="default" w:ascii="Times New Roman" w:hAnsi="Times New Roman" w:eastAsia="方正仿宋_GBK" w:cs="Times New Roman"/>
                <w:b/>
                <w:bCs/>
                <w:color w:val="000000"/>
                <w:kern w:val="0"/>
                <w:szCs w:val="21"/>
                <w:highlight w:val="none"/>
                <w:lang w:val="en-US" w:eastAsia="zh-CN" w:bidi="ar"/>
              </w:rPr>
              <w:t>”EXCEL版拷贝至投标文件U盘中，</w:t>
            </w:r>
            <w:r>
              <w:rPr>
                <w:rFonts w:hint="eastAsia" w:ascii="Times New Roman" w:hAnsi="Times New Roman" w:eastAsia="方正仿宋_GBK" w:cs="Times New Roman"/>
                <w:b/>
                <w:bCs/>
                <w:color w:val="000000"/>
                <w:kern w:val="0"/>
                <w:szCs w:val="21"/>
                <w:highlight w:val="none"/>
                <w:lang w:val="en-US" w:eastAsia="zh-CN" w:bidi="ar"/>
              </w:rPr>
              <w:t>以便</w:t>
            </w:r>
            <w:r>
              <w:rPr>
                <w:rFonts w:hint="default" w:ascii="Times New Roman" w:hAnsi="Times New Roman" w:eastAsia="方正仿宋_GBK" w:cs="Times New Roman"/>
                <w:b/>
                <w:bCs/>
                <w:color w:val="000000"/>
                <w:kern w:val="0"/>
                <w:szCs w:val="21"/>
                <w:highlight w:val="none"/>
                <w:lang w:val="en-US" w:eastAsia="zh-CN" w:bidi="ar"/>
              </w:rPr>
              <w:t>核价。</w:t>
            </w:r>
          </w:p>
        </w:tc>
      </w:tr>
    </w:tbl>
    <w:p w14:paraId="00FBA70D">
      <w:pPr>
        <w:widowControl/>
        <w:ind w:firstLine="201" w:firstLineChars="100"/>
        <w:textAlignment w:val="center"/>
        <w:rPr>
          <w:rFonts w:hint="default" w:ascii="Times New Roman" w:hAnsi="Times New Roman" w:eastAsia="方正仿宋_GBK" w:cs="Times New Roman"/>
          <w:b/>
          <w:bCs/>
          <w:color w:val="000000"/>
          <w:kern w:val="0"/>
          <w:szCs w:val="21"/>
          <w:highlight w:val="none"/>
          <w:lang w:bidi="ar"/>
        </w:rPr>
      </w:pPr>
    </w:p>
    <w:p w14:paraId="4C175DD6">
      <w:pPr>
        <w:spacing w:line="200" w:lineRule="exact"/>
        <w:rPr>
          <w:rFonts w:hint="eastAsia" w:ascii="宋体" w:hAnsi="宋体" w:eastAsia="宋体" w:cs="宋体"/>
          <w:color w:val="auto"/>
          <w:highlight w:val="none"/>
        </w:rPr>
      </w:pPr>
      <w:bookmarkStart w:id="164" w:name="page78"/>
      <w:bookmarkEnd w:id="164"/>
    </w:p>
    <w:sectPr>
      <w:headerReference r:id="rId15" w:type="default"/>
      <w:footerReference r:id="rId16" w:type="default"/>
      <w:pgSz w:w="11906" w:h="16838"/>
      <w:pgMar w:top="1440" w:right="1276" w:bottom="1440" w:left="1418"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947401-DD15-4180-BDC0-66EA6BDE08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657FDE0-8036-4F59-A7B9-21CD02FCA33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022C09E7-06DD-4BB6-9DCF-923CFCF0689B}"/>
  </w:font>
  <w:font w:name="方正小标宋_GBK">
    <w:panose1 w:val="02000000000000000000"/>
    <w:charset w:val="86"/>
    <w:family w:val="script"/>
    <w:pitch w:val="default"/>
    <w:sig w:usb0="A00002BF" w:usb1="38CF7CFA" w:usb2="00082016" w:usb3="00000000" w:csb0="00040001" w:csb1="00000000"/>
    <w:embedRegular r:id="rId4" w:fontKey="{B2ED3EBD-60E0-4A26-BBC2-8C211A9E3DB8}"/>
  </w:font>
  <w:font w:name="方正黑体_GBK">
    <w:panose1 w:val="03000509000000000000"/>
    <w:charset w:val="86"/>
    <w:family w:val="script"/>
    <w:pitch w:val="default"/>
    <w:sig w:usb0="00000001" w:usb1="080E0000" w:usb2="00000000" w:usb3="00000000" w:csb0="00040000" w:csb1="00000000"/>
    <w:embedRegular r:id="rId5" w:fontKey="{1722ECBF-3B1C-4F20-948A-D408E1752BAE}"/>
  </w:font>
  <w:font w:name="WPSEMBED17">
    <w:panose1 w:val="02010609030101010101"/>
    <w:charset w:val="86"/>
    <w:family w:val="auto"/>
    <w:pitch w:val="default"/>
    <w:sig w:usb0="00000001" w:usb1="080E0000" w:usb2="00000000" w:usb3="00000000" w:csb0="00040000" w:csb1="00000000"/>
  </w:font>
  <w:font w:name="WPSEMBED18">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C11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7C7BD7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07C7BD7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8596B">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D0C08">
                          <w:pPr>
                            <w:pStyle w:val="1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4D5D0C08">
                    <w:pPr>
                      <w:pStyle w:val="1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12D9">
    <w:pPr>
      <w:pStyle w:val="13"/>
      <w:rPr>
        <w:rStyle w:val="27"/>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B9B55">
                          <w:pPr>
                            <w:pStyle w:val="13"/>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0FB9B55">
                    <w:pPr>
                      <w:pStyle w:val="13"/>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p w14:paraId="1D044F39">
    <w:pPr>
      <w:pStyle w:val="13"/>
      <w:rPr>
        <w:rStyle w:val="27"/>
        <w:rFonts w:hint="eastAsia"/>
      </w:rPr>
    </w:pPr>
  </w:p>
  <w:p w14:paraId="7D4A2A0F">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5FC7">
    <w:pPr>
      <w:pStyle w:val="13"/>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044631A1">
                          <w:pPr>
                            <w:pStyle w:val="13"/>
                            <w:jc w:val="both"/>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C9+OgPiAQAAuAMAAA4A&#10;AAAAAAAAAQAgAAAAHwEAAGRycy9lMm9Eb2MueG1sUEsFBgAAAAAGAAYAWQEAAHMFAAAAAA==&#10;">
              <v:fill on="f" focussize="0,0"/>
              <v:stroke on="f"/>
              <v:imagedata o:title=""/>
              <o:lock v:ext="edit" aspectratio="f"/>
              <v:textbox inset="0mm,0mm,0mm,0mm" style="mso-fit-shape-to-text:t;">
                <w:txbxContent>
                  <w:p w14:paraId="044631A1">
                    <w:pPr>
                      <w:pStyle w:val="13"/>
                      <w:jc w:val="both"/>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1CC9">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C5C15">
                          <w:pPr>
                            <w:pStyle w:val="1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73FC5C15">
                    <w:pPr>
                      <w:pStyle w:val="1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p w14:paraId="0A48D32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3F87E">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326EA">
                          <w:pPr>
                            <w:pStyle w:val="13"/>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5B7326EA">
                    <w:pPr>
                      <w:pStyle w:val="13"/>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0ADA">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2F08DF68">
                          <w:pPr>
                            <w:snapToGrid w:val="0"/>
                            <w:spacing w:line="360" w:lineRule="auto"/>
                            <w:ind w:firstLine="482"/>
                            <w:rPr>
                              <w:sz w:val="24"/>
                            </w:rPr>
                          </w:pPr>
                          <w:r>
                            <w:fldChar w:fldCharType="begin"/>
                          </w:r>
                          <w:r>
                            <w:instrText xml:space="preserve">PAGE</w:instrText>
                          </w:r>
                          <w:r>
                            <w:fldChar w:fldCharType="separate"/>
                          </w:r>
                          <w:r>
                            <w:t>74</w:t>
                          </w:r>
                          <w:r>
                            <w:fldChar w:fldCharType="end"/>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14:paraId="2F08DF68">
                    <w:pPr>
                      <w:snapToGrid w:val="0"/>
                      <w:spacing w:line="360" w:lineRule="auto"/>
                      <w:ind w:firstLine="482"/>
                      <w:rPr>
                        <w:sz w:val="24"/>
                      </w:rPr>
                    </w:pPr>
                    <w:r>
                      <w:fldChar w:fldCharType="begin"/>
                    </w:r>
                    <w:r>
                      <w:instrText xml:space="preserve">PAGE</w:instrText>
                    </w:r>
                    <w:r>
                      <w:fldChar w:fldCharType="separate"/>
                    </w:r>
                    <w:r>
                      <w:t>74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D0E7">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D66F">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12B8C">
    <w:pPr>
      <w:pStyle w:val="14"/>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E783">
    <w:pPr>
      <w:spacing w:line="260" w:lineRule="exact"/>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91699">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78AD">
    <w:pPr>
      <w:pStyle w:val="1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813F">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996D"/>
    <w:multiLevelType w:val="singleLevel"/>
    <w:tmpl w:val="9595996D"/>
    <w:lvl w:ilvl="0" w:tentative="0">
      <w:start w:val="5"/>
      <w:numFmt w:val="decimal"/>
      <w:suff w:val="nothing"/>
      <w:lvlText w:val="（%1）"/>
      <w:lvlJc w:val="left"/>
    </w:lvl>
  </w:abstractNum>
  <w:abstractNum w:abstractNumId="1">
    <w:nsid w:val="C5B86B13"/>
    <w:multiLevelType w:val="singleLevel"/>
    <w:tmpl w:val="C5B86B13"/>
    <w:lvl w:ilvl="0" w:tentative="0">
      <w:start w:val="1"/>
      <w:numFmt w:val="chineseCounting"/>
      <w:suff w:val="nothing"/>
      <w:lvlText w:val="（%1）"/>
      <w:lvlJc w:val="left"/>
      <w:pPr>
        <w:tabs>
          <w:tab w:val="left" w:pos="0"/>
        </w:tabs>
      </w:pPr>
      <w:rPr>
        <w:rFonts w:hint="eastAsia"/>
      </w:rPr>
    </w:lvl>
  </w:abstractNum>
  <w:abstractNum w:abstractNumId="2">
    <w:nsid w:val="C6ECD3E4"/>
    <w:multiLevelType w:val="singleLevel"/>
    <w:tmpl w:val="C6ECD3E4"/>
    <w:lvl w:ilvl="0" w:tentative="0">
      <w:start w:val="6"/>
      <w:numFmt w:val="chineseCounting"/>
      <w:suff w:val="space"/>
      <w:lvlText w:val="第%1章"/>
      <w:lvlJc w:val="left"/>
      <w:rPr>
        <w:rFonts w:hint="eastAsia"/>
      </w:rPr>
    </w:lvl>
  </w:abstractNum>
  <w:abstractNum w:abstractNumId="3">
    <w:nsid w:val="2BC04BCA"/>
    <w:multiLevelType w:val="singleLevel"/>
    <w:tmpl w:val="2BC04BCA"/>
    <w:lvl w:ilvl="0" w:tentative="0">
      <w:start w:val="3"/>
      <w:numFmt w:val="chineseCounting"/>
      <w:suff w:val="nothing"/>
      <w:lvlText w:val="%1、"/>
      <w:lvlJc w:val="left"/>
      <w:rPr>
        <w:rFonts w:hint="eastAsia"/>
      </w:rPr>
    </w:lvl>
  </w:abstractNum>
  <w:abstractNum w:abstractNumId="4">
    <w:nsid w:val="66104F0B"/>
    <w:multiLevelType w:val="multilevel"/>
    <w:tmpl w:val="66104F0B"/>
    <w:lvl w:ilvl="0" w:tentative="0">
      <w:start w:val="1"/>
      <w:numFmt w:val="decimal"/>
      <w:pStyle w:val="5"/>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0F16E2"/>
    <w:rsid w:val="01255F91"/>
    <w:rsid w:val="015A7DE3"/>
    <w:rsid w:val="01830099"/>
    <w:rsid w:val="01C95207"/>
    <w:rsid w:val="01E0648F"/>
    <w:rsid w:val="021A36E8"/>
    <w:rsid w:val="026D50AD"/>
    <w:rsid w:val="028400BA"/>
    <w:rsid w:val="02860083"/>
    <w:rsid w:val="02971F57"/>
    <w:rsid w:val="02CF0DD5"/>
    <w:rsid w:val="03093160"/>
    <w:rsid w:val="031401DE"/>
    <w:rsid w:val="03D90444"/>
    <w:rsid w:val="03EF7C67"/>
    <w:rsid w:val="040B29CC"/>
    <w:rsid w:val="0419477B"/>
    <w:rsid w:val="041E22FB"/>
    <w:rsid w:val="042E6C09"/>
    <w:rsid w:val="048760F2"/>
    <w:rsid w:val="04BE5A6A"/>
    <w:rsid w:val="05780E89"/>
    <w:rsid w:val="05F91E7B"/>
    <w:rsid w:val="0650513E"/>
    <w:rsid w:val="069948CC"/>
    <w:rsid w:val="072B7F42"/>
    <w:rsid w:val="07400174"/>
    <w:rsid w:val="074460EB"/>
    <w:rsid w:val="077112C2"/>
    <w:rsid w:val="07C22F8C"/>
    <w:rsid w:val="0803505D"/>
    <w:rsid w:val="082F2D28"/>
    <w:rsid w:val="084A5204"/>
    <w:rsid w:val="0856184B"/>
    <w:rsid w:val="09157676"/>
    <w:rsid w:val="093B7E06"/>
    <w:rsid w:val="098A290C"/>
    <w:rsid w:val="0991492A"/>
    <w:rsid w:val="09E511F0"/>
    <w:rsid w:val="0A134A7F"/>
    <w:rsid w:val="0A1C0D26"/>
    <w:rsid w:val="0A2F6A30"/>
    <w:rsid w:val="0A713753"/>
    <w:rsid w:val="0AC52262"/>
    <w:rsid w:val="0ADB4E1D"/>
    <w:rsid w:val="0AF32134"/>
    <w:rsid w:val="0B2B1171"/>
    <w:rsid w:val="0B917E49"/>
    <w:rsid w:val="0BE77114"/>
    <w:rsid w:val="0BFD1E80"/>
    <w:rsid w:val="0C99794B"/>
    <w:rsid w:val="0CC264EA"/>
    <w:rsid w:val="0CE73BD2"/>
    <w:rsid w:val="0D234439"/>
    <w:rsid w:val="0D2F0FE6"/>
    <w:rsid w:val="0D3D7625"/>
    <w:rsid w:val="0D991E99"/>
    <w:rsid w:val="0E115993"/>
    <w:rsid w:val="0E231F89"/>
    <w:rsid w:val="0E697251"/>
    <w:rsid w:val="0E836445"/>
    <w:rsid w:val="0E8A41F3"/>
    <w:rsid w:val="0EB41738"/>
    <w:rsid w:val="0F416D70"/>
    <w:rsid w:val="0F4F1C29"/>
    <w:rsid w:val="0F81088A"/>
    <w:rsid w:val="0F8C280E"/>
    <w:rsid w:val="0FA905E8"/>
    <w:rsid w:val="0FC227FA"/>
    <w:rsid w:val="0FC7113A"/>
    <w:rsid w:val="0FE260B4"/>
    <w:rsid w:val="0FE81691"/>
    <w:rsid w:val="1018390F"/>
    <w:rsid w:val="102D5080"/>
    <w:rsid w:val="1045133B"/>
    <w:rsid w:val="10801699"/>
    <w:rsid w:val="111B422B"/>
    <w:rsid w:val="11F450ED"/>
    <w:rsid w:val="12BF5CD9"/>
    <w:rsid w:val="13752E98"/>
    <w:rsid w:val="13C86620"/>
    <w:rsid w:val="13E9112B"/>
    <w:rsid w:val="13F5681F"/>
    <w:rsid w:val="141273BA"/>
    <w:rsid w:val="141507D5"/>
    <w:rsid w:val="14751742"/>
    <w:rsid w:val="14795475"/>
    <w:rsid w:val="14BE60AA"/>
    <w:rsid w:val="14C91E0F"/>
    <w:rsid w:val="14FE15CF"/>
    <w:rsid w:val="15026C33"/>
    <w:rsid w:val="152037A0"/>
    <w:rsid w:val="15435863"/>
    <w:rsid w:val="158632B3"/>
    <w:rsid w:val="15D53161"/>
    <w:rsid w:val="16044B07"/>
    <w:rsid w:val="160A4619"/>
    <w:rsid w:val="1658169C"/>
    <w:rsid w:val="167A1985"/>
    <w:rsid w:val="1680016C"/>
    <w:rsid w:val="168D3E86"/>
    <w:rsid w:val="16922DAB"/>
    <w:rsid w:val="171E0671"/>
    <w:rsid w:val="172E2F5E"/>
    <w:rsid w:val="174D40D3"/>
    <w:rsid w:val="17584A62"/>
    <w:rsid w:val="175963A8"/>
    <w:rsid w:val="17716CB6"/>
    <w:rsid w:val="17991B72"/>
    <w:rsid w:val="17A52D08"/>
    <w:rsid w:val="18D7705D"/>
    <w:rsid w:val="190F0738"/>
    <w:rsid w:val="197D5287"/>
    <w:rsid w:val="19BE404A"/>
    <w:rsid w:val="19E7676F"/>
    <w:rsid w:val="19EE40AC"/>
    <w:rsid w:val="1A2742AF"/>
    <w:rsid w:val="1A521E66"/>
    <w:rsid w:val="1A7408EE"/>
    <w:rsid w:val="1AF43FBE"/>
    <w:rsid w:val="1B4A1EFB"/>
    <w:rsid w:val="1B6875F7"/>
    <w:rsid w:val="1B7A3E63"/>
    <w:rsid w:val="1B8B170E"/>
    <w:rsid w:val="1BDD2D6F"/>
    <w:rsid w:val="1BF7226F"/>
    <w:rsid w:val="1C10457D"/>
    <w:rsid w:val="1C5539AB"/>
    <w:rsid w:val="1C6B05B3"/>
    <w:rsid w:val="1CB100BD"/>
    <w:rsid w:val="1D5C35F6"/>
    <w:rsid w:val="1D943995"/>
    <w:rsid w:val="1DA51336"/>
    <w:rsid w:val="1DB51058"/>
    <w:rsid w:val="1DEB51E9"/>
    <w:rsid w:val="1DEF28E6"/>
    <w:rsid w:val="1E5673AA"/>
    <w:rsid w:val="1ECE5937"/>
    <w:rsid w:val="1ED10BC0"/>
    <w:rsid w:val="1EE62622"/>
    <w:rsid w:val="1EFC6654"/>
    <w:rsid w:val="1F350325"/>
    <w:rsid w:val="1F93444B"/>
    <w:rsid w:val="1FC01B8F"/>
    <w:rsid w:val="1FE92D84"/>
    <w:rsid w:val="205360FA"/>
    <w:rsid w:val="2055040C"/>
    <w:rsid w:val="20665917"/>
    <w:rsid w:val="206B7F2F"/>
    <w:rsid w:val="206F0705"/>
    <w:rsid w:val="2074297D"/>
    <w:rsid w:val="20A36171"/>
    <w:rsid w:val="20AC1FF1"/>
    <w:rsid w:val="20AE7F28"/>
    <w:rsid w:val="20E7584F"/>
    <w:rsid w:val="211337D0"/>
    <w:rsid w:val="21245059"/>
    <w:rsid w:val="21F70203"/>
    <w:rsid w:val="222B4109"/>
    <w:rsid w:val="22386FDF"/>
    <w:rsid w:val="224B2FFA"/>
    <w:rsid w:val="22683E7D"/>
    <w:rsid w:val="226909D1"/>
    <w:rsid w:val="22AA1398"/>
    <w:rsid w:val="22AA3C81"/>
    <w:rsid w:val="23096527"/>
    <w:rsid w:val="23830D0F"/>
    <w:rsid w:val="23E822B1"/>
    <w:rsid w:val="23F9528D"/>
    <w:rsid w:val="24023989"/>
    <w:rsid w:val="24085924"/>
    <w:rsid w:val="24C113DB"/>
    <w:rsid w:val="24D340B6"/>
    <w:rsid w:val="24EA6C9B"/>
    <w:rsid w:val="254232C6"/>
    <w:rsid w:val="25692BED"/>
    <w:rsid w:val="25C94365"/>
    <w:rsid w:val="26012B5C"/>
    <w:rsid w:val="26161FE6"/>
    <w:rsid w:val="26552171"/>
    <w:rsid w:val="266D6A9E"/>
    <w:rsid w:val="268737AC"/>
    <w:rsid w:val="273C62F2"/>
    <w:rsid w:val="27606603"/>
    <w:rsid w:val="277B168E"/>
    <w:rsid w:val="27820C15"/>
    <w:rsid w:val="279B7F7B"/>
    <w:rsid w:val="27C93CD0"/>
    <w:rsid w:val="27D06614"/>
    <w:rsid w:val="27EF5BC2"/>
    <w:rsid w:val="28563F4C"/>
    <w:rsid w:val="285A5748"/>
    <w:rsid w:val="286E7213"/>
    <w:rsid w:val="28832986"/>
    <w:rsid w:val="28960500"/>
    <w:rsid w:val="28C52BC1"/>
    <w:rsid w:val="28E26642"/>
    <w:rsid w:val="29170E8E"/>
    <w:rsid w:val="295936F4"/>
    <w:rsid w:val="296034C4"/>
    <w:rsid w:val="298A7967"/>
    <w:rsid w:val="2A17569E"/>
    <w:rsid w:val="2A3B4BBC"/>
    <w:rsid w:val="2AA1755F"/>
    <w:rsid w:val="2AAE4EDC"/>
    <w:rsid w:val="2AE5579D"/>
    <w:rsid w:val="2B230073"/>
    <w:rsid w:val="2B527CA9"/>
    <w:rsid w:val="2C063C1D"/>
    <w:rsid w:val="2C2959EE"/>
    <w:rsid w:val="2C6E17C2"/>
    <w:rsid w:val="2D1D11E9"/>
    <w:rsid w:val="2D83304B"/>
    <w:rsid w:val="2D995198"/>
    <w:rsid w:val="2DA31340"/>
    <w:rsid w:val="2DE2381F"/>
    <w:rsid w:val="2DEB2F7F"/>
    <w:rsid w:val="2E1341D4"/>
    <w:rsid w:val="2E88318E"/>
    <w:rsid w:val="2EB24E01"/>
    <w:rsid w:val="2EC451E1"/>
    <w:rsid w:val="2EE8124D"/>
    <w:rsid w:val="2EF96CFB"/>
    <w:rsid w:val="2F320885"/>
    <w:rsid w:val="2FAD1FC1"/>
    <w:rsid w:val="2FE31C96"/>
    <w:rsid w:val="300F7A6B"/>
    <w:rsid w:val="301F52AD"/>
    <w:rsid w:val="302373E1"/>
    <w:rsid w:val="30264AB5"/>
    <w:rsid w:val="30282309"/>
    <w:rsid w:val="30770970"/>
    <w:rsid w:val="30B1468B"/>
    <w:rsid w:val="30EB7532"/>
    <w:rsid w:val="30F453D1"/>
    <w:rsid w:val="31013E15"/>
    <w:rsid w:val="31057EE3"/>
    <w:rsid w:val="31235461"/>
    <w:rsid w:val="313361CC"/>
    <w:rsid w:val="313F18BE"/>
    <w:rsid w:val="31421205"/>
    <w:rsid w:val="319553AC"/>
    <w:rsid w:val="31A32F06"/>
    <w:rsid w:val="31A517E2"/>
    <w:rsid w:val="31CE7D46"/>
    <w:rsid w:val="31FB1742"/>
    <w:rsid w:val="320D39CA"/>
    <w:rsid w:val="326E3542"/>
    <w:rsid w:val="32786EF6"/>
    <w:rsid w:val="328A220F"/>
    <w:rsid w:val="3292723A"/>
    <w:rsid w:val="3318500F"/>
    <w:rsid w:val="33192E30"/>
    <w:rsid w:val="333F17C2"/>
    <w:rsid w:val="33796523"/>
    <w:rsid w:val="33E717EE"/>
    <w:rsid w:val="34052A8E"/>
    <w:rsid w:val="34305614"/>
    <w:rsid w:val="343A49EF"/>
    <w:rsid w:val="348953EB"/>
    <w:rsid w:val="348B537B"/>
    <w:rsid w:val="35243365"/>
    <w:rsid w:val="354D6418"/>
    <w:rsid w:val="35615166"/>
    <w:rsid w:val="358D01F3"/>
    <w:rsid w:val="35E82857"/>
    <w:rsid w:val="360D204B"/>
    <w:rsid w:val="365A25F8"/>
    <w:rsid w:val="36AC3746"/>
    <w:rsid w:val="374C50B7"/>
    <w:rsid w:val="37533A8E"/>
    <w:rsid w:val="37CA6D80"/>
    <w:rsid w:val="37E74553"/>
    <w:rsid w:val="37FE7E9E"/>
    <w:rsid w:val="38073C58"/>
    <w:rsid w:val="38B30119"/>
    <w:rsid w:val="38BB5D3B"/>
    <w:rsid w:val="38F44DFD"/>
    <w:rsid w:val="39054E8F"/>
    <w:rsid w:val="393948AD"/>
    <w:rsid w:val="393B2011"/>
    <w:rsid w:val="3954623F"/>
    <w:rsid w:val="396C246F"/>
    <w:rsid w:val="39A10FA5"/>
    <w:rsid w:val="39B7013D"/>
    <w:rsid w:val="39D61A3E"/>
    <w:rsid w:val="3A6548F2"/>
    <w:rsid w:val="3A7E7074"/>
    <w:rsid w:val="3A88398E"/>
    <w:rsid w:val="3A947337"/>
    <w:rsid w:val="3A9D6DFE"/>
    <w:rsid w:val="3AA41A22"/>
    <w:rsid w:val="3AC44507"/>
    <w:rsid w:val="3ACB0E96"/>
    <w:rsid w:val="3AD32DCA"/>
    <w:rsid w:val="3B0B0258"/>
    <w:rsid w:val="3BB81A68"/>
    <w:rsid w:val="3C08615F"/>
    <w:rsid w:val="3CB274A9"/>
    <w:rsid w:val="3CE955E4"/>
    <w:rsid w:val="3D0221DE"/>
    <w:rsid w:val="3D624A2B"/>
    <w:rsid w:val="3DA77F6A"/>
    <w:rsid w:val="3DB835A7"/>
    <w:rsid w:val="3DE7342C"/>
    <w:rsid w:val="3DEC64CB"/>
    <w:rsid w:val="3E043149"/>
    <w:rsid w:val="3E4E1552"/>
    <w:rsid w:val="3E8957CD"/>
    <w:rsid w:val="3E9E1A93"/>
    <w:rsid w:val="3EA915CC"/>
    <w:rsid w:val="3EB71483"/>
    <w:rsid w:val="3EDD6068"/>
    <w:rsid w:val="3EF815BD"/>
    <w:rsid w:val="3F867553"/>
    <w:rsid w:val="401914AE"/>
    <w:rsid w:val="40301DE3"/>
    <w:rsid w:val="405A1284"/>
    <w:rsid w:val="407231D7"/>
    <w:rsid w:val="40897FAE"/>
    <w:rsid w:val="41A76EB0"/>
    <w:rsid w:val="41C053AC"/>
    <w:rsid w:val="42386BE7"/>
    <w:rsid w:val="4359057C"/>
    <w:rsid w:val="43887561"/>
    <w:rsid w:val="43B00A05"/>
    <w:rsid w:val="44C43EA1"/>
    <w:rsid w:val="44E177B9"/>
    <w:rsid w:val="4557299B"/>
    <w:rsid w:val="45635287"/>
    <w:rsid w:val="45E23FB4"/>
    <w:rsid w:val="465D2233"/>
    <w:rsid w:val="466B1380"/>
    <w:rsid w:val="468F2C31"/>
    <w:rsid w:val="46D71FE6"/>
    <w:rsid w:val="46E32AE1"/>
    <w:rsid w:val="47CE6EB6"/>
    <w:rsid w:val="4822282D"/>
    <w:rsid w:val="483B5802"/>
    <w:rsid w:val="484E4529"/>
    <w:rsid w:val="485B73A2"/>
    <w:rsid w:val="48742673"/>
    <w:rsid w:val="48A56114"/>
    <w:rsid w:val="48D75AB6"/>
    <w:rsid w:val="48FE3C36"/>
    <w:rsid w:val="49187A4A"/>
    <w:rsid w:val="4932285C"/>
    <w:rsid w:val="49E83A83"/>
    <w:rsid w:val="49E862B8"/>
    <w:rsid w:val="49FE5072"/>
    <w:rsid w:val="4A143A8B"/>
    <w:rsid w:val="4A9379E1"/>
    <w:rsid w:val="4B0868AA"/>
    <w:rsid w:val="4B6E05C6"/>
    <w:rsid w:val="4BA02CB9"/>
    <w:rsid w:val="4BB551C6"/>
    <w:rsid w:val="4BE00928"/>
    <w:rsid w:val="4C4C0949"/>
    <w:rsid w:val="4CCC03DE"/>
    <w:rsid w:val="4CD01FC4"/>
    <w:rsid w:val="4D304C6C"/>
    <w:rsid w:val="4D3A507C"/>
    <w:rsid w:val="4D5A2408"/>
    <w:rsid w:val="4D6C0A51"/>
    <w:rsid w:val="4D6E6E87"/>
    <w:rsid w:val="4DCB3F26"/>
    <w:rsid w:val="4DCD2163"/>
    <w:rsid w:val="4DCD4142"/>
    <w:rsid w:val="4E5157F8"/>
    <w:rsid w:val="4ED64CE6"/>
    <w:rsid w:val="4EF879B0"/>
    <w:rsid w:val="4EFE4768"/>
    <w:rsid w:val="4F3050C3"/>
    <w:rsid w:val="4F6C4AA2"/>
    <w:rsid w:val="4F7D4B2A"/>
    <w:rsid w:val="4FC357FD"/>
    <w:rsid w:val="4FC705C4"/>
    <w:rsid w:val="4FF52C71"/>
    <w:rsid w:val="50047BC4"/>
    <w:rsid w:val="50076865"/>
    <w:rsid w:val="502B2E38"/>
    <w:rsid w:val="50792360"/>
    <w:rsid w:val="50926B99"/>
    <w:rsid w:val="50C04F20"/>
    <w:rsid w:val="51062C1B"/>
    <w:rsid w:val="512245B9"/>
    <w:rsid w:val="514259DF"/>
    <w:rsid w:val="5156370C"/>
    <w:rsid w:val="51A927D1"/>
    <w:rsid w:val="520F0C32"/>
    <w:rsid w:val="52114F30"/>
    <w:rsid w:val="528B27DD"/>
    <w:rsid w:val="52D10771"/>
    <w:rsid w:val="53142E17"/>
    <w:rsid w:val="532E06E9"/>
    <w:rsid w:val="536C0861"/>
    <w:rsid w:val="539E70B4"/>
    <w:rsid w:val="53BB17DB"/>
    <w:rsid w:val="53DB57FE"/>
    <w:rsid w:val="53F23BA6"/>
    <w:rsid w:val="544669C5"/>
    <w:rsid w:val="54833F31"/>
    <w:rsid w:val="549E5F97"/>
    <w:rsid w:val="54F979C2"/>
    <w:rsid w:val="55435350"/>
    <w:rsid w:val="55583898"/>
    <w:rsid w:val="55644139"/>
    <w:rsid w:val="55C45E2B"/>
    <w:rsid w:val="55CE5C99"/>
    <w:rsid w:val="55FD167B"/>
    <w:rsid w:val="56A74DC4"/>
    <w:rsid w:val="56CC5412"/>
    <w:rsid w:val="56E72D1D"/>
    <w:rsid w:val="56EE38A4"/>
    <w:rsid w:val="579202B1"/>
    <w:rsid w:val="586F6A97"/>
    <w:rsid w:val="58A60DC0"/>
    <w:rsid w:val="58BF2129"/>
    <w:rsid w:val="58CC5AE7"/>
    <w:rsid w:val="58E33CEB"/>
    <w:rsid w:val="594B7F90"/>
    <w:rsid w:val="59857E62"/>
    <w:rsid w:val="599373D3"/>
    <w:rsid w:val="599C21C4"/>
    <w:rsid w:val="59B259A0"/>
    <w:rsid w:val="59CB36D0"/>
    <w:rsid w:val="5A0A6E64"/>
    <w:rsid w:val="5A222E83"/>
    <w:rsid w:val="5A347B90"/>
    <w:rsid w:val="5A6C2173"/>
    <w:rsid w:val="5AB64BCA"/>
    <w:rsid w:val="5B18483E"/>
    <w:rsid w:val="5B82646D"/>
    <w:rsid w:val="5BE20F83"/>
    <w:rsid w:val="5BE545A3"/>
    <w:rsid w:val="5C083322"/>
    <w:rsid w:val="5C300CF9"/>
    <w:rsid w:val="5C361105"/>
    <w:rsid w:val="5C6A303F"/>
    <w:rsid w:val="5C6F4470"/>
    <w:rsid w:val="5C891B7C"/>
    <w:rsid w:val="5D231737"/>
    <w:rsid w:val="5D2B2C34"/>
    <w:rsid w:val="5DD14158"/>
    <w:rsid w:val="5E545273"/>
    <w:rsid w:val="5E75720F"/>
    <w:rsid w:val="5E770427"/>
    <w:rsid w:val="5EBA39E1"/>
    <w:rsid w:val="5EF86B45"/>
    <w:rsid w:val="5F5B2436"/>
    <w:rsid w:val="5F5C2E4B"/>
    <w:rsid w:val="5F6F6BEE"/>
    <w:rsid w:val="5FA5659C"/>
    <w:rsid w:val="5FF0237B"/>
    <w:rsid w:val="60357A6E"/>
    <w:rsid w:val="607B027C"/>
    <w:rsid w:val="608465EA"/>
    <w:rsid w:val="60AF76D8"/>
    <w:rsid w:val="60BA5B12"/>
    <w:rsid w:val="61345DC0"/>
    <w:rsid w:val="614147D4"/>
    <w:rsid w:val="61BF6568"/>
    <w:rsid w:val="61E0763D"/>
    <w:rsid w:val="61ED495B"/>
    <w:rsid w:val="62053A53"/>
    <w:rsid w:val="624437D8"/>
    <w:rsid w:val="62535E2F"/>
    <w:rsid w:val="62B721E4"/>
    <w:rsid w:val="62C12E21"/>
    <w:rsid w:val="62D8513E"/>
    <w:rsid w:val="63753BA4"/>
    <w:rsid w:val="63C97C58"/>
    <w:rsid w:val="63D62198"/>
    <w:rsid w:val="6417243B"/>
    <w:rsid w:val="6425508F"/>
    <w:rsid w:val="64542425"/>
    <w:rsid w:val="64A013C7"/>
    <w:rsid w:val="65302769"/>
    <w:rsid w:val="65A228EE"/>
    <w:rsid w:val="65A44432"/>
    <w:rsid w:val="66206F11"/>
    <w:rsid w:val="66236E91"/>
    <w:rsid w:val="66254B3E"/>
    <w:rsid w:val="66441FD0"/>
    <w:rsid w:val="668A09A0"/>
    <w:rsid w:val="668B146C"/>
    <w:rsid w:val="66A402FE"/>
    <w:rsid w:val="66AB03EC"/>
    <w:rsid w:val="66F21521"/>
    <w:rsid w:val="672C62E0"/>
    <w:rsid w:val="6758090E"/>
    <w:rsid w:val="67A12FEC"/>
    <w:rsid w:val="67A52E51"/>
    <w:rsid w:val="68627C06"/>
    <w:rsid w:val="686A4130"/>
    <w:rsid w:val="68996CA3"/>
    <w:rsid w:val="68D75C06"/>
    <w:rsid w:val="691D167A"/>
    <w:rsid w:val="69937A97"/>
    <w:rsid w:val="69A174C3"/>
    <w:rsid w:val="69EE0731"/>
    <w:rsid w:val="6A06480C"/>
    <w:rsid w:val="6A4C483E"/>
    <w:rsid w:val="6A4D243B"/>
    <w:rsid w:val="6A8F7CBA"/>
    <w:rsid w:val="6A9E67F3"/>
    <w:rsid w:val="6AEF6C9C"/>
    <w:rsid w:val="6B1034E1"/>
    <w:rsid w:val="6B361121"/>
    <w:rsid w:val="6B7328FD"/>
    <w:rsid w:val="6B7C6A7C"/>
    <w:rsid w:val="6BA31BCE"/>
    <w:rsid w:val="6BDF16FD"/>
    <w:rsid w:val="6C4D2094"/>
    <w:rsid w:val="6C8E61E8"/>
    <w:rsid w:val="6CC84132"/>
    <w:rsid w:val="6CD66350"/>
    <w:rsid w:val="6D41751F"/>
    <w:rsid w:val="6DC04707"/>
    <w:rsid w:val="6DD75C4B"/>
    <w:rsid w:val="6E391AE1"/>
    <w:rsid w:val="6E3C12D8"/>
    <w:rsid w:val="6E4B47B0"/>
    <w:rsid w:val="6E587601"/>
    <w:rsid w:val="6EA046D9"/>
    <w:rsid w:val="6EC436A5"/>
    <w:rsid w:val="6EE8016F"/>
    <w:rsid w:val="6F035C5A"/>
    <w:rsid w:val="6F3B7580"/>
    <w:rsid w:val="6F6027D2"/>
    <w:rsid w:val="6F800BBD"/>
    <w:rsid w:val="6FBF7D7C"/>
    <w:rsid w:val="707A4DB8"/>
    <w:rsid w:val="70A56EAD"/>
    <w:rsid w:val="70A94824"/>
    <w:rsid w:val="70BF3161"/>
    <w:rsid w:val="70DD1430"/>
    <w:rsid w:val="70ED3680"/>
    <w:rsid w:val="70FD362D"/>
    <w:rsid w:val="71017FE7"/>
    <w:rsid w:val="715167AF"/>
    <w:rsid w:val="715E0D9E"/>
    <w:rsid w:val="716B1BD6"/>
    <w:rsid w:val="71DE6FBD"/>
    <w:rsid w:val="723328AA"/>
    <w:rsid w:val="7233416B"/>
    <w:rsid w:val="725C083F"/>
    <w:rsid w:val="72895D39"/>
    <w:rsid w:val="734B1073"/>
    <w:rsid w:val="7386251A"/>
    <w:rsid w:val="73AA3251"/>
    <w:rsid w:val="747B6B15"/>
    <w:rsid w:val="749D7B1B"/>
    <w:rsid w:val="74D05B3B"/>
    <w:rsid w:val="75062336"/>
    <w:rsid w:val="750D23E3"/>
    <w:rsid w:val="751E6E82"/>
    <w:rsid w:val="75733B7F"/>
    <w:rsid w:val="759E2B9F"/>
    <w:rsid w:val="75C13CDD"/>
    <w:rsid w:val="761C33A4"/>
    <w:rsid w:val="763508E5"/>
    <w:rsid w:val="76E11BA8"/>
    <w:rsid w:val="76EC75C5"/>
    <w:rsid w:val="779E68C8"/>
    <w:rsid w:val="77A13124"/>
    <w:rsid w:val="77ED54A9"/>
    <w:rsid w:val="780B1D27"/>
    <w:rsid w:val="784F3822"/>
    <w:rsid w:val="791026A2"/>
    <w:rsid w:val="791A5539"/>
    <w:rsid w:val="792647B5"/>
    <w:rsid w:val="79350CE9"/>
    <w:rsid w:val="7A1B2B9E"/>
    <w:rsid w:val="7A5A1BBE"/>
    <w:rsid w:val="7A992209"/>
    <w:rsid w:val="7A9F5145"/>
    <w:rsid w:val="7AF72073"/>
    <w:rsid w:val="7B732886"/>
    <w:rsid w:val="7B754F5D"/>
    <w:rsid w:val="7B780E5A"/>
    <w:rsid w:val="7B813697"/>
    <w:rsid w:val="7BEE5100"/>
    <w:rsid w:val="7C746BBD"/>
    <w:rsid w:val="7C7D391B"/>
    <w:rsid w:val="7C7E2532"/>
    <w:rsid w:val="7CA31239"/>
    <w:rsid w:val="7CBA2CDD"/>
    <w:rsid w:val="7DD91777"/>
    <w:rsid w:val="7DEF37C6"/>
    <w:rsid w:val="7E00126B"/>
    <w:rsid w:val="7E066FC1"/>
    <w:rsid w:val="7E24505B"/>
    <w:rsid w:val="7E634C06"/>
    <w:rsid w:val="7E997AC0"/>
    <w:rsid w:val="7EA00ACF"/>
    <w:rsid w:val="7EC00FD6"/>
    <w:rsid w:val="7EDD52A7"/>
    <w:rsid w:val="7EE7398F"/>
    <w:rsid w:val="7F021DF2"/>
    <w:rsid w:val="7F0A243A"/>
    <w:rsid w:val="7F150158"/>
    <w:rsid w:val="7F274B5F"/>
    <w:rsid w:val="7FAE0E2E"/>
    <w:rsid w:val="7FB90482"/>
    <w:rsid w:val="7FEB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5">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6">
    <w:name w:val="heading 2"/>
    <w:basedOn w:val="1"/>
    <w:next w:val="1"/>
    <w:link w:val="36"/>
    <w:qFormat/>
    <w:uiPriority w:val="0"/>
    <w:pPr>
      <w:keepNext/>
      <w:keepLines/>
      <w:spacing w:before="260" w:after="260" w:line="413" w:lineRule="auto"/>
      <w:outlineLvl w:val="1"/>
    </w:pPr>
    <w:rPr>
      <w:b/>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paragraph" w:styleId="3">
    <w:name w:val="Body Text Indent"/>
    <w:basedOn w:val="4"/>
    <w:next w:val="4"/>
    <w:link w:val="39"/>
    <w:qFormat/>
    <w:uiPriority w:val="0"/>
    <w:pPr>
      <w:spacing w:after="120"/>
      <w:ind w:left="420" w:leftChars="200"/>
    </w:pPr>
  </w:style>
  <w:style w:type="paragraph" w:styleId="4">
    <w:name w:val="Normal Indent"/>
    <w:basedOn w:val="1"/>
    <w:next w:val="1"/>
    <w:qFormat/>
    <w:uiPriority w:val="0"/>
    <w:pPr>
      <w:adjustRightInd w:val="0"/>
      <w:snapToGrid w:val="0"/>
      <w:spacing w:line="360" w:lineRule="auto"/>
      <w:ind w:firstLine="420"/>
    </w:pPr>
    <w:rPr>
      <w:sz w:val="24"/>
    </w:rPr>
  </w:style>
  <w:style w:type="paragraph" w:styleId="8">
    <w:name w:val="Document Map"/>
    <w:basedOn w:val="1"/>
    <w:link w:val="37"/>
    <w:unhideWhenUsed/>
    <w:qFormat/>
    <w:uiPriority w:val="99"/>
    <w:rPr>
      <w:sz w:val="18"/>
      <w:szCs w:val="18"/>
    </w:rPr>
  </w:style>
  <w:style w:type="paragraph" w:styleId="9">
    <w:name w:val="annotation text"/>
    <w:basedOn w:val="1"/>
    <w:link w:val="38"/>
    <w:unhideWhenUsed/>
    <w:qFormat/>
    <w:uiPriority w:val="99"/>
    <w:pPr>
      <w:jc w:val="left"/>
    </w:pPr>
  </w:style>
  <w:style w:type="paragraph" w:styleId="10">
    <w:name w:val="Body Text"/>
    <w:basedOn w:val="1"/>
    <w:next w:val="1"/>
    <w:qFormat/>
    <w:uiPriority w:val="0"/>
    <w:rPr>
      <w:sz w:val="24"/>
    </w:rPr>
  </w:style>
  <w:style w:type="paragraph" w:styleId="11">
    <w:name w:val="Plain Text"/>
    <w:basedOn w:val="1"/>
    <w:next w:val="1"/>
    <w:qFormat/>
    <w:uiPriority w:val="0"/>
    <w:rPr>
      <w:rFonts w:hAnsi="Courier New" w:cs="Courier New"/>
      <w:kern w:val="2"/>
      <w:sz w:val="21"/>
      <w:szCs w:val="21"/>
    </w:rPr>
  </w:style>
  <w:style w:type="paragraph" w:styleId="12">
    <w:name w:val="Balloon Text"/>
    <w:basedOn w:val="1"/>
    <w:link w:val="40"/>
    <w:unhideWhenUsed/>
    <w:qFormat/>
    <w:uiPriority w:val="99"/>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Body Text Indent 3"/>
    <w:basedOn w:val="1"/>
    <w:qFormat/>
    <w:uiPriority w:val="0"/>
    <w:pPr>
      <w:spacing w:after="120"/>
      <w:ind w:left="420" w:leftChars="200"/>
    </w:pPr>
    <w:rPr>
      <w:kern w:val="2"/>
      <w:sz w:val="16"/>
      <w:szCs w:val="16"/>
    </w:rPr>
  </w:style>
  <w:style w:type="paragraph" w:styleId="17">
    <w:name w:val="index 7"/>
    <w:basedOn w:val="1"/>
    <w:next w:val="1"/>
    <w:unhideWhenUsed/>
    <w:qFormat/>
    <w:uiPriority w:val="99"/>
    <w:pPr>
      <w:ind w:left="2520"/>
    </w:pPr>
    <w:rPr>
      <w:rFonts w:ascii="Calibri" w:hAnsi="Calibri"/>
    </w:rPr>
  </w:style>
  <w:style w:type="paragraph" w:styleId="18">
    <w:name w:val="toc 2"/>
    <w:basedOn w:val="1"/>
    <w:next w:val="1"/>
    <w:qFormat/>
    <w:uiPriority w:val="39"/>
    <w:pPr>
      <w:ind w:left="420" w:leftChars="200"/>
    </w:pPr>
  </w:style>
  <w:style w:type="paragraph" w:styleId="19">
    <w:name w:val="Normal (Web)"/>
    <w:basedOn w:val="1"/>
    <w:qFormat/>
    <w:uiPriority w:val="0"/>
    <w:pPr>
      <w:spacing w:beforeAutospacing="1" w:afterAutospacing="1"/>
      <w:jc w:val="left"/>
    </w:pPr>
    <w:rPr>
      <w:sz w:val="24"/>
    </w:rPr>
  </w:style>
  <w:style w:type="paragraph" w:styleId="20">
    <w:name w:val="Title"/>
    <w:basedOn w:val="1"/>
    <w:qFormat/>
    <w:uiPriority w:val="0"/>
    <w:pPr>
      <w:spacing w:before="240" w:after="60"/>
      <w:jc w:val="left"/>
      <w:outlineLvl w:val="0"/>
    </w:pPr>
    <w:rPr>
      <w:rFonts w:ascii="Cambria" w:hAnsi="Cambria"/>
      <w:b/>
      <w:bCs/>
      <w:sz w:val="32"/>
      <w:szCs w:val="32"/>
    </w:rPr>
  </w:style>
  <w:style w:type="paragraph" w:styleId="21">
    <w:name w:val="annotation subject"/>
    <w:basedOn w:val="9"/>
    <w:next w:val="9"/>
    <w:link w:val="43"/>
    <w:unhideWhenUsed/>
    <w:qFormat/>
    <w:uiPriority w:val="99"/>
    <w:rPr>
      <w:b/>
      <w:bCs/>
    </w:rPr>
  </w:style>
  <w:style w:type="paragraph" w:styleId="22">
    <w:name w:val="Body Text First Indent"/>
    <w:basedOn w:val="10"/>
    <w:qFormat/>
    <w:uiPriority w:val="0"/>
    <w:pPr>
      <w:spacing w:after="120"/>
      <w:ind w:firstLine="420" w:firstLineChars="100"/>
    </w:pPr>
    <w:rPr>
      <w:kern w:val="2"/>
      <w:sz w:val="21"/>
      <w:szCs w:val="21"/>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5"/>
    <w:qFormat/>
    <w:uiPriority w:val="0"/>
    <w:rPr>
      <w:rFonts w:eastAsia="宋体"/>
      <w:b/>
      <w:bCs/>
      <w:kern w:val="44"/>
      <w:sz w:val="36"/>
      <w:szCs w:val="44"/>
    </w:rPr>
  </w:style>
  <w:style w:type="character" w:customStyle="1" w:styleId="36">
    <w:name w:val="标题 2 Char3"/>
    <w:link w:val="6"/>
    <w:qFormat/>
    <w:uiPriority w:val="0"/>
    <w:rPr>
      <w:b/>
      <w:sz w:val="20"/>
    </w:rPr>
  </w:style>
  <w:style w:type="character" w:customStyle="1" w:styleId="37">
    <w:name w:val="文档结构图 Char1"/>
    <w:link w:val="8"/>
    <w:semiHidden/>
    <w:qFormat/>
    <w:uiPriority w:val="99"/>
    <w:rPr>
      <w:rFonts w:eastAsia="宋体"/>
      <w:sz w:val="18"/>
      <w:szCs w:val="18"/>
    </w:rPr>
  </w:style>
  <w:style w:type="character" w:customStyle="1" w:styleId="38">
    <w:name w:val="批注文字 Char1"/>
    <w:basedOn w:val="25"/>
    <w:link w:val="9"/>
    <w:semiHidden/>
    <w:qFormat/>
    <w:uiPriority w:val="99"/>
  </w:style>
  <w:style w:type="character" w:customStyle="1" w:styleId="39">
    <w:name w:val="正文文本缩进 Char2"/>
    <w:basedOn w:val="25"/>
    <w:link w:val="3"/>
    <w:semiHidden/>
    <w:qFormat/>
    <w:uiPriority w:val="99"/>
  </w:style>
  <w:style w:type="character" w:customStyle="1" w:styleId="40">
    <w:name w:val="批注框文本 Char1"/>
    <w:link w:val="12"/>
    <w:semiHidden/>
    <w:qFormat/>
    <w:uiPriority w:val="99"/>
    <w:rPr>
      <w:sz w:val="18"/>
      <w:szCs w:val="18"/>
    </w:rPr>
  </w:style>
  <w:style w:type="character" w:customStyle="1" w:styleId="41">
    <w:name w:val="页脚 Char2"/>
    <w:link w:val="13"/>
    <w:semiHidden/>
    <w:qFormat/>
    <w:uiPriority w:val="99"/>
    <w:rPr>
      <w:sz w:val="18"/>
      <w:szCs w:val="18"/>
    </w:rPr>
  </w:style>
  <w:style w:type="character" w:customStyle="1" w:styleId="42">
    <w:name w:val="页眉 Char2"/>
    <w:link w:val="14"/>
    <w:semiHidden/>
    <w:qFormat/>
    <w:uiPriority w:val="99"/>
    <w:rPr>
      <w:sz w:val="18"/>
      <w:szCs w:val="18"/>
    </w:rPr>
  </w:style>
  <w:style w:type="character" w:customStyle="1" w:styleId="43">
    <w:name w:val="批注主题 Char1"/>
    <w:link w:val="21"/>
    <w:semiHidden/>
    <w:qFormat/>
    <w:uiPriority w:val="99"/>
    <w:rPr>
      <w:b/>
      <w:bCs/>
      <w:sz w:val="20"/>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5"/>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7"/>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character" w:customStyle="1" w:styleId="192">
    <w:name w:val="font31"/>
    <w:basedOn w:val="25"/>
    <w:qFormat/>
    <w:uiPriority w:val="0"/>
    <w:rPr>
      <w:rFonts w:hint="default" w:ascii="Times New Roman" w:hAnsi="Times New Roman" w:cs="Times New Roman"/>
      <w:b/>
      <w:bCs/>
      <w:color w:val="000000"/>
      <w:sz w:val="21"/>
      <w:szCs w:val="21"/>
      <w:u w:val="none"/>
    </w:rPr>
  </w:style>
  <w:style w:type="character" w:customStyle="1" w:styleId="193">
    <w:name w:val="font71"/>
    <w:basedOn w:val="25"/>
    <w:qFormat/>
    <w:uiPriority w:val="0"/>
    <w:rPr>
      <w:rFonts w:ascii="方正仿宋_GBK" w:hAnsi="方正仿宋_GBK" w:eastAsia="方正仿宋_GBK" w:cs="方正仿宋_GBK"/>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02d09e10-ba84-4c1d-9ee6-f614480bc1ce</errorID>
      <errorWord>目</errorWord>
      <group>L1_Word</group>
      <groupName>字词问题</groupName>
      <ability>L2_Typo</ability>
      <abilityName>字词错误</abilityName>
      <candidateList>
        <item>目为</item>
      </candidateList>
      <explain/>
      <paraID>2AFE19D6</paraID>
      <start>4</start>
      <end>6</end>
      <status>modified</status>
      <modifiedWord>目为</modifiedWord>
      <trackRevisions>true</trackRevisions>
    </reviewItem>
    <reviewItem>
      <errorID>f3392047-b247-4b7a-bfd9-7834a924c07f</errorID>
      <errorWord>选项目</errorWord>
      <group>L1_AI</group>
      <groupName>深度校对</groupName>
      <ability>L2_AI_Grammar</ability>
      <abilityName>语法纠错</abilityName>
      <candidateList>
        <item>选</item>
      </candidateList>
      <explain/>
      <paraID>2AFE19D6</paraID>
      <start>87</start>
      <end>88</end>
      <status>modified</status>
      <modifiedWord>选</modifiedWord>
      <trackRevisions>true</trackRevisions>
    </reviewItem>
    <reviewItem>
      <errorID>65f4b322-df12-45b7-af8f-e75f8cffa9df</errorID>
      <errorWord>1</errorWord>
      <group>L1_AI</group>
      <groupName>深度校对</groupName>
      <ability>L2_AI_Punc</ability>
      <abilityName>标点纠错</abilityName>
      <candidateList>
        <item>1。</item>
      </candidateList>
      <explain/>
      <paraID>280DC641</paraID>
      <start>22</start>
      <end>24</end>
      <status>modified</status>
      <modifiedWord>1。</modifiedWord>
      <trackRevisions>true</trackRevisions>
    </reviewItem>
    <reviewItem>
      <errorID>04c7d913-e4dc-4fb0-b94c-a32afaa2649d</errorID>
      <errorWord>1.递交参选文件时间为2025年  月  日  时  分至2025年  月  日  时  分。</errorWord>
      <group>L1_AI</group>
      <groupName>深度校对</groupName>
      <ability>L2_AI_Title</ability>
      <abilityName>标题检查</abilityName>
      <candidateList/>
      <explain>相邻标题序号不连续。在标题‘5.参选文件的递交’之后，应按顺序为‘5.1’等，而此处直接出现‘1.’，导致相邻标题序号不连续，后续‘2.参选文件递交的地点为：重庆国际投资咨询集团有限公司开标厅（重庆市江北区五里店五简路2号重庆咨询大厦A栋），具体开标厅详见负一楼大厅当天指示牌。’和‘3.逾期送达，或未送达指定地点，或未按比选文件要求密封的参选文件，比选人不予受理。’也存在同样的序号不连续问题。</explain>
      <paraID>7377935F</paraID>
      <start>0</start>
      <end>47</end>
      <status>unmodified</status>
      <modifiedWord/>
      <trackRevisions>false</trackRevisions>
    </reviewItem>
    <reviewItem>
      <errorID>c81f34d5-2468-444e-86fc-83231dce47ad</errorID>
      <errorWord>/）</errorWord>
      <group>L1_Punc</group>
      <groupName>标点问题</groupName>
      <ability>L2_Punc</ability>
      <abilityName>标点符号检查</abilityName>
      <candidateList>
        <item>）</item>
      </candidateList>
      <explain/>
      <paraID>7CA51C42</paraID>
      <start>88</start>
      <end>89</end>
      <status>modified</status>
      <modifiedWord>）</modifiedWord>
      <trackRevisions>true</trackRevisions>
    </reviewItem>
    <reviewItem>
      <errorID>90e700b6-0b13-4433-9b09-c8a59aaf2719</errorID>
      <errorWord>/）</errorWord>
      <group>L1_Punc</group>
      <groupName>标点问题</groupName>
      <ability>L2_Punc</ability>
      <abilityName>标点符号检查</abilityName>
      <candidateList>
        <item>）</item>
      </candidateList>
      <explain/>
      <paraID>7CA51C42</paraID>
      <start>124</start>
      <end>125</end>
      <status>modified</status>
      <modifiedWord>）</modifiedWord>
      <trackRevisions>true</trackRevisions>
    </reviewItem>
    <reviewItem>
      <errorID>2a5e0f53-bfab-4170-b736-e6d1c88b0513</errorID>
      <errorWord>:</errorWord>
      <group>L1_Format</group>
      <groupName>格式问题</groupName>
      <ability>L2_HalfPunc</ability>
      <abilityName>全半角检查</abilityName>
      <candidateList>
        <item>：</item>
      </candidateList>
      <explain>文本全半角错误。</explain>
      <paraID>229EEDB4</paraID>
      <start>2</start>
      <end>3</end>
      <status>modified</status>
      <modifiedWord>：</modifiedWord>
      <trackRevisions>true</trackRevisions>
    </reviewItem>
    <reviewItem>
      <errorID>bdc189b2-faab-4171-94e9-5df9cbd7d7b2</errorID>
      <errorWord>。</errorWord>
      <group>L1_AI</group>
      <groupName>深度校对</groupName>
      <ability>L2_AI_Punc</ability>
      <abilityName>标点纠错</abilityName>
      <candidateList>
        <item/>
      </candidateList>
      <explain/>
      <paraID>79BE7B8D</paraID>
      <start>27</start>
      <end>27</end>
      <status>modified</status>
      <modifiedWord/>
      <trackRevisions>true</trackRevisions>
    </reviewItem>
    <reviewItem>
      <errorID>85f82a1d-12ab-40e3-9033-83ec78aabd37</errorID>
      <errorWord>维保</errorWord>
      <group>L1_Word</group>
      <groupName>字词问题</groupName>
      <ability>L2_Typo</ability>
      <abilityName>字词错误</abilityName>
      <candidateList>
        <item>参保</item>
      </candidateList>
      <explain/>
      <paraID>1B1C00B5</paraID>
      <start>37</start>
      <end>39</end>
      <status>ignored</status>
      <modifiedWord/>
      <trackRevisions>false</trackRevisions>
    </reviewItem>
    <reviewItem>
      <errorID>dbfdd83b-214f-4693-a6bf-9ddd23730c98</errorID>
      <errorWord>（</errorWord>
      <group>L1_Punc</group>
      <groupName>标点问题</groupName>
      <ability>L2_Punc</ability>
      <abilityName>标点符号检查</abilityName>
      <candidateList/>
      <explain>同一形式括号套用。</explain>
      <paraID>1B1C00B5</paraID>
      <start>181</start>
      <end>182</end>
      <status>ignored</status>
      <modifiedWord/>
      <trackRevisions>false</trackRevisions>
    </reviewItem>
    <reviewItem>
      <errorID>1073cdaf-16b1-4a9c-a9d3-4e06b67c3b58</errorID>
      <errorWord>）</errorWord>
      <group>L1_Punc</group>
      <groupName>标点问题</groupName>
      <ability>L2_Punc</ability>
      <abilityName>标点符号检查</abilityName>
      <candidateList/>
      <explain>同一形式括号套用。</explain>
      <paraID>1B1C00B5</paraID>
      <start>186</start>
      <end>187</end>
      <status>ignored</status>
      <modifiedWord/>
      <trackRevisions>false</trackRevisions>
    </reviewItem>
    <reviewItem>
      <errorID>5018dfa4-4e3e-4957-b55e-ef869a4aae1b</errorID>
      <errorWord>（</errorWord>
      <group>L1_Punc</group>
      <groupName>标点问题</groupName>
      <ability>L2_Punc</ability>
      <abilityName>标点符号检查</abilityName>
      <candidateList/>
      <explain>同一形式括号套用。</explain>
      <paraID>1B1C00B5</paraID>
      <start>200</start>
      <end>201</end>
      <status>ignored</status>
      <modifiedWord/>
      <trackRevisions>false</trackRevisions>
    </reviewItem>
    <reviewItem>
      <errorID>2121444e-ecba-4695-9353-5401653e14a9</errorID>
      <errorWord>）</errorWord>
      <group>L1_Punc</group>
      <groupName>标点问题</groupName>
      <ability>L2_Punc</ability>
      <abilityName>标点符号检查</abilityName>
      <candidateList/>
      <explain>同一形式括号套用。</explain>
      <paraID>1B1C00B5</paraID>
      <start>208</start>
      <end>209</end>
      <status>ignored</status>
      <modifiedWord/>
      <trackRevisions>false</trackRevisions>
    </reviewItem>
    <reviewItem>
      <errorID>bd7f961d-ecf2-4c7b-9eb9-1bfaced11485</errorID>
      <errorWord>（</errorWord>
      <group>L1_Punc</group>
      <groupName>标点问题</groupName>
      <ability>L2_Punc</ability>
      <abilityName>标点符号检查</abilityName>
      <candidateList/>
      <explain>同一形式括号套用。</explain>
      <paraID>1B1C00B5</paraID>
      <start>291</start>
      <end>292</end>
      <status>ignored</status>
      <modifiedWord/>
      <trackRevisions>false</trackRevisions>
    </reviewItem>
    <reviewItem>
      <errorID>1c578818-e199-4fa9-82f2-f6d78d150f1f</errorID>
      <errorWord>）</errorWord>
      <group>L1_Punc</group>
      <groupName>标点问题</groupName>
      <ability>L2_Punc</ability>
      <abilityName>标点符号检查</abilityName>
      <candidateList/>
      <explain>同一形式括号套用。</explain>
      <paraID>1B1C00B5</paraID>
      <start>312</start>
      <end>313</end>
      <status>ignored</status>
      <modifiedWord/>
      <trackRevisions>false</trackRevisions>
    </reviewItem>
    <reviewItem>
      <errorID>49f6a1a9-ca3f-4d3c-a292-c2d29acfc2c2</errorID>
      <errorWord>间</errorWord>
      <group>L1_Word</group>
      <groupName>字词问题</groupName>
      <ability>L2_Typo</ability>
      <abilityName>字词错误</abilityName>
      <candidateList>
        <item>间为</item>
      </candidateList>
      <explain/>
      <paraID> BD2F714</paraID>
      <start>68</start>
      <end>69</end>
      <status>ignored</status>
      <modifiedWord/>
      <trackRevisions>false</trackRevisions>
    </reviewItem>
    <reviewItem>
      <errorID>6906b763-2965-4ba6-94d7-098edddc12d2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180F7922</paraID>
      <start>0</start>
      <end>2</end>
      <status>modified</status>
      <modifiedWord>1.</modifiedWord>
      <trackRevisions>true</trackRevisions>
    </reviewItem>
    <reviewItem>
      <errorID>068ea52e-5003-4d26-880a-471f3d5c28af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6926D41C</paraID>
      <start>0</start>
      <end>2</end>
      <status>modified</status>
      <modifiedWord>2.</modifiedWord>
      <trackRevisions>true</trackRevisions>
    </reviewItem>
    <reviewItem>
      <errorID>bc2ca899-66c2-429e-bef1-02f3e9f1b8d2</errorID>
      <errorWord>(</errorWord>
      <group>L1_Format</group>
      <groupName>格式问题</groupName>
      <ability>L2_HalfPunc</ability>
      <abilityName>全半角检查</abilityName>
      <candidateList>
        <item>（</item>
      </candidateList>
      <explain>文本全半角错误。</explain>
      <paraID>484F722F</paraID>
      <start>14</start>
      <end>15</end>
      <status>modified</status>
      <modifiedWord>（</modifiedWord>
      <trackRevisions>true</trackRevisions>
    </reviewItem>
    <reviewItem>
      <errorID>a3c4ca17-0d29-4214-a7e0-8163d1358752</errorID>
      <errorWord>)</errorWord>
      <group>L1_Format</group>
      <groupName>格式问题</groupName>
      <ability>L2_HalfPunc</ability>
      <abilityName>全半角检查</abilityName>
      <candidateList>
        <item>）</item>
      </candidateList>
      <explain>文本全半角错误。</explain>
      <paraID>484F722F</paraID>
      <start>18</start>
      <end>19</end>
      <status>modified</status>
      <modifiedWord>）</modifiedWord>
      <trackRevisions>true</trackRevisions>
    </reviewItem>
    <reviewItem>
      <errorID>18bb20c2-2acb-4b0d-9b8e-bb3c023557f8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6E5EEDD4</paraID>
      <start>0</start>
      <end>2</end>
      <status>modified</status>
      <modifiedWord>1.</modifiedWord>
      <trackRevisions>true</trackRevisions>
    </reviewItem>
    <reviewItem>
      <errorID>0f706d1e-c8a4-412c-9c4e-b1c018b9e7fd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7AE6F8D8</paraID>
      <start>0</start>
      <end>2</end>
      <status>modified</status>
      <modifiedWord>2.</modifiedWord>
      <trackRevisions>true</trackRevisions>
    </reviewItem>
    <reviewItem>
      <errorID>7c296941-f5a7-4f6a-9f47-02a161a72068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7434758</paraID>
      <start>0</start>
      <end>2</end>
      <status>modified</status>
      <modifiedWord>3.</modifiedWord>
      <trackRevisions>true</trackRevisions>
    </reviewItem>
    <reviewItem>
      <errorID>406d8878-7ebc-43bd-b132-07042a42c968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35397818</paraID>
      <start>0</start>
      <end>2</end>
      <status>modified</status>
      <modifiedWord>4.</modifiedWord>
      <trackRevisions>true</trackRevisions>
    </reviewItem>
    <reviewItem>
      <errorID>178f9ff1-37a8-434f-b77b-96566f0683de</errorID>
      <errorWord>（</errorWord>
      <group>L1_Format</group>
      <groupName>格式问题</groupName>
      <ability>L2_HalfPunc</ability>
      <abilityName>全半角检查</abilityName>
      <candidateList>
        <item>(</item>
      </candidateList>
      <explain>文本全半角错误。</explain>
      <paraID>5EF46230</paraID>
      <start>5</start>
      <end>6</end>
      <status>modified</status>
      <modifiedWord>(</modifiedWord>
      <trackRevisions>true</trackRevisions>
    </reviewItem>
    <reviewItem>
      <errorID>bbf0408d-43fd-415c-bd77-5e10b1a34053</errorID>
      <errorWord>）</errorWord>
      <group>L1_Format</group>
      <groupName>格式问题</groupName>
      <ability>L2_HalfPunc</ability>
      <abilityName>全半角检查</abilityName>
      <candidateList>
        <item>)</item>
      </candidateList>
      <explain>文本全半角错误。</explain>
      <paraID>5EF46230</paraID>
      <start>7</start>
      <end>8</end>
      <status>modified</status>
      <modifiedWord>)</modifiedWord>
      <trackRevisions>true</trackRevisions>
    </reviewItem>
    <reviewItem>
      <errorID>e72d68ef-c546-409d-856c-57b747441926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58B807B7</paraID>
      <start>0</start>
      <end>2</end>
      <status>modified</status>
      <modifiedWord>1.</modifiedWord>
      <trackRevisions>true</trackRevisions>
    </reviewItem>
    <reviewItem>
      <errorID>0ac6d272-ddd9-485f-bd65-0ab7f5fb5b00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7A708489</paraID>
      <start>0</start>
      <end>2</end>
      <status>modified</status>
      <modifiedWord>2.</modifiedWord>
      <trackRevisions>true</trackRevisions>
    </reviewItem>
    <reviewItem>
      <errorID>5badd2da-54e4-49e3-885c-d1bea827e6cb</errorID>
      <errorWord>（</errorWord>
      <group>L1_Format</group>
      <groupName>格式问题</groupName>
      <ability>L2_HalfPunc</ability>
      <abilityName>全半角检查</abilityName>
      <candidateList>
        <item>(</item>
      </candidateList>
      <explain>文本全半角错误。</explain>
      <paraID>26D96F6A</paraID>
      <start>5</start>
      <end>6</end>
      <status>modified</status>
      <modifiedWord>(</modifiedWord>
      <trackRevisions>true</trackRevisions>
    </reviewItem>
    <reviewItem>
      <errorID>56be6ba5-1bc7-446b-be62-916be302cdce</errorID>
      <errorWord>）</errorWord>
      <group>L1_Format</group>
      <groupName>格式问题</groupName>
      <ability>L2_HalfPunc</ability>
      <abilityName>全半角检查</abilityName>
      <candidateList>
        <item>)</item>
      </candidateList>
      <explain>文本全半角错误。</explain>
      <paraID>26D96F6A</paraID>
      <start>7</start>
      <end>8</end>
      <status>modified</status>
      <modifiedWord>)</modifiedWord>
      <trackRevisions>true</trackRevisions>
    </reviewItem>
    <reviewItem>
      <errorID>d719a796-d4ba-4a77-b69b-bad3caba51be</errorID>
      <errorWord>（</errorWord>
      <group>L1_Format</group>
      <groupName>格式问题</groupName>
      <ability>L2_HalfPunc</ability>
      <abilityName>全半角检查</abilityName>
      <candidateList>
        <item>(</item>
      </candidateList>
      <explain>文本全半角错误。</explain>
      <paraID>4841FC8D</paraID>
      <start>5</start>
      <end>6</end>
      <status>modified</status>
      <modifiedWord>(</modifiedWord>
      <trackRevisions>true</trackRevisions>
    </reviewItem>
    <reviewItem>
      <errorID>66e8960d-1053-4564-9c32-0e025dbaad1f</errorID>
      <errorWord>）</errorWord>
      <group>L1_Format</group>
      <groupName>格式问题</groupName>
      <ability>L2_HalfPunc</ability>
      <abilityName>全半角检查</abilityName>
      <candidateList>
        <item>)</item>
      </candidateList>
      <explain>文本全半角错误。</explain>
      <paraID>4841FC8D</paraID>
      <start>7</start>
      <end>8</end>
      <status>modified</status>
      <modifiedWord>)</modifiedWord>
      <trackRevisions>true</trackRevisions>
    </reviewItem>
    <reviewItem>
      <errorID>77c9fbde-a18b-4943-96d1-59c54954b02e</errorID>
      <errorWord>;</errorWord>
      <group>L1_Format</group>
      <groupName>格式问题</groupName>
      <ability>L2_HalfPunc</ability>
      <abilityName>全半角检查</abilityName>
      <candidateList>
        <item>；</item>
      </candidateList>
      <explain>文本全半角错误。</explain>
      <paraID>29BD4DFF</paraID>
      <start>6</start>
      <end>7</end>
      <status>modified</status>
      <modifiedWord>；</modifiedWord>
      <trackRevisions>true</trackRevisions>
    </reviewItem>
    <reviewItem>
      <errorID>a7047bf4-4682-469d-814e-6600ce7c801c</errorID>
      <errorWord>况</errorWord>
      <group>L1_Word</group>
      <groupName>字词问题</groupName>
      <ability>L2_Typo</ability>
      <abilityName>字词错误</abilityName>
      <candidateList>
        <item>况和</item>
      </candidateList>
      <explain/>
      <paraID>2083B8E1</paraID>
      <start>61</start>
      <end>63</end>
      <status>modified</status>
      <modifiedWord>况和</modifiedWord>
      <trackRevisions>true</trackRevisions>
    </reviewItem>
    <reviewItem>
      <errorID>dc8f602f-d3a5-4f52-baa7-fe7124207e12</errorID>
      <errorWord>(</errorWord>
      <group>L1_Format</group>
      <groupName>格式问题</groupName>
      <ability>L2_HalfPunc</ability>
      <abilityName>全半角检查</abilityName>
      <candidateList>
        <item>（</item>
      </candidateList>
      <explain>文本全半角错误。</explain>
      <paraID>73476358</paraID>
      <start>15</start>
      <end>16</end>
      <status>unmodified</status>
      <modifiedWord/>
      <trackRevisions>false</trackRevisions>
    </reviewItem>
    <reviewItem>
      <errorID>be087196-3627-472c-80d8-5772b55cf71f</errorID>
      <errorWord>)</errorWord>
      <group>L1_Format</group>
      <groupName>格式问题</groupName>
      <ability>L2_HalfPunc</ability>
      <abilityName>全半角检查</abilityName>
      <candidateList>
        <item>）</item>
      </candidateList>
      <explain>文本全半角错误。</explain>
      <paraID>73476358</paraID>
      <start>18</start>
      <end>19</end>
      <status>unmodified</status>
      <modifiedWord/>
      <trackRevisions>false</trackRevisions>
    </reviewItem>
    <reviewItem>
      <errorID>528c52bf-cb21-4c7c-88ae-58a13e635600</errorID>
      <errorWord>个的</errorWord>
      <group>L1_Word</group>
      <groupName>字词问题</groupName>
      <ability>L2_Typo</ability>
      <abilityName>字词错误</abilityName>
      <candidateList>
        <item>个</item>
      </candidateList>
      <explain/>
      <paraID>1A2A1C1C</paraID>
      <start>18</start>
      <end>20</end>
      <status>unmodified</status>
      <modifiedWord/>
      <trackRevisions>false</trackRevisions>
    </reviewItem>
    <reviewItem>
      <errorID>e8da10e5-f09b-456c-8b35-30a625bcd56e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1C27513A</paraID>
      <start>0</start>
      <end>2</end>
      <status>unmodified</status>
      <modifiedWord/>
      <trackRevisions>false</trackRevisions>
    </reviewItem>
    <reviewItem>
      <errorID>35b0fb68-6478-4769-b7d2-5f541894bf8c</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44AA21AA</paraID>
      <start>9</start>
      <end>20</end>
      <status>unmodified</status>
      <modifiedWord/>
      <trackRevisions>false</trackRevisions>
    </reviewItem>
    <reviewItem>
      <errorID>148fd338-44a5-4944-b23e-27f692ba65b3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44AA21AA</paraID>
      <start>20</start>
      <end>22</end>
      <status>modified</status>
      <modifiedWord>》《</modifiedWord>
      <trackRevisions>true</trackRevisions>
    </reviewItem>
    <reviewItem>
      <errorID>f643e396-3203-4140-bbef-700011f806e5</errorID>
      <errorWord>中华人民共和国招投标法实施条例</errorWord>
      <group>L1_Knowledge</group>
      <groupName>知识性问题</groupName>
      <ability>L2_Knowledge</ability>
      <abilityName>其他知识</abilityName>
      <candidateList>
        <item>中华人民共和国招标投标法实施条例</item>
      </candidateList>
      <explain>当前法律法规未收录或尚未生效，注意核查是否正确。</explain>
      <paraID>44AA21AA</paraID>
      <start>22</start>
      <end>37</end>
      <status>unmodified</status>
      <modifiedWord/>
      <trackRevisions>false</trackRevisions>
    </reviewItem>
    <reviewItem>
      <errorID>16f5ae4d-563d-44d6-8eea-dd01ae92a6b4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99C416D</paraID>
      <start>0</start>
      <end>2</end>
      <status>modified</status>
      <modifiedWord>2.</modifiedWord>
      <trackRevisions>true</trackRevisions>
    </reviewItem>
    <reviewItem>
      <errorID>12bdcc3a-da08-4d91-8e15-00006a433edb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746910C6</paraID>
      <start>0</start>
      <end>2</end>
      <status>modified</status>
      <modifiedWord>3.</modifiedWord>
      <trackRevisions>true</trackRevisions>
    </reviewItem>
    <reviewItem>
      <errorID>923e8d5f-5ea2-4334-8e40-f0b6b3e787fd</errorID>
      <errorWord>或</errorWord>
      <group>L1_Word</group>
      <groupName>字词问题</groupName>
      <ability>L2_Typo</ability>
      <abilityName>字词错误</abilityName>
      <candidateList>
        <item>或加</item>
      </candidateList>
      <explain/>
      <paraID> D2E8D63</paraID>
      <start>223</start>
      <end>224</end>
      <status>unmodified</status>
      <modifiedWord/>
      <trackRevisions>false</trackRevisions>
    </reviewItem>
    <reviewItem>
      <errorID>8840929f-0451-48a2-acee-6a9b31e1c904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722E8102</paraID>
      <start>0</start>
      <end>2</end>
      <status>modified</status>
      <modifiedWord>4.</modifiedWord>
      <trackRevisions>true</trackRevisions>
    </reviewItem>
    <reviewItem>
      <errorID>a01764a0-86e2-44d5-9e9d-7de2c0caca3b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4E11D485</paraID>
      <start>0</start>
      <end>2</end>
      <status>modified</status>
      <modifiedWord>5.</modifiedWord>
      <trackRevisions>true</trackRevisions>
    </reviewItem>
    <reviewItem>
      <errorID>1ef7bcc5-a8a1-413b-a148-84a8abd6c1c6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364C0D97</paraID>
      <start>0</start>
      <end>2</end>
      <status>modified</status>
      <modifiedWord>6.</modifiedWord>
      <trackRevisions>true</trackRevisions>
    </reviewItem>
    <reviewItem>
      <errorID>6a585392-8805-49a9-b82e-c8399122dcf8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2B34AFE3</paraID>
      <start>0</start>
      <end>2</end>
      <status>modified</status>
      <modifiedWord>7.</modifiedWord>
      <trackRevisions>true</trackRevisions>
    </reviewItem>
    <reviewItem>
      <errorID>c824189a-40a0-4e4c-bf56-cd6990edbe18</errorID>
      <errorWord>联合体中</errorWord>
      <group>L1_Word</group>
      <groupName>字词问题</groupName>
      <ability>L2_Typo</ability>
      <abilityName>字词错误</abilityName>
      <candidateList>
        <item>联合体</item>
      </candidateList>
      <explain/>
      <paraID>325A627B</paraID>
      <start>140</start>
      <end>144</end>
      <status>unmodified</status>
      <modifiedWord/>
      <trackRevisions>false</trackRevisions>
    </reviewItem>
    <reviewItem>
      <errorID>eef681e8-1cc5-4207-a9b2-e453bf091dfe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4F895F65</paraID>
      <start>0</start>
      <end>2</end>
      <status>modified</status>
      <modifiedWord>8.</modifiedWord>
      <trackRevisions>true</trackRevisions>
    </reviewItem>
    <reviewItem>
      <errorID>9caa7f0b-f719-45ab-b1bf-592f39d3ad7e</errorID>
      <errorWord>......</errorWord>
      <group>L1_Punc</group>
      <groupName>标点问题</groupName>
      <ability>L2_Punc</ability>
      <abilityName>标点符号检查</abilityName>
      <candidateList>
        <item>……</item>
      </candidateList>
      <explain/>
      <paraID>442DB947</paraID>
      <start>0</start>
      <end>6</end>
      <status>unmodified</status>
      <modifiedWord/>
      <trackRevisions>false</trackRevisions>
    </reviewItem>
    <reviewItem>
      <errorID>5f5b32ef-8c3c-44ef-b5c9-33960395afb1</errorID>
      <errorWord>做解释</errorWord>
      <group>L1_Word</group>
      <groupName>字词问题</groupName>
      <ability>L2_Typo</ability>
      <abilityName>字词错误</abilityName>
      <candidateList>
        <item>作解释</item>
      </candidateList>
      <explain/>
      <paraID>4478E680</paraID>
      <start>52</start>
      <end>55</end>
      <status>unmodified</status>
      <modifiedWord/>
      <trackRevisions>false</trackRevisions>
    </reviewItem>
    <reviewItem>
      <errorID>fffea665-ea6e-43bb-b238-d135845754aa</errorID>
      <errorWord>位</errorWord>
      <group>L1_Word</group>
      <groupName>字词问题</groupName>
      <ability>L2_Typo</ability>
      <abilityName>字词错误</abilityName>
      <candidateList>
        <item>位公</item>
      </candidateList>
      <explain/>
      <paraID>28040092</paraID>
      <start>26</start>
      <end>27</end>
      <status>unmodified</status>
      <modifiedWord/>
      <trackRevisions>false</trackRevisions>
    </reviewItem>
    <reviewItem>
      <errorID>eddc3a7f-9254-40c9-99d0-845edfb1c879</errorID>
      <errorWord>.</errorWord>
      <group>L1_Format</group>
      <groupName>格式问题</groupName>
      <ability>L2_HalfPunc</ability>
      <abilityName>全半角检查</abilityName>
      <candidateList>
        <item>。</item>
      </candidateList>
      <explain>文本全半角错误。</explain>
      <paraID>3427DBC1</paraID>
      <start>77</start>
      <end>78</end>
      <status>modified</status>
      <modifiedWord>。</modifiedWord>
      <trackRevisions>true</trackRevisions>
    </reviewItem>
    <reviewItem>
      <errorID>d3480e22-ef04-4f54-ac5b-8a931ae70ff5</errorID>
      <errorWord>做解释</errorWord>
      <group>L1_Word</group>
      <groupName>字词问题</groupName>
      <ability>L2_Typo</ability>
      <abilityName>字词错误</abilityName>
      <candidateList>
        <item>作解释</item>
      </candidateList>
      <explain/>
      <paraID>69ECE616</paraID>
      <start>52</start>
      <end>55</end>
      <status>unmodified</status>
      <modifiedWord/>
      <trackRevisions>false</trackRevisions>
    </reviewItem>
    <reviewItem>
      <errorID>46d39982-1c6d-4fad-b570-756caf0fe0d5</errorID>
      <errorWord>(</errorWord>
      <group>L1_Format</group>
      <groupName>格式问题</groupName>
      <ability>L2_HalfPunc</ability>
      <abilityName>全半角检查</abilityName>
      <candidateList>
        <item>（</item>
      </candidateList>
      <explain>文本全半角错误。</explain>
      <paraID> 63E1DCA</paraID>
      <start>13</start>
      <end>14</end>
      <status>unmodified</status>
      <modifiedWord/>
      <trackRevisions>false</trackRevisions>
    </reviewItem>
    <reviewItem>
      <errorID>6e7a5f52-b428-47dc-8636-e3f3bc8a86e9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2ABC28E</paraID>
      <start>0</start>
      <end>2</end>
      <status>modified</status>
      <modifiedWord>1.</modifiedWord>
      <trackRevisions>true</trackRevisions>
    </reviewItem>
    <reviewItem>
      <errorID>5f05dd5f-7319-4be9-a8f0-0d430657eea5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48C49A10</paraID>
      <start>0</start>
      <end>2</end>
      <status>modified</status>
      <modifiedWord>2.</modifiedWord>
      <trackRevisions>true</trackRevisions>
    </reviewItem>
    <reviewItem>
      <errorID>8a8a7477-3ff4-40a6-8603-f169d20001b7</errorID>
      <errorWord>壹年</errorWord>
      <group>L1_Word</group>
      <groupName>字词问题</groupName>
      <ability>L2_Typo</ability>
      <abilityName>字词错误</abilityName>
      <candidateList>
        <item>一年</item>
      </candidateList>
      <explain>存在发音相同字词的误用。</explain>
      <paraID>694D61D0</paraID>
      <start>61</start>
      <end>63</end>
      <status>unmodified</status>
      <modifiedWord/>
      <trackRevisions>false</trackRevisions>
    </reviewItem>
    <reviewItem>
      <errorID>3845b78a-ad13-45f2-9148-355981bda435</errorID>
      <errorWord>有否</errorWord>
      <group>L1_Word</group>
      <groupName>字词问题</groupName>
      <ability>L2_Typo</ability>
      <abilityName>字词错误</abilityName>
      <candidateList>
        <item>有无</item>
      </candidateList>
      <explain/>
      <paraID>37FEA9AF</paraID>
      <start>17</start>
      <end>19</end>
      <status>unmodified</status>
      <modifiedWord/>
      <trackRevisions>false</trackRevisions>
    </reviewItem>
    <reviewItem>
      <errorID>de3e8292-32bb-44c7-aac1-34a34c0ceac0</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1F3DEE15</paraID>
      <start>49</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e3ef7-c2a8-49a3-a5fa-3e76eb4919f5}">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82</Pages>
  <Words>18390</Words>
  <Characters>19896</Characters>
  <Lines>269</Lines>
  <Paragraphs>75</Paragraphs>
  <TotalTime>1</TotalTime>
  <ScaleCrop>false</ScaleCrop>
  <LinksUpToDate>false</LinksUpToDate>
  <CharactersWithSpaces>20371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罗文</cp:lastModifiedBy>
  <cp:lastPrinted>2025-12-03T04:31:00Z</cp:lastPrinted>
  <dcterms:modified xsi:type="dcterms:W3CDTF">2025-12-05T09:07:13Z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D0A0B90C6FDA4C78B33FD471ED5BE1C7_13</vt:lpwstr>
  </property>
  <property fmtid="{D5CDD505-2E9C-101B-9397-08002B2CF9AE}" pid="4" name="KSOTemplateDocerSaveRecord">
    <vt:lpwstr>eyJoZGlkIjoiMmQyYmRjMzFiZWMzYTc0NDgwZjYyMGNhZGFlZTcyZjYiLCJ1c2VySWQiOiI0Mjc3NjkxNzAifQ==</vt:lpwstr>
  </property>
</Properties>
</file>