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autoSpaceDE/>
        <w:autoSpaceDN/>
        <w:adjustRightInd/>
        <w:snapToGrid w:val="0"/>
        <w:ind w:left="1506" w:hanging="1506" w:hangingChars="500"/>
        <w:jc w:val="left"/>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rPr>
        <w:t>项目名称：</w:t>
      </w:r>
      <w:r>
        <w:rPr>
          <w:rFonts w:hint="eastAsia" w:ascii="宋体" w:hAnsi="宋体" w:cs="宋体"/>
          <w:b/>
          <w:bCs/>
          <w:color w:val="auto"/>
          <w:sz w:val="30"/>
          <w:szCs w:val="30"/>
          <w:highlight w:val="none"/>
          <w:lang w:val="en-US" w:eastAsia="zh-CN"/>
        </w:rPr>
        <w:t>2026年度配电维保服务比选（第二</w:t>
      </w:r>
      <w:bookmarkStart w:id="165" w:name="_GoBack"/>
      <w:bookmarkEnd w:id="165"/>
      <w:r>
        <w:rPr>
          <w:rFonts w:hint="eastAsia" w:ascii="宋体" w:hAnsi="宋体" w:cs="宋体"/>
          <w:b/>
          <w:bCs/>
          <w:color w:val="auto"/>
          <w:sz w:val="30"/>
          <w:szCs w:val="30"/>
          <w:highlight w:val="none"/>
          <w:lang w:val="en-US" w:eastAsia="zh-CN"/>
        </w:rPr>
        <w:t>次）</w:t>
      </w:r>
    </w:p>
    <w:p>
      <w:pPr>
        <w:shd w:val="clear" w:color="auto"/>
        <w:autoSpaceDE/>
        <w:autoSpaceDN/>
        <w:adjustRightInd/>
        <w:snapToGrid w:val="0"/>
        <w:ind w:left="1506" w:hanging="1506" w:hangingChars="500"/>
        <w:jc w:val="left"/>
        <w:rPr>
          <w:rFonts w:hint="eastAsia" w:ascii="宋体" w:hAnsi="宋体" w:cs="宋体"/>
          <w:b/>
          <w:bCs/>
          <w:color w:val="auto"/>
          <w:sz w:val="30"/>
          <w:szCs w:val="30"/>
          <w:highlight w:val="none"/>
          <w:lang w:val="en-US" w:eastAsia="zh-CN"/>
        </w:rPr>
      </w:pPr>
      <w:r>
        <w:rPr>
          <w:rFonts w:hint="eastAsia" w:ascii="宋体" w:hAnsi="宋体" w:cs="宋体"/>
          <w:b/>
          <w:bCs/>
          <w:color w:val="auto"/>
          <w:sz w:val="30"/>
          <w:szCs w:val="30"/>
          <w:highlight w:val="none"/>
          <w:lang w:val="en-US" w:eastAsia="zh-CN"/>
        </w:rPr>
        <w:t>比选编号：FG2500071604A</w:t>
      </w:r>
    </w:p>
    <w:p>
      <w:pPr>
        <w:shd w:val="clear" w:color="auto"/>
        <w:autoSpaceDE/>
        <w:autoSpaceDN/>
        <w:adjustRightInd/>
        <w:snapToGrid w:val="0"/>
        <w:ind w:left="1506" w:hanging="1506" w:hangingChars="500"/>
        <w:jc w:val="left"/>
        <w:rPr>
          <w:rFonts w:hint="default" w:ascii="宋体" w:hAnsi="宋体" w:cs="宋体"/>
          <w:b/>
          <w:bCs/>
          <w:color w:val="auto"/>
          <w:sz w:val="30"/>
          <w:szCs w:val="30"/>
          <w:highlight w:val="none"/>
          <w:lang w:val="en-US" w:eastAsia="zh-CN"/>
        </w:rPr>
      </w:pPr>
    </w:p>
    <w:p>
      <w:pPr>
        <w:autoSpaceDE w:val="0"/>
        <w:autoSpaceDN w:val="0"/>
        <w:adjustRightInd w:val="0"/>
        <w:snapToGrid w:val="0"/>
        <w:rPr>
          <w:rFonts w:hint="eastAsia" w:ascii="宋体" w:hAnsi="宋体" w:eastAsia="宋体" w:cs="宋体"/>
          <w:b/>
          <w:color w:val="auto"/>
          <w:sz w:val="28"/>
          <w:szCs w:val="28"/>
          <w:highlight w:val="none"/>
        </w:rPr>
      </w:pPr>
    </w:p>
    <w:p>
      <w:pPr>
        <w:autoSpaceDE w:val="0"/>
        <w:autoSpaceDN w:val="0"/>
        <w:adjustRightInd w:val="0"/>
        <w:snapToGrid w:val="0"/>
        <w:spacing w:line="480" w:lineRule="auto"/>
        <w:jc w:val="center"/>
        <w:rPr>
          <w:rFonts w:hint="eastAsia" w:ascii="宋体" w:hAnsi="宋体" w:eastAsia="宋体" w:cs="宋体"/>
          <w:b/>
          <w:color w:val="auto"/>
          <w:sz w:val="84"/>
          <w:szCs w:val="84"/>
          <w:highlight w:val="none"/>
        </w:rPr>
      </w:pPr>
    </w:p>
    <w:p>
      <w:pPr>
        <w:snapToGrid w:val="0"/>
        <w:spacing w:line="360" w:lineRule="auto"/>
        <w:jc w:val="center"/>
        <w:rPr>
          <w:rFonts w:hint="eastAsia" w:ascii="宋体" w:hAnsi="宋体" w:eastAsia="宋体" w:cs="宋体"/>
          <w:b/>
          <w:color w:val="auto"/>
          <w:sz w:val="126"/>
          <w:highlight w:val="none"/>
        </w:rPr>
      </w:pPr>
      <w:r>
        <w:rPr>
          <w:rFonts w:hint="eastAsia" w:ascii="宋体" w:hAnsi="宋体" w:eastAsia="宋体" w:cs="宋体"/>
          <w:b/>
          <w:color w:val="auto"/>
          <w:sz w:val="126"/>
          <w:highlight w:val="none"/>
          <w:lang w:val="en-US" w:eastAsia="zh-CN"/>
        </w:rPr>
        <w:t>竞争性比选</w:t>
      </w:r>
      <w:r>
        <w:rPr>
          <w:rFonts w:hint="eastAsia" w:ascii="宋体" w:hAnsi="宋体" w:eastAsia="宋体" w:cs="宋体"/>
          <w:b/>
          <w:color w:val="auto"/>
          <w:sz w:val="126"/>
          <w:highlight w:val="none"/>
        </w:rPr>
        <w:t>文件</w:t>
      </w:r>
    </w:p>
    <w:p>
      <w:pPr>
        <w:adjustRightInd w:val="0"/>
        <w:snapToGrid w:val="0"/>
        <w:spacing w:line="480" w:lineRule="auto"/>
        <w:rPr>
          <w:rFonts w:hint="eastAsia" w:ascii="宋体" w:hAnsi="宋体" w:eastAsia="宋体" w:cs="宋体"/>
          <w:b/>
          <w:color w:val="auto"/>
          <w:kern w:val="2"/>
          <w:sz w:val="32"/>
          <w:szCs w:val="32"/>
          <w:highlight w:val="none"/>
        </w:rPr>
      </w:pPr>
    </w:p>
    <w:p>
      <w:pPr>
        <w:adjustRightInd w:val="0"/>
        <w:snapToGrid w:val="0"/>
        <w:spacing w:line="480" w:lineRule="auto"/>
        <w:jc w:val="center"/>
        <w:rPr>
          <w:rFonts w:hint="eastAsia" w:ascii="宋体" w:hAnsi="宋体" w:eastAsia="宋体" w:cs="宋体"/>
          <w:b/>
          <w:color w:val="auto"/>
          <w:kern w:val="2"/>
          <w:sz w:val="32"/>
          <w:szCs w:val="32"/>
          <w:highlight w:val="none"/>
        </w:rPr>
      </w:pPr>
      <w:r>
        <w:rPr>
          <w:rFonts w:hint="eastAsia" w:ascii="宋体" w:hAnsi="宋体" w:eastAsia="宋体" w:cs="宋体"/>
          <w:bCs/>
          <w:color w:val="auto"/>
          <w:kern w:val="2"/>
          <w:sz w:val="36"/>
          <w:szCs w:val="36"/>
          <w:highlight w:val="none"/>
        </w:rPr>
        <w:drawing>
          <wp:inline distT="0" distB="0" distL="114300" distR="114300">
            <wp:extent cx="1605280" cy="970915"/>
            <wp:effectExtent l="0" t="0" r="13970" b="635"/>
            <wp:docPr id="5" name="图片 1" descr="招采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招采LOGO"/>
                    <pic:cNvPicPr>
                      <a:picLocks noChangeAspect="1"/>
                    </pic:cNvPicPr>
                  </pic:nvPicPr>
                  <pic:blipFill>
                    <a:blip r:embed="rId18"/>
                    <a:stretch>
                      <a:fillRect/>
                    </a:stretch>
                  </pic:blipFill>
                  <pic:spPr>
                    <a:xfrm>
                      <a:off x="0" y="0"/>
                      <a:ext cx="1605280" cy="970915"/>
                    </a:xfrm>
                    <a:prstGeom prst="rect">
                      <a:avLst/>
                    </a:prstGeom>
                    <a:noFill/>
                    <a:ln>
                      <a:noFill/>
                    </a:ln>
                  </pic:spPr>
                </pic:pic>
              </a:graphicData>
            </a:graphic>
          </wp:inline>
        </w:drawing>
      </w:r>
    </w:p>
    <w:p>
      <w:pPr>
        <w:adjustRightInd w:val="0"/>
        <w:snapToGrid w:val="0"/>
        <w:spacing w:line="480" w:lineRule="auto"/>
        <w:rPr>
          <w:rFonts w:hint="eastAsia" w:ascii="宋体" w:hAnsi="宋体" w:eastAsia="宋体" w:cs="宋体"/>
          <w:b/>
          <w:color w:val="auto"/>
          <w:kern w:val="2"/>
          <w:sz w:val="32"/>
          <w:szCs w:val="32"/>
          <w:highlight w:val="none"/>
        </w:rPr>
      </w:pPr>
    </w:p>
    <w:p>
      <w:pPr>
        <w:autoSpaceDE w:val="0"/>
        <w:autoSpaceDN w:val="0"/>
        <w:adjustRightInd w:val="0"/>
        <w:snapToGrid w:val="0"/>
        <w:spacing w:line="360" w:lineRule="auto"/>
        <w:jc w:val="left"/>
        <w:rPr>
          <w:rFonts w:hint="eastAsia" w:ascii="宋体" w:hAnsi="宋体" w:eastAsia="宋体" w:cs="宋体"/>
          <w:color w:val="auto"/>
          <w:szCs w:val="24"/>
          <w:highlight w:val="none"/>
        </w:rPr>
      </w:pPr>
    </w:p>
    <w:p>
      <w:pPr>
        <w:autoSpaceDE w:val="0"/>
        <w:autoSpaceDN w:val="0"/>
        <w:adjustRightInd w:val="0"/>
        <w:snapToGrid w:val="0"/>
        <w:spacing w:line="360" w:lineRule="auto"/>
        <w:jc w:val="left"/>
        <w:rPr>
          <w:rFonts w:hint="eastAsia" w:ascii="宋体" w:hAnsi="宋体" w:eastAsia="宋体" w:cs="宋体"/>
          <w:color w:val="auto"/>
          <w:szCs w:val="24"/>
          <w:highlight w:val="none"/>
        </w:rPr>
      </w:pPr>
    </w:p>
    <w:p>
      <w:pPr>
        <w:snapToGrid w:val="0"/>
        <w:spacing w:before="100" w:beforeAutospacing="1" w:after="100" w:afterAutospacing="1"/>
        <w:ind w:firstLine="1003" w:firstLineChars="333"/>
        <w:rPr>
          <w:rFonts w:hint="eastAsia" w:ascii="宋体" w:hAnsi="宋体" w:eastAsia="宋体" w:cs="宋体"/>
          <w:b/>
          <w:color w:val="auto"/>
          <w:sz w:val="28"/>
          <w:highlight w:val="none"/>
        </w:rPr>
      </w:pPr>
      <w:r>
        <w:rPr>
          <w:rFonts w:hint="eastAsia" w:ascii="宋体" w:hAnsi="宋体" w:eastAsia="宋体" w:cs="宋体"/>
          <w:b/>
          <w:color w:val="auto"/>
          <w:kern w:val="2"/>
          <w:sz w:val="30"/>
          <w:szCs w:val="30"/>
          <w:highlight w:val="none"/>
          <w:lang w:val="en-US" w:eastAsia="zh-CN"/>
        </w:rPr>
        <w:t>比</w:t>
      </w:r>
      <w:r>
        <w:rPr>
          <w:rFonts w:hint="eastAsia" w:ascii="宋体" w:hAnsi="宋体" w:eastAsia="宋体" w:cs="宋体"/>
          <w:b/>
          <w:color w:val="auto"/>
          <w:kern w:val="2"/>
          <w:sz w:val="30"/>
          <w:szCs w:val="30"/>
          <w:highlight w:val="none"/>
        </w:rPr>
        <w:t xml:space="preserve">   </w:t>
      </w:r>
      <w:r>
        <w:rPr>
          <w:rFonts w:hint="eastAsia" w:ascii="宋体" w:hAnsi="宋体" w:eastAsia="宋体" w:cs="宋体"/>
          <w:b/>
          <w:color w:val="auto"/>
          <w:kern w:val="2"/>
          <w:sz w:val="30"/>
          <w:szCs w:val="30"/>
          <w:highlight w:val="none"/>
          <w:lang w:val="en-US" w:eastAsia="zh-CN"/>
        </w:rPr>
        <w:t>选</w:t>
      </w:r>
      <w:r>
        <w:rPr>
          <w:rFonts w:hint="eastAsia" w:ascii="宋体" w:hAnsi="宋体" w:eastAsia="宋体" w:cs="宋体"/>
          <w:b/>
          <w:color w:val="auto"/>
          <w:kern w:val="2"/>
          <w:sz w:val="30"/>
          <w:szCs w:val="30"/>
          <w:highlight w:val="none"/>
        </w:rPr>
        <w:t xml:space="preserve">   人：</w:t>
      </w:r>
      <w:r>
        <w:rPr>
          <w:rFonts w:hint="eastAsia" w:ascii="宋体" w:hAnsi="宋体" w:eastAsia="宋体" w:cs="宋体"/>
          <w:b/>
          <w:color w:val="auto"/>
          <w:kern w:val="2"/>
          <w:sz w:val="30"/>
          <w:szCs w:val="30"/>
          <w:highlight w:val="none"/>
          <w:u w:val="single"/>
          <w:lang w:eastAsia="zh-CN"/>
        </w:rPr>
        <w:t>重庆通邑卫士智慧生活服务有限公司</w:t>
      </w:r>
      <w:r>
        <w:rPr>
          <w:rFonts w:hint="eastAsia" w:ascii="宋体" w:hAnsi="宋体" w:eastAsia="宋体" w:cs="宋体"/>
          <w:b/>
          <w:color w:val="auto"/>
          <w:spacing w:val="8"/>
          <w:sz w:val="28"/>
          <w:szCs w:val="28"/>
          <w:highlight w:val="none"/>
        </w:rPr>
        <w:t>（盖章）</w:t>
      </w:r>
    </w:p>
    <w:p>
      <w:pPr>
        <w:tabs>
          <w:tab w:val="left" w:pos="6379"/>
        </w:tabs>
        <w:adjustRightInd w:val="0"/>
        <w:snapToGrid w:val="0"/>
        <w:spacing w:line="360" w:lineRule="auto"/>
        <w:ind w:firstLine="1003" w:firstLineChars="333"/>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lang w:eastAsia="zh-CN"/>
        </w:rPr>
        <w:t>比选</w:t>
      </w:r>
      <w:r>
        <w:rPr>
          <w:rFonts w:hint="eastAsia" w:ascii="宋体" w:hAnsi="宋体" w:eastAsia="宋体" w:cs="宋体"/>
          <w:b/>
          <w:color w:val="auto"/>
          <w:kern w:val="2"/>
          <w:sz w:val="30"/>
          <w:szCs w:val="30"/>
          <w:highlight w:val="none"/>
        </w:rPr>
        <w:t xml:space="preserve">代理机构： </w:t>
      </w:r>
      <w:r>
        <w:rPr>
          <w:rFonts w:hint="eastAsia" w:ascii="宋体" w:hAnsi="宋体" w:eastAsia="宋体" w:cs="宋体"/>
          <w:b/>
          <w:color w:val="auto"/>
          <w:kern w:val="2"/>
          <w:sz w:val="30"/>
          <w:szCs w:val="30"/>
          <w:highlight w:val="none"/>
          <w:u w:val="single"/>
          <w:lang w:eastAsia="zh-CN"/>
        </w:rPr>
        <w:t>重庆国际投资咨询集团有限公司</w:t>
      </w:r>
      <w:r>
        <w:rPr>
          <w:rFonts w:hint="eastAsia" w:ascii="宋体" w:hAnsi="宋体" w:eastAsia="宋体" w:cs="宋体"/>
          <w:b/>
          <w:color w:val="auto"/>
          <w:kern w:val="2"/>
          <w:sz w:val="30"/>
          <w:szCs w:val="30"/>
          <w:highlight w:val="none"/>
        </w:rPr>
        <w:t>（盖章）</w:t>
      </w:r>
    </w:p>
    <w:p>
      <w:pPr>
        <w:adjustRightInd w:val="0"/>
        <w:snapToGrid w:val="0"/>
        <w:spacing w:line="480" w:lineRule="auto"/>
        <w:rPr>
          <w:rFonts w:hint="eastAsia" w:ascii="宋体" w:hAnsi="宋体" w:eastAsia="宋体" w:cs="宋体"/>
          <w:b/>
          <w:color w:val="auto"/>
          <w:kern w:val="2"/>
          <w:sz w:val="30"/>
          <w:szCs w:val="30"/>
          <w:highlight w:val="none"/>
        </w:rPr>
      </w:pPr>
    </w:p>
    <w:p>
      <w:pPr>
        <w:shd w:val="clear" w:color="auto"/>
        <w:autoSpaceDE/>
        <w:autoSpaceDN/>
        <w:adjustRightInd/>
        <w:snapToGrid w:val="0"/>
        <w:ind w:left="1506" w:hanging="1506" w:hangingChars="500"/>
        <w:jc w:val="center"/>
        <w:rPr>
          <w:rFonts w:hint="eastAsia" w:ascii="宋体" w:hAnsi="宋体" w:eastAsia="宋体" w:cs="宋体"/>
          <w:b/>
          <w:color w:val="auto"/>
          <w:sz w:val="28"/>
          <w:highlight w:val="none"/>
        </w:rPr>
      </w:pPr>
      <w:r>
        <w:rPr>
          <w:rFonts w:hint="eastAsia" w:ascii="宋体" w:hAnsi="宋体" w:cs="宋体"/>
          <w:b/>
          <w:bCs/>
          <w:color w:val="auto"/>
          <w:sz w:val="30"/>
          <w:szCs w:val="30"/>
          <w:highlight w:val="none"/>
          <w:lang w:val="en-US" w:eastAsia="zh-CN"/>
        </w:rPr>
        <w:t>二〇二五年十二月</w:t>
      </w:r>
    </w:p>
    <w:p>
      <w:pPr>
        <w:snapToGrid w:val="0"/>
        <w:spacing w:line="360" w:lineRule="auto"/>
        <w:jc w:val="center"/>
        <w:rPr>
          <w:rFonts w:hint="eastAsia" w:ascii="宋体" w:hAnsi="宋体" w:eastAsia="宋体" w:cs="宋体"/>
          <w:b/>
          <w:color w:val="auto"/>
          <w:sz w:val="28"/>
          <w:highlight w:val="none"/>
        </w:rPr>
        <w:sectPr>
          <w:headerReference r:id="rId3" w:type="default"/>
          <w:footerReference r:id="rId4" w:type="default"/>
          <w:pgSz w:w="11906" w:h="16838"/>
          <w:pgMar w:top="1440" w:right="826" w:bottom="1440" w:left="880" w:header="680" w:footer="680" w:gutter="0"/>
          <w:pgNumType w:fmt="decimal"/>
          <w:cols w:space="720" w:num="1"/>
          <w:docGrid w:type="lines" w:linePitch="312" w:charSpace="0"/>
        </w:sectPr>
      </w:pPr>
    </w:p>
    <w:p>
      <w:pPr>
        <w:snapToGrid w:val="0"/>
        <w:spacing w:line="360" w:lineRule="auto"/>
        <w:jc w:val="center"/>
        <w:rPr>
          <w:rFonts w:hint="eastAsia" w:ascii="宋体" w:hAnsi="宋体" w:eastAsia="宋体" w:cs="宋体"/>
          <w:b/>
          <w:color w:val="auto"/>
          <w:sz w:val="28"/>
          <w:highlight w:val="none"/>
        </w:rPr>
      </w:pPr>
    </w:p>
    <w:p>
      <w:pPr>
        <w:snapToGrid w:val="0"/>
        <w:spacing w:line="360" w:lineRule="auto"/>
        <w:jc w:val="center"/>
        <w:rPr>
          <w:rFonts w:hint="eastAsia" w:ascii="宋体" w:hAnsi="宋体" w:eastAsia="宋体" w:cs="宋体"/>
          <w:b/>
          <w:color w:val="auto"/>
          <w:sz w:val="28"/>
          <w:szCs w:val="18"/>
          <w:highlight w:val="none"/>
        </w:rPr>
      </w:pPr>
      <w:r>
        <w:rPr>
          <w:rFonts w:hint="eastAsia" w:ascii="宋体" w:hAnsi="宋体" w:eastAsia="宋体" w:cs="宋体"/>
          <w:b/>
          <w:color w:val="auto"/>
          <w:sz w:val="28"/>
          <w:szCs w:val="18"/>
          <w:highlight w:val="none"/>
        </w:rPr>
        <w:t>目    录</w:t>
      </w:r>
    </w:p>
    <w:p>
      <w:pPr>
        <w:pStyle w:val="15"/>
        <w:tabs>
          <w:tab w:val="right" w:leader="dot" w:pos="10080"/>
        </w:tabs>
        <w:spacing w:line="480" w:lineRule="auto"/>
        <w:rPr>
          <w:rFonts w:hint="eastAsia" w:ascii="宋体" w:hAnsi="宋体" w:eastAsia="宋体" w:cs="宋体"/>
          <w:color w:val="auto"/>
          <w:highlight w:val="none"/>
        </w:rPr>
      </w:pPr>
      <w:r>
        <w:rPr>
          <w:rFonts w:hint="eastAsia" w:ascii="宋体" w:hAnsi="宋体" w:eastAsia="宋体" w:cs="宋体"/>
          <w:b/>
          <w:color w:val="auto"/>
          <w:sz w:val="21"/>
          <w:szCs w:val="21"/>
          <w:highlight w:val="none"/>
        </w:rPr>
        <w:fldChar w:fldCharType="begin"/>
      </w:r>
      <w:r>
        <w:rPr>
          <w:rFonts w:hint="eastAsia" w:ascii="宋体" w:hAnsi="宋体" w:eastAsia="宋体" w:cs="宋体"/>
          <w:b/>
          <w:color w:val="auto"/>
          <w:sz w:val="21"/>
          <w:szCs w:val="21"/>
          <w:highlight w:val="none"/>
        </w:rPr>
        <w:instrText xml:space="preserve">TOC \o "1-1" \h \u </w:instrText>
      </w:r>
      <w:r>
        <w:rPr>
          <w:rFonts w:hint="eastAsia" w:ascii="宋体" w:hAnsi="宋体" w:eastAsia="宋体" w:cs="宋体"/>
          <w:b/>
          <w:color w:val="auto"/>
          <w:sz w:val="21"/>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_Toc184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 xml:space="preserve">第一章 </w:t>
      </w:r>
      <w:r>
        <w:rPr>
          <w:rFonts w:hint="eastAsia" w:ascii="宋体" w:hAnsi="宋体" w:eastAsia="宋体" w:cs="宋体"/>
          <w:color w:val="auto"/>
          <w:highlight w:val="none"/>
          <w:lang w:val="en-US" w:eastAsia="zh-CN"/>
        </w:rPr>
        <w:t>参选邀请函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pPr>
        <w:pStyle w:val="15"/>
        <w:tabs>
          <w:tab w:val="right" w:leader="dot" w:pos="10080"/>
        </w:tabs>
        <w:spacing w:line="48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_Toc10957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44"/>
          <w:highlight w:val="none"/>
          <w:lang w:val="en-US" w:eastAsia="zh-CN" w:bidi="ar-SA"/>
        </w:rPr>
        <w:t>第二</w:t>
      </w:r>
      <w:r>
        <w:rPr>
          <w:rFonts w:hint="eastAsia" w:ascii="宋体" w:hAnsi="宋体" w:eastAsia="宋体" w:cs="宋体"/>
          <w:color w:val="auto"/>
          <w:highlight w:val="none"/>
          <w:lang w:val="en-US" w:eastAsia="zh-CN"/>
        </w:rPr>
        <w:t>章 参选人</w:t>
      </w:r>
      <w:r>
        <w:rPr>
          <w:rFonts w:hint="eastAsia" w:ascii="宋体" w:hAnsi="宋体" w:eastAsia="宋体" w:cs="宋体"/>
          <w:bCs/>
          <w:color w:val="auto"/>
          <w:kern w:val="44"/>
          <w:szCs w:val="44"/>
          <w:highlight w:val="none"/>
          <w:lang w:val="en-US" w:eastAsia="zh-CN" w:bidi="ar-SA"/>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_Toc10957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pPr>
        <w:pStyle w:val="15"/>
        <w:tabs>
          <w:tab w:val="right" w:leader="dot" w:pos="10080"/>
        </w:tabs>
        <w:spacing w:line="48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_Toc7362 </w:instrText>
      </w:r>
      <w:r>
        <w:rPr>
          <w:rFonts w:hint="eastAsia" w:ascii="宋体" w:hAnsi="宋体" w:eastAsia="宋体" w:cs="宋体"/>
          <w:color w:val="auto"/>
          <w:szCs w:val="21"/>
          <w:highlight w:val="none"/>
        </w:rPr>
        <w:fldChar w:fldCharType="separate"/>
      </w:r>
      <w:r>
        <w:rPr>
          <w:rFonts w:hint="eastAsia" w:ascii="宋体" w:hAnsi="宋体" w:eastAsia="宋体" w:cs="宋体"/>
          <w:bCs w:val="0"/>
          <w:color w:val="auto"/>
          <w:szCs w:val="30"/>
          <w:highlight w:val="none"/>
        </w:rPr>
        <w:t xml:space="preserve">第三章 </w:t>
      </w:r>
      <w:r>
        <w:rPr>
          <w:rFonts w:hint="eastAsia" w:ascii="宋体" w:hAnsi="宋体" w:eastAsia="宋体" w:cs="宋体"/>
          <w:bCs w:val="0"/>
          <w:color w:val="auto"/>
          <w:szCs w:val="30"/>
          <w:highlight w:val="none"/>
          <w:lang w:val="en-US" w:eastAsia="zh-CN"/>
        </w:rPr>
        <w:t>评审</w:t>
      </w:r>
      <w:r>
        <w:rPr>
          <w:rFonts w:hint="eastAsia" w:ascii="宋体" w:hAnsi="宋体" w:eastAsia="宋体" w:cs="宋体"/>
          <w:bCs w:val="0"/>
          <w:color w:val="auto"/>
          <w:szCs w:val="30"/>
          <w:highlight w:val="none"/>
        </w:rPr>
        <w:t>办法（</w:t>
      </w:r>
      <w:r>
        <w:rPr>
          <w:rFonts w:hint="eastAsia" w:ascii="宋体" w:hAnsi="宋体" w:eastAsia="宋体" w:cs="宋体"/>
          <w:color w:val="auto"/>
          <w:kern w:val="0"/>
          <w:sz w:val="20"/>
          <w:szCs w:val="30"/>
          <w:highlight w:val="none"/>
          <w:lang w:val="en-US" w:eastAsia="zh-CN" w:bidi="ar-SA"/>
        </w:rPr>
        <w:t>经评审的</w:t>
      </w:r>
      <w:r>
        <w:rPr>
          <w:rFonts w:hint="eastAsia" w:ascii="宋体" w:hAnsi="宋体" w:cs="宋体"/>
          <w:color w:val="auto"/>
          <w:szCs w:val="30"/>
          <w:highlight w:val="none"/>
        </w:rPr>
        <w:t>最低投标价法</w:t>
      </w:r>
      <w:r>
        <w:rPr>
          <w:rFonts w:hint="eastAsia" w:ascii="宋体" w:hAnsi="宋体" w:eastAsia="宋体" w:cs="宋体"/>
          <w:bCs w:val="0"/>
          <w:color w:val="auto"/>
          <w:szCs w:val="30"/>
          <w:highlight w:val="none"/>
        </w:rPr>
        <w:t>）</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_Toc7362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pPr>
        <w:pStyle w:val="15"/>
        <w:tabs>
          <w:tab w:val="right" w:leader="dot" w:pos="10080"/>
        </w:tabs>
        <w:spacing w:line="48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_Toc7637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第四章</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合同</w:t>
      </w:r>
      <w:r>
        <w:rPr>
          <w:rFonts w:hint="eastAsia" w:ascii="宋体" w:hAnsi="宋体" w:eastAsia="宋体" w:cs="宋体"/>
          <w:color w:val="auto"/>
          <w:highlight w:val="none"/>
          <w:lang w:val="en-US" w:eastAsia="zh-CN"/>
        </w:rPr>
        <w:t>条款</w:t>
      </w:r>
      <w:r>
        <w:rPr>
          <w:rFonts w:hint="eastAsia" w:ascii="宋体" w:hAnsi="宋体" w:eastAsia="宋体" w:cs="宋体"/>
          <w:color w:val="auto"/>
          <w:highlight w:val="none"/>
        </w:rPr>
        <w:t>及格式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_Toc7637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32</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pPr>
        <w:pStyle w:val="15"/>
        <w:tabs>
          <w:tab w:val="right" w:leader="dot" w:pos="10080"/>
        </w:tabs>
        <w:spacing w:line="48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_Toc3892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 xml:space="preserve">第五章 </w:t>
      </w:r>
      <w:r>
        <w:rPr>
          <w:rFonts w:hint="eastAsia" w:ascii="宋体" w:hAnsi="宋体" w:eastAsia="宋体" w:cs="宋体"/>
          <w:color w:val="auto"/>
          <w:highlight w:val="none"/>
          <w:lang w:val="en-US" w:eastAsia="zh-CN"/>
        </w:rPr>
        <w:t>发包人要求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_Toc3892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pPr>
        <w:pStyle w:val="15"/>
        <w:tabs>
          <w:tab w:val="right" w:leader="dot" w:pos="10080"/>
        </w:tabs>
        <w:spacing w:line="48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_Toc4184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 xml:space="preserve">第六章 </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_Toc4184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64</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pPr>
        <w:pStyle w:val="15"/>
        <w:tabs>
          <w:tab w:val="right" w:leader="dot" w:pos="10080"/>
        </w:tabs>
        <w:spacing w:line="480" w:lineRule="auto"/>
        <w:rPr>
          <w:rFonts w:hint="eastAsia" w:ascii="宋体" w:hAnsi="宋体" w:eastAsia="宋体" w:cs="宋体"/>
          <w:color w:val="auto"/>
          <w:highlight w:val="none"/>
        </w:rPr>
      </w:pPr>
    </w:p>
    <w:p>
      <w:pPr>
        <w:tabs>
          <w:tab w:val="left" w:pos="600"/>
          <w:tab w:val="right" w:leader="dot" w:pos="8931"/>
        </w:tabs>
        <w:snapToGrid w:val="0"/>
        <w:spacing w:line="480" w:lineRule="auto"/>
        <w:rPr>
          <w:rFonts w:hint="eastAsia" w:ascii="宋体" w:hAnsi="宋体" w:eastAsia="宋体" w:cs="宋体"/>
          <w:b/>
          <w:color w:val="auto"/>
          <w:sz w:val="28"/>
          <w:highlight w:val="none"/>
        </w:rPr>
      </w:pPr>
      <w:r>
        <w:rPr>
          <w:rFonts w:hint="eastAsia" w:ascii="宋体" w:hAnsi="宋体" w:eastAsia="宋体" w:cs="宋体"/>
          <w:color w:val="auto"/>
          <w:szCs w:val="21"/>
          <w:highlight w:val="none"/>
        </w:rPr>
        <w:fldChar w:fldCharType="end"/>
      </w:r>
    </w:p>
    <w:p>
      <w:pPr>
        <w:snapToGrid w:val="0"/>
        <w:spacing w:line="360" w:lineRule="auto"/>
        <w:ind w:firstLine="482"/>
        <w:rPr>
          <w:rFonts w:hint="eastAsia" w:ascii="宋体" w:hAnsi="宋体" w:eastAsia="宋体" w:cs="宋体"/>
          <w:color w:val="auto"/>
          <w:sz w:val="24"/>
          <w:highlight w:val="none"/>
        </w:rPr>
      </w:pPr>
    </w:p>
    <w:p>
      <w:pPr>
        <w:pStyle w:val="5"/>
        <w:numPr>
          <w:ilvl w:val="0"/>
          <w:numId w:val="0"/>
        </w:numPr>
        <w:tabs>
          <w:tab w:val="clear" w:pos="600"/>
        </w:tabs>
        <w:ind w:left="240" w:firstLine="0"/>
        <w:jc w:val="center"/>
        <w:rPr>
          <w:rFonts w:hint="eastAsia" w:ascii="宋体" w:hAnsi="宋体" w:eastAsia="宋体" w:cs="宋体"/>
          <w:color w:val="auto"/>
          <w:highlight w:val="none"/>
          <w:lang w:val="en-US"/>
        </w:rPr>
      </w:pPr>
      <w:r>
        <w:rPr>
          <w:rFonts w:hint="eastAsia" w:ascii="宋体" w:hAnsi="宋体" w:eastAsia="宋体" w:cs="宋体"/>
          <w:b w:val="0"/>
          <w:color w:val="auto"/>
          <w:highlight w:val="none"/>
        </w:rPr>
        <w:br w:type="page"/>
      </w:r>
      <w:bookmarkStart w:id="0" w:name="_Toc22848"/>
      <w:bookmarkStart w:id="1" w:name="_Toc184"/>
      <w:bookmarkStart w:id="2" w:name="_Toc8475"/>
      <w:r>
        <w:rPr>
          <w:rFonts w:hint="eastAsia" w:ascii="宋体" w:hAnsi="宋体" w:eastAsia="宋体" w:cs="宋体"/>
          <w:color w:val="auto"/>
          <w:highlight w:val="none"/>
        </w:rPr>
        <w:t xml:space="preserve">第一章 </w:t>
      </w:r>
      <w:bookmarkEnd w:id="0"/>
      <w:bookmarkEnd w:id="1"/>
      <w:bookmarkEnd w:id="2"/>
      <w:r>
        <w:rPr>
          <w:rFonts w:hint="eastAsia" w:ascii="宋体" w:hAnsi="宋体" w:eastAsia="宋体" w:cs="宋体"/>
          <w:color w:val="auto"/>
          <w:highlight w:val="none"/>
          <w:lang w:val="en-US" w:eastAsia="zh-CN"/>
        </w:rPr>
        <w:t>比选公告</w:t>
      </w:r>
    </w:p>
    <w:p>
      <w:pPr>
        <w:snapToGrid w:val="0"/>
        <w:spacing w:before="156" w:beforeLines="50" w:after="156" w:afterLines="50" w:line="360" w:lineRule="auto"/>
        <w:jc w:val="center"/>
        <w:outlineLvl w:val="0"/>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2026年度配电维保服务比选（第二次）</w:t>
      </w:r>
    </w:p>
    <w:p>
      <w:pPr>
        <w:snapToGrid w:val="0"/>
        <w:spacing w:before="156" w:beforeLines="50" w:after="156" w:afterLines="50" w:line="360" w:lineRule="auto"/>
        <w:jc w:val="center"/>
        <w:outlineLvl w:val="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比选公告</w:t>
      </w:r>
    </w:p>
    <w:p>
      <w:pPr>
        <w:snapToGrid w:val="0"/>
        <w:spacing w:line="360" w:lineRule="auto"/>
        <w:jc w:val="left"/>
        <w:outlineLvl w:val="0"/>
        <w:rPr>
          <w:rFonts w:hint="eastAsia" w:ascii="宋体" w:hAnsi="宋体" w:eastAsia="宋体" w:cs="宋体"/>
          <w:b/>
          <w:bCs/>
          <w:color w:val="auto"/>
          <w:sz w:val="21"/>
          <w:szCs w:val="21"/>
          <w:highlight w:val="none"/>
          <w:u w:val="single"/>
          <w:lang w:eastAsia="zh-CN"/>
        </w:rPr>
      </w:pPr>
    </w:p>
    <w:p>
      <w:pPr>
        <w:pStyle w:val="13"/>
        <w:spacing w:line="360" w:lineRule="auto"/>
        <w:rPr>
          <w:rFonts w:hint="eastAsia" w:ascii="宋体" w:hAnsi="宋体" w:eastAsia="宋体" w:cs="宋体"/>
          <w:color w:val="auto"/>
          <w:sz w:val="21"/>
          <w:szCs w:val="21"/>
          <w:highlight w:val="none"/>
          <w:lang w:eastAsia="zh-CN"/>
        </w:rPr>
      </w:pPr>
    </w:p>
    <w:p>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宋体" w:hAnsi="宋体" w:eastAsia="宋体" w:cs="宋体"/>
          <w:b/>
          <w:color w:val="auto"/>
          <w:sz w:val="21"/>
          <w:szCs w:val="21"/>
          <w:highlight w:val="none"/>
        </w:rPr>
      </w:pPr>
      <w:bookmarkStart w:id="3" w:name="_Toc3245"/>
      <w:bookmarkStart w:id="4" w:name="_Toc9164"/>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eastAsia="zh-CN"/>
        </w:rPr>
        <w:t>比选</w:t>
      </w:r>
      <w:r>
        <w:rPr>
          <w:rFonts w:hint="eastAsia" w:ascii="宋体" w:hAnsi="宋体" w:eastAsia="宋体" w:cs="宋体"/>
          <w:b/>
          <w:color w:val="auto"/>
          <w:sz w:val="21"/>
          <w:szCs w:val="21"/>
          <w:highlight w:val="none"/>
        </w:rPr>
        <w:t>条件</w:t>
      </w:r>
    </w:p>
    <w:p>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项</w:t>
      </w:r>
      <w:r>
        <w:rPr>
          <w:rFonts w:hint="eastAsia" w:ascii="宋体" w:hAnsi="宋体" w:cs="宋体"/>
          <w:color w:val="auto"/>
          <w:sz w:val="21"/>
          <w:szCs w:val="21"/>
          <w:highlight w:val="none"/>
          <w:lang w:eastAsia="zh-CN"/>
        </w:rPr>
        <w:t>目为</w:t>
      </w:r>
      <w:r>
        <w:rPr>
          <w:rFonts w:hint="eastAsia" w:ascii="宋体" w:hAnsi="宋体" w:cs="宋体"/>
          <w:snapToGrid w:val="0"/>
          <w:color w:val="auto"/>
          <w:sz w:val="21"/>
          <w:szCs w:val="21"/>
          <w:highlight w:val="none"/>
          <w:u w:val="single"/>
          <w:lang w:eastAsia="zh-CN"/>
        </w:rPr>
        <w:t>2026年度配电维保服务比选（第二次）</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人为</w:t>
      </w:r>
      <w:r>
        <w:rPr>
          <w:rFonts w:hint="eastAsia" w:ascii="宋体" w:hAnsi="宋体" w:eastAsia="宋体" w:cs="宋体"/>
          <w:snapToGrid w:val="0"/>
          <w:color w:val="auto"/>
          <w:sz w:val="21"/>
          <w:szCs w:val="21"/>
          <w:highlight w:val="none"/>
          <w:u w:val="single"/>
          <w:lang w:eastAsia="zh-CN"/>
        </w:rPr>
        <w:t>重庆通邑卫士智慧生活服务有限公司</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项目资金自筹（资金来源），出资比例为100%。项目已具备</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条件。</w:t>
      </w:r>
      <w:r>
        <w:rPr>
          <w:rFonts w:hint="eastAsia" w:ascii="宋体" w:hAnsi="宋体" w:eastAsia="宋体" w:cs="宋体"/>
          <w:color w:val="auto"/>
          <w:sz w:val="21"/>
          <w:szCs w:val="21"/>
          <w:highlight w:val="none"/>
          <w:lang w:val="en-US" w:eastAsia="zh-CN"/>
        </w:rPr>
        <w:t>现对该项目进行公开比</w:t>
      </w:r>
      <w:r>
        <w:rPr>
          <w:rFonts w:hint="eastAsia" w:ascii="宋体" w:hAnsi="宋体" w:cs="宋体"/>
          <w:color w:val="auto"/>
          <w:sz w:val="21"/>
          <w:szCs w:val="21"/>
          <w:highlight w:val="none"/>
          <w:lang w:val="en-US" w:eastAsia="zh-CN"/>
        </w:rPr>
        <w:t>选。</w:t>
      </w:r>
    </w:p>
    <w:p>
      <w:pPr>
        <w:keepNext w:val="0"/>
        <w:keepLines w:val="0"/>
        <w:pageBreakBefore w:val="0"/>
        <w:widowControl w:val="0"/>
        <w:kinsoku/>
        <w:wordWrap/>
        <w:overflowPunct/>
        <w:topLinePunct w:val="0"/>
        <w:bidi w:val="0"/>
        <w:snapToGrid w:val="0"/>
        <w:spacing w:after="157" w:afterLines="50" w:line="360" w:lineRule="auto"/>
        <w:ind w:firstLine="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项目概况及</w:t>
      </w:r>
      <w:r>
        <w:rPr>
          <w:rFonts w:hint="eastAsia" w:ascii="宋体" w:hAnsi="宋体" w:eastAsia="宋体" w:cs="宋体"/>
          <w:b/>
          <w:color w:val="auto"/>
          <w:sz w:val="21"/>
          <w:szCs w:val="21"/>
          <w:highlight w:val="none"/>
          <w:lang w:eastAsia="zh-CN"/>
        </w:rPr>
        <w:t>比选</w:t>
      </w:r>
      <w:r>
        <w:rPr>
          <w:rFonts w:hint="eastAsia" w:ascii="宋体" w:hAnsi="宋体" w:eastAsia="宋体" w:cs="宋体"/>
          <w:b/>
          <w:color w:val="auto"/>
          <w:sz w:val="21"/>
          <w:szCs w:val="21"/>
          <w:highlight w:val="none"/>
        </w:rPr>
        <w:t>范围</w:t>
      </w:r>
    </w:p>
    <w:p>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地点：南部服务中心的白鹤公交站场、腾黄路公交站场、康庄公交枢纽站，西部服务中心的沙坪坝铁路枢纽社会停车场、金沙街项目、盛德路公交站场、重庆西站、陈庹路公交站场，交通运输委项目以及保税港1C通道。</w:t>
      </w:r>
    </w:p>
    <w:p>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val="en-US" w:eastAsia="zh-CN"/>
        </w:rPr>
        <w:t>项目概况：</w:t>
      </w:r>
    </w:p>
    <w:p>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维保范围</w:t>
      </w:r>
      <w:r>
        <w:rPr>
          <w:rFonts w:hint="eastAsia" w:ascii="宋体" w:hAnsi="宋体" w:eastAsia="宋体" w:cs="宋体"/>
          <w:color w:val="auto"/>
          <w:sz w:val="21"/>
          <w:szCs w:val="21"/>
          <w:highlight w:val="none"/>
          <w:lang w:val="en-US" w:eastAsia="zh-CN"/>
        </w:rPr>
        <w:t>：本次供配电系统维修保养服务比选共涉及：南部服务中心的白鹤公交站场、腾黄路公交站场、康庄公交枢纽站，西部服务中心的沙坪坝铁路枢纽社会停车场、金沙街项目、盛德路公交站场、重庆西站、陈庹路公交站场，交通运输委项目以及保税港1C通道共10个项目。</w:t>
      </w:r>
    </w:p>
    <w:p>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范围：</w:t>
      </w:r>
    </w:p>
    <w:p>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2.3.1.比选范围：白鹤公交站场、腾黄路公交站场、康庄公交枢纽站、沙坪坝铁路枢纽社会停车场、金沙街项目、盛德路公交站场、重庆西站、陈庹路公交站场，交通运输委项目、保税港1C通道的高低压供配电设备维修保养服务。</w:t>
      </w:r>
    </w:p>
    <w:p>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2.3.2.比选内容</w:t>
      </w:r>
    </w:p>
    <w:p>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包括但不限于提供配电房设施设备日常维护、检修、保养和应急抢修；包括高压柜、真空断路器、避雷器、变压器、两段高低压母线及系统其他相关设备检测、检修、保养维护、接地检测、安全工器具检测、设备运行安全维护等工作；免费更换易损件（单价300元及以下）、定期出具预防性试验报告及维保服务报告、参加紧急救援演练、指导培训用户安全使用等。</w:t>
      </w:r>
    </w:p>
    <w:p>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2.4服务期限</w:t>
      </w:r>
    </w:p>
    <w:p>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2.4.1合同自2026年1月1日起至2026年12月31日止。具体入场时间以书面通知为准。合同期内，若业主方与通邑公司合同提前终止，则本合同同步终止且比选邀请人不承担违约责任</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4.2合同采取1+1模式，首年合同到期后，经评审合格可续签合同，续签期限为1年</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3.对</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人资格要求</w:t>
      </w:r>
    </w:p>
    <w:p>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3.1本次</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rPr>
        <w:t>人须具备以下条件</w:t>
      </w:r>
      <w:r>
        <w:rPr>
          <w:rFonts w:hint="eastAsia" w:ascii="宋体" w:hAnsi="宋体" w:eastAsia="宋体" w:cs="宋体"/>
          <w:color w:val="auto"/>
          <w:sz w:val="21"/>
          <w:szCs w:val="21"/>
          <w:highlight w:val="none"/>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（1）在中华人民共和国境内注册，至参选截止日止，成立时间不低于36个月，具有有效营业执照</w:t>
      </w:r>
      <w:r>
        <w:rPr>
          <w:rFonts w:hint="eastAsia" w:ascii="宋体" w:hAnsi="宋体" w:cs="宋体"/>
          <w:color w:val="auto"/>
          <w:sz w:val="21"/>
          <w:szCs w:val="21"/>
          <w:highlight w:val="none"/>
          <w:lang w:val="en-US" w:eastAsia="zh-CN"/>
        </w:rPr>
        <w:t>，企业注册资本1000万元及以上</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（2）不允许分公司参选。</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（3）参选人近三年（从2022年10月1日至参选截止日止）具有配电维保业绩不少于3个，且单个配电维保合同总价款不低于 </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0万元。提供项目业绩合同复印件（复印件内容须包含合同主体、项目名称、合同内容、双方签章页等内容，合同金额不得涂抹，复印件须加盖参选人公章）。</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（4）2024年年度纳税额不低于200万元（提供国家税务总局纳税截图等证明资料，并加盖参选人公章）。</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参选人须具备承装（修、试）电力设施许可证三级及以上资质</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提供有效的证书复印件，加盖</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公章</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参选人须具备有效的安全生产许可证，提供有效的证书复印件，加盖</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公章</w:t>
      </w:r>
      <w:r>
        <w:rPr>
          <w:rFonts w:hint="eastAsia" w:ascii="宋体" w:hAnsi="宋体" w:cs="宋体"/>
          <w:color w:val="auto"/>
          <w:sz w:val="21"/>
          <w:szCs w:val="21"/>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参选人须具备电力工程施工总承包三级及以上资质及建筑工程施工总承包贰级及以上资质。提供有效的证书复印件，加盖</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公章</w:t>
      </w:r>
      <w:r>
        <w:rPr>
          <w:rFonts w:hint="eastAsia" w:ascii="宋体" w:hAnsi="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）人员要求：</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①拟派项目负责人须具备5年及以上10kV（或以上）电力设施设备运行维护经验或县级调度员运行经验。具备应急管理部门颁发的高压电工证。</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②拟派维保人员具备应急管理部门颁发的高压电工证，具有三年以上（含三年）10kV（或以上）变</w:t>
      </w:r>
      <w:r>
        <w:rPr>
          <w:rFonts w:hint="eastAsia" w:ascii="宋体" w:hAnsi="宋体" w:cs="宋体"/>
          <w:color w:val="auto"/>
          <w:sz w:val="21"/>
          <w:szCs w:val="21"/>
          <w:highlight w:val="none"/>
          <w:lang w:val="en-US" w:eastAsia="zh-CN"/>
        </w:rPr>
        <w:t>配</w:t>
      </w:r>
      <w:r>
        <w:rPr>
          <w:rFonts w:hint="eastAsia" w:ascii="宋体" w:hAnsi="宋体" w:eastAsia="宋体" w:cs="宋体"/>
          <w:color w:val="auto"/>
          <w:sz w:val="21"/>
          <w:szCs w:val="21"/>
          <w:highlight w:val="none"/>
          <w:lang w:val="en-US" w:eastAsia="zh-CN"/>
        </w:rPr>
        <w:t>电设施设备运行维护经验或县级调度员运行经验。</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③参选人拟派驻项目负责人须提供一年及以上连续在本单位社保缴费证明；拟派驻的维保人员须提供3个月及以上连续在本单位社保缴费证明。</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具有良好的商业信誉，需在信用中国（www.creditchina.gov.cn）下载并提供完整的“信用信息报告”，报告中不得有相关行政处罚、严重失信、经营（活动）异常等违规、违法信息（信用报告下载时间段需为领取比选函或发布比选公告后至开标前。比选邀请人开标当日查询各比选被邀请人的信用信息报告，各比选被邀请人信用信息报告以开标当日查询的结果为准）。</w:t>
      </w:r>
    </w:p>
    <w:p>
      <w:pPr>
        <w:keepNext w:val="0"/>
        <w:keepLines w:val="0"/>
        <w:pageBreakBefore w:val="0"/>
        <w:widowControl w:val="0"/>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）如实填写《</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关联关系单位披露表》（见格式文件），</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lang w:val="en-US" w:eastAsia="zh-CN"/>
        </w:rPr>
        <w:t>过程中如发现各</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之间存在表格明确的关联关系，</w:t>
      </w:r>
      <w:r>
        <w:rPr>
          <w:rFonts w:hint="eastAsia" w:ascii="宋体" w:hAnsi="宋体" w:cs="宋体"/>
          <w:color w:val="auto"/>
          <w:sz w:val="21"/>
          <w:szCs w:val="21"/>
          <w:highlight w:val="none"/>
          <w:lang w:val="en-US" w:eastAsia="zh-CN"/>
        </w:rPr>
        <w:t>比选人</w:t>
      </w:r>
      <w:r>
        <w:rPr>
          <w:rFonts w:hint="eastAsia" w:ascii="宋体" w:hAnsi="宋体" w:eastAsia="宋体" w:cs="宋体"/>
          <w:color w:val="auto"/>
          <w:sz w:val="21"/>
          <w:szCs w:val="21"/>
          <w:highlight w:val="none"/>
          <w:lang w:val="en-US" w:eastAsia="zh-CN"/>
        </w:rPr>
        <w:t>有权取消有关联关系的</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参与本项目的资格或重新组织比选。</w:t>
      </w:r>
    </w:p>
    <w:p>
      <w:pPr>
        <w:keepNext w:val="0"/>
        <w:keepLines w:val="0"/>
        <w:pageBreakBefore w:val="0"/>
        <w:widowControl w:val="0"/>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lang w:val="en-US" w:eastAsia="zh-CN"/>
        </w:rPr>
        <w:t>）其余要求详见参选人须知前附表1.4.</w:t>
      </w:r>
      <w:r>
        <w:rPr>
          <w:rFonts w:hint="eastAsia" w:ascii="宋体" w:hAnsi="宋体" w:cs="宋体"/>
          <w:color w:val="auto"/>
          <w:sz w:val="21"/>
          <w:szCs w:val="21"/>
          <w:highlight w:val="none"/>
          <w:lang w:val="en-US" w:eastAsia="zh-CN"/>
        </w:rPr>
        <w:t>1。</w:t>
      </w:r>
    </w:p>
    <w:p>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本次</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不接受联合体</w:t>
      </w: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w:t>
      </w:r>
      <w:r>
        <w:rPr>
          <w:rFonts w:hint="eastAsia" w:ascii="宋体" w:hAnsi="宋体" w:eastAsia="宋体" w:cs="宋体"/>
          <w:b/>
          <w:color w:val="auto"/>
          <w:sz w:val="21"/>
          <w:szCs w:val="21"/>
          <w:highlight w:val="none"/>
          <w:lang w:eastAsia="zh-CN"/>
        </w:rPr>
        <w:t>比选</w:t>
      </w:r>
      <w:r>
        <w:rPr>
          <w:rFonts w:hint="eastAsia" w:ascii="宋体" w:hAnsi="宋体" w:eastAsia="宋体" w:cs="宋体"/>
          <w:b/>
          <w:color w:val="auto"/>
          <w:sz w:val="21"/>
          <w:szCs w:val="21"/>
          <w:highlight w:val="none"/>
        </w:rPr>
        <w:t>文件的获取</w:t>
      </w:r>
    </w:p>
    <w:p>
      <w:pPr>
        <w:keepNext w:val="0"/>
        <w:keepLines w:val="0"/>
        <w:pageBreakBefore w:val="0"/>
        <w:widowControl w:val="0"/>
        <w:kinsoku/>
        <w:wordWrap/>
        <w:overflowPunct/>
        <w:topLinePunct w:val="0"/>
        <w:bidi w:val="0"/>
        <w:snapToGrid w:val="0"/>
        <w:spacing w:after="157"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获取方式：凡有意参加</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者，</w:t>
      </w:r>
      <w:r>
        <w:rPr>
          <w:rFonts w:hint="eastAsia" w:ascii="宋体" w:hAnsi="宋体" w:cs="宋体"/>
          <w:color w:val="auto"/>
          <w:sz w:val="21"/>
          <w:szCs w:val="21"/>
          <w:highlight w:val="none"/>
          <w:lang w:val="en-US" w:eastAsia="zh-CN"/>
        </w:rPr>
        <w:t>自本公告发布之日起，在</w:t>
      </w:r>
      <w:r>
        <w:rPr>
          <w:rFonts w:hint="eastAsia" w:ascii="宋体" w:hAnsi="宋体" w:eastAsia="宋体" w:cs="宋体"/>
          <w:color w:val="auto"/>
          <w:sz w:val="21"/>
          <w:szCs w:val="21"/>
          <w:highlight w:val="none"/>
          <w:lang w:val="en-US" w:eastAsia="zh-CN"/>
        </w:rPr>
        <w:t>重庆国际投资咨询集团有限公司、重庆交通资源开发有限公司</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http://www.cqjtsn.com</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网上</w:t>
      </w:r>
      <w:r>
        <w:rPr>
          <w:rFonts w:hint="eastAsia" w:ascii="宋体" w:hAnsi="宋体" w:cs="宋体"/>
          <w:color w:val="auto"/>
          <w:sz w:val="21"/>
          <w:szCs w:val="21"/>
          <w:highlight w:val="none"/>
          <w:lang w:val="en-US" w:eastAsia="zh-CN"/>
        </w:rPr>
        <w:t>下载比选文件。</w:t>
      </w:r>
    </w:p>
    <w:p>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文件的递交</w:t>
      </w:r>
    </w:p>
    <w:p>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递交截止时间：202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 xml:space="preserve"> 12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 xml:space="preserve"> 17</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 xml:space="preserve"> 14 </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 xml:space="preserve"> 00 </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递交方式：重庆国际投资咨询集团有限公司开标厅（重庆市江北区五里店五简路2号重庆咨询大厦A 栋），具体开标厅详见一楼大厅当天指示牌。</w:t>
      </w:r>
    </w:p>
    <w:p>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1.递交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文件时间为202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 xml:space="preserve"> 12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 xml:space="preserve"> 17 </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 xml:space="preserve"> 13 </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 xml:space="preserve"> 30 </w:t>
      </w:r>
      <w:r>
        <w:rPr>
          <w:rFonts w:hint="eastAsia" w:ascii="宋体" w:hAnsi="宋体" w:eastAsia="宋体" w:cs="宋体"/>
          <w:color w:val="auto"/>
          <w:sz w:val="21"/>
          <w:szCs w:val="21"/>
          <w:highlight w:val="none"/>
        </w:rPr>
        <w:t>分至202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 xml:space="preserve"> 12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 xml:space="preserve"> 17 </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 xml:space="preserve"> 14 </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 xml:space="preserve"> 00 </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文件递交的地点为：重庆国际投资咨询集团有限公司开标厅（重庆市江北区五里店五简路2号重庆咨询大厦A栋），具体开标厅详见</w:t>
      </w:r>
      <w:r>
        <w:rPr>
          <w:rFonts w:hint="eastAsia" w:ascii="宋体" w:hAnsi="宋体" w:eastAsia="宋体" w:cs="宋体"/>
          <w:color w:val="auto"/>
          <w:sz w:val="21"/>
          <w:szCs w:val="21"/>
          <w:highlight w:val="none"/>
          <w:lang w:val="en-US" w:eastAsia="zh-CN"/>
        </w:rPr>
        <w:t>负</w:t>
      </w:r>
      <w:r>
        <w:rPr>
          <w:rFonts w:hint="eastAsia" w:ascii="宋体" w:hAnsi="宋体" w:eastAsia="宋体" w:cs="宋体"/>
          <w:color w:val="auto"/>
          <w:sz w:val="21"/>
          <w:szCs w:val="21"/>
          <w:highlight w:val="none"/>
        </w:rPr>
        <w:t>一楼大厅当天指示牌。</w:t>
      </w:r>
    </w:p>
    <w:p>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3.逾期送达，或未送达指定地点，或未按</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文件要求密封的</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人不予受理。</w:t>
      </w:r>
    </w:p>
    <w:p>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6.发布公告的媒介</w:t>
      </w:r>
    </w:p>
    <w:p>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本次比选公告同时在中国招标投标公共服务平台（http://www.cebpubservice.com）、重庆国际投资咨询集团有限公司（https://www.cqiic.com</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、重庆交通资源开发有限公司（http://www.cqjtsn.com</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网上发布</w:t>
      </w:r>
    </w:p>
    <w:p>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7</w:t>
      </w:r>
      <w:r>
        <w:rPr>
          <w:rFonts w:hint="eastAsia" w:ascii="宋体" w:hAnsi="宋体" w:eastAsia="宋体" w:cs="宋体"/>
          <w:b/>
          <w:color w:val="auto"/>
          <w:sz w:val="21"/>
          <w:szCs w:val="21"/>
          <w:highlight w:val="none"/>
        </w:rPr>
        <w:t>.联系方式</w:t>
      </w:r>
    </w:p>
    <w:p>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eastAsia="zh-CN"/>
        </w:rPr>
        <w:t>重庆通邑卫士智慧生活服务有限公司</w:t>
      </w:r>
    </w:p>
    <w:p>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lang w:val="en-US" w:eastAsia="zh-CN"/>
        </w:rPr>
        <w:t xml:space="preserve"> 重庆市南岸区腾龙大道58号附25号  </w:t>
      </w:r>
    </w:p>
    <w:p>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val="en-US" w:eastAsia="zh-CN"/>
        </w:rPr>
        <w:t>宋老师</w:t>
      </w:r>
    </w:p>
    <w:p>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val="en-US" w:eastAsia="zh-CN" w:bidi="he-IL"/>
        </w:rPr>
      </w:pPr>
      <w:r>
        <w:rPr>
          <w:rFonts w:hint="eastAsia" w:ascii="宋体" w:hAnsi="宋体" w:eastAsia="宋体" w:cs="宋体"/>
          <w:color w:val="auto"/>
          <w:sz w:val="21"/>
          <w:szCs w:val="21"/>
          <w:highlight w:val="none"/>
        </w:rPr>
        <w:t>电  话：023-6175177</w:t>
      </w:r>
      <w:r>
        <w:rPr>
          <w:rFonts w:hint="eastAsia" w:ascii="宋体" w:hAnsi="宋体" w:cs="宋体"/>
          <w:color w:val="auto"/>
          <w:sz w:val="21"/>
          <w:szCs w:val="21"/>
          <w:highlight w:val="none"/>
          <w:lang w:val="en-US" w:eastAsia="zh-CN"/>
        </w:rPr>
        <w:t>6</w:t>
      </w:r>
    </w:p>
    <w:p>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eastAsia="zh-CN" w:bidi="he-IL"/>
        </w:rPr>
        <w:t>比选</w:t>
      </w:r>
      <w:r>
        <w:rPr>
          <w:rFonts w:hint="eastAsia" w:ascii="宋体" w:hAnsi="宋体" w:eastAsia="宋体" w:cs="宋体"/>
          <w:color w:val="auto"/>
          <w:sz w:val="21"/>
          <w:szCs w:val="21"/>
          <w:highlight w:val="none"/>
          <w:lang w:bidi="he-IL"/>
        </w:rPr>
        <w:t>代理机构：重庆国际投资咨询集团有限公司</w:t>
      </w:r>
    </w:p>
    <w:p>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地址：重庆市江北五里店重咨大厦A栋15</w:t>
      </w:r>
      <w:r>
        <w:rPr>
          <w:rFonts w:hint="eastAsia" w:ascii="宋体" w:hAnsi="宋体" w:eastAsia="宋体" w:cs="宋体"/>
          <w:color w:val="auto"/>
          <w:sz w:val="21"/>
          <w:szCs w:val="21"/>
          <w:highlight w:val="none"/>
          <w:lang w:val="en-US" w:eastAsia="zh-CN" w:bidi="he-IL"/>
        </w:rPr>
        <w:t>10</w:t>
      </w:r>
      <w:r>
        <w:rPr>
          <w:rFonts w:hint="eastAsia" w:ascii="宋体" w:hAnsi="宋体" w:eastAsia="宋体" w:cs="宋体"/>
          <w:color w:val="auto"/>
          <w:sz w:val="21"/>
          <w:szCs w:val="21"/>
          <w:highlight w:val="none"/>
          <w:lang w:bidi="he-IL"/>
        </w:rPr>
        <w:t xml:space="preserve">室 </w:t>
      </w:r>
    </w:p>
    <w:p>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联系人：</w:t>
      </w:r>
      <w:r>
        <w:rPr>
          <w:rFonts w:hint="eastAsia" w:ascii="宋体" w:hAnsi="宋体" w:cs="宋体"/>
          <w:color w:val="auto"/>
          <w:sz w:val="21"/>
          <w:szCs w:val="21"/>
          <w:highlight w:val="none"/>
          <w:lang w:val="en-US" w:eastAsia="zh-CN" w:bidi="he-IL"/>
        </w:rPr>
        <w:t>钟女士</w:t>
      </w:r>
      <w:r>
        <w:rPr>
          <w:rFonts w:hint="eastAsia" w:ascii="宋体" w:hAnsi="宋体" w:eastAsia="宋体" w:cs="宋体"/>
          <w:color w:val="auto"/>
          <w:sz w:val="21"/>
          <w:szCs w:val="21"/>
          <w:highlight w:val="none"/>
          <w:lang w:bidi="he-IL"/>
        </w:rPr>
        <w:t xml:space="preserve">   </w:t>
      </w:r>
    </w:p>
    <w:p>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电话： </w:t>
      </w:r>
      <w:r>
        <w:rPr>
          <w:rFonts w:hint="eastAsia" w:ascii="宋体" w:hAnsi="宋体" w:cs="宋体"/>
          <w:color w:val="auto"/>
          <w:sz w:val="21"/>
          <w:szCs w:val="21"/>
          <w:highlight w:val="none"/>
          <w:lang w:eastAsia="zh-CN"/>
        </w:rPr>
        <w:t>023-67767080</w:t>
      </w:r>
      <w:r>
        <w:rPr>
          <w:rFonts w:hint="eastAsia" w:ascii="宋体" w:hAnsi="宋体" w:eastAsia="宋体" w:cs="宋体"/>
          <w:color w:val="auto"/>
          <w:sz w:val="21"/>
          <w:szCs w:val="21"/>
          <w:highlight w:val="none"/>
        </w:rPr>
        <w:t xml:space="preserve">      传真：023-67703020</w:t>
      </w:r>
    </w:p>
    <w:p>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rPr>
        <w:t>保证金汇款信息如下：</w:t>
      </w:r>
    </w:p>
    <w:p>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户名</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重庆通邑卫士智慧生活服务有限公司</w:t>
      </w:r>
    </w:p>
    <w:p>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开户银行：民生银行南坪支行</w:t>
      </w:r>
    </w:p>
    <w:p>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账号</w:t>
      </w:r>
      <w:r>
        <w:rPr>
          <w:rFonts w:hint="eastAsia" w:ascii="宋体" w:hAnsi="宋体" w:eastAsia="宋体" w:cs="宋体"/>
          <w:color w:val="auto"/>
          <w:sz w:val="21"/>
          <w:szCs w:val="21"/>
          <w:highlight w:val="none"/>
        </w:rPr>
        <w:t>：648680030</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p>
    <w:bookmarkEnd w:id="3"/>
    <w:bookmarkEnd w:id="4"/>
    <w:p>
      <w:pPr>
        <w:pStyle w:val="48"/>
        <w:spacing w:line="360" w:lineRule="auto"/>
        <w:ind w:firstLine="420" w:firstLineChars="200"/>
        <w:outlineLvl w:val="1"/>
        <w:rPr>
          <w:rFonts w:hint="eastAsia" w:ascii="宋体" w:hAnsi="宋体" w:eastAsia="宋体" w:cs="宋体"/>
          <w:b w:val="0"/>
          <w:bCs/>
          <w:color w:val="auto"/>
          <w:kern w:val="2"/>
          <w:sz w:val="21"/>
          <w:szCs w:val="21"/>
          <w:highlight w:val="none"/>
          <w:lang w:eastAsia="zh-CN"/>
        </w:rPr>
      </w:pPr>
      <w:r>
        <w:rPr>
          <w:rFonts w:hint="eastAsia" w:ascii="宋体" w:hAnsi="宋体" w:eastAsia="宋体" w:cs="宋体"/>
          <w:b w:val="0"/>
          <w:bCs/>
          <w:color w:val="auto"/>
          <w:kern w:val="2"/>
          <w:sz w:val="21"/>
          <w:szCs w:val="21"/>
          <w:highlight w:val="none"/>
          <w:lang w:eastAsia="zh-CN"/>
        </w:rPr>
        <w:br w:type="page"/>
      </w:r>
    </w:p>
    <w:p>
      <w:pPr>
        <w:pStyle w:val="5"/>
        <w:numPr>
          <w:ilvl w:val="0"/>
          <w:numId w:val="0"/>
        </w:numPr>
        <w:tabs>
          <w:tab w:val="clear" w:pos="600"/>
        </w:tabs>
        <w:ind w:left="240" w:firstLine="0"/>
        <w:jc w:val="center"/>
        <w:rPr>
          <w:rFonts w:hint="eastAsia" w:ascii="宋体" w:hAnsi="宋体" w:eastAsia="宋体" w:cs="宋体"/>
          <w:b/>
          <w:bCs/>
          <w:color w:val="auto"/>
          <w:kern w:val="44"/>
          <w:sz w:val="36"/>
          <w:szCs w:val="44"/>
          <w:highlight w:val="none"/>
          <w:lang w:val="en-US" w:eastAsia="zh-CN" w:bidi="ar-SA"/>
        </w:rPr>
      </w:pPr>
      <w:bookmarkStart w:id="5" w:name="_Toc8294"/>
      <w:bookmarkStart w:id="6" w:name="_Toc18027"/>
      <w:bookmarkStart w:id="7" w:name="_Toc10957"/>
      <w:r>
        <w:rPr>
          <w:rFonts w:hint="eastAsia" w:ascii="宋体" w:hAnsi="宋体" w:eastAsia="宋体" w:cs="宋体"/>
          <w:b/>
          <w:bCs/>
          <w:color w:val="auto"/>
          <w:kern w:val="44"/>
          <w:sz w:val="36"/>
          <w:szCs w:val="44"/>
          <w:highlight w:val="none"/>
          <w:lang w:val="en-US" w:eastAsia="zh-CN" w:bidi="ar-SA"/>
        </w:rPr>
        <w:t>第二</w:t>
      </w:r>
      <w:r>
        <w:rPr>
          <w:rFonts w:hint="eastAsia" w:ascii="宋体" w:hAnsi="宋体" w:eastAsia="宋体" w:cs="宋体"/>
          <w:color w:val="auto"/>
          <w:highlight w:val="none"/>
          <w:lang w:val="en-US" w:eastAsia="zh-CN"/>
        </w:rPr>
        <w:t>章 参选人</w:t>
      </w:r>
      <w:r>
        <w:rPr>
          <w:rFonts w:hint="eastAsia" w:ascii="宋体" w:hAnsi="宋体" w:eastAsia="宋体" w:cs="宋体"/>
          <w:b/>
          <w:bCs/>
          <w:color w:val="auto"/>
          <w:kern w:val="44"/>
          <w:sz w:val="36"/>
          <w:szCs w:val="44"/>
          <w:highlight w:val="none"/>
          <w:lang w:val="en-US" w:eastAsia="zh-CN" w:bidi="ar-SA"/>
        </w:rPr>
        <w:t>须知</w:t>
      </w:r>
      <w:bookmarkEnd w:id="5"/>
      <w:bookmarkEnd w:id="6"/>
      <w:bookmarkEnd w:id="7"/>
    </w:p>
    <w:p>
      <w:pPr>
        <w:widowControl/>
        <w:snapToGrid w:val="0"/>
        <w:spacing w:line="360" w:lineRule="auto"/>
        <w:jc w:val="center"/>
        <w:outlineLvl w:val="0"/>
        <w:rPr>
          <w:rFonts w:hint="eastAsia" w:ascii="宋体" w:hAnsi="宋体" w:eastAsia="宋体" w:cs="宋体"/>
          <w:b/>
          <w:bCs/>
          <w:color w:val="auto"/>
          <w:sz w:val="28"/>
          <w:highlight w:val="none"/>
        </w:rPr>
      </w:pPr>
      <w:bookmarkStart w:id="8" w:name="_Toc11226"/>
      <w:bookmarkStart w:id="9" w:name="_Toc27922"/>
      <w:bookmarkStart w:id="10" w:name="_Toc22608"/>
      <w:bookmarkStart w:id="11" w:name="_Toc9159"/>
      <w:bookmarkStart w:id="12" w:name="_Toc30698"/>
      <w:r>
        <w:rPr>
          <w:rFonts w:hint="eastAsia" w:ascii="宋体" w:hAnsi="宋体" w:eastAsia="宋体" w:cs="宋体"/>
          <w:b/>
          <w:bCs/>
          <w:color w:val="auto"/>
          <w:sz w:val="28"/>
          <w:highlight w:val="none"/>
          <w:lang w:eastAsia="zh-CN"/>
        </w:rPr>
        <w:t>参选</w:t>
      </w:r>
      <w:r>
        <w:rPr>
          <w:rFonts w:hint="eastAsia" w:ascii="宋体" w:hAnsi="宋体" w:eastAsia="宋体" w:cs="宋体"/>
          <w:b/>
          <w:bCs/>
          <w:color w:val="auto"/>
          <w:sz w:val="28"/>
          <w:highlight w:val="none"/>
        </w:rPr>
        <w:t>人须知前附表</w:t>
      </w:r>
      <w:bookmarkEnd w:id="8"/>
      <w:bookmarkEnd w:id="9"/>
      <w:bookmarkEnd w:id="10"/>
      <w:bookmarkEnd w:id="11"/>
      <w:bookmarkEnd w:id="12"/>
    </w:p>
    <w:tbl>
      <w:tblPr>
        <w:tblStyle w:val="23"/>
        <w:tblW w:w="9164" w:type="dxa"/>
        <w:tblInd w:w="0" w:type="dxa"/>
        <w:tblLayout w:type="fixed"/>
        <w:tblCellMar>
          <w:top w:w="0" w:type="dxa"/>
          <w:left w:w="0" w:type="dxa"/>
          <w:bottom w:w="0" w:type="dxa"/>
          <w:right w:w="0" w:type="dxa"/>
        </w:tblCellMar>
      </w:tblPr>
      <w:tblGrid>
        <w:gridCol w:w="999"/>
        <w:gridCol w:w="1877"/>
        <w:gridCol w:w="6288"/>
      </w:tblGrid>
      <w:tr>
        <w:tblPrEx>
          <w:tblCellMar>
            <w:top w:w="0" w:type="dxa"/>
            <w:left w:w="0" w:type="dxa"/>
            <w:bottom w:w="0" w:type="dxa"/>
            <w:right w:w="0" w:type="dxa"/>
          </w:tblCellMar>
        </w:tblPrEx>
        <w:trPr>
          <w:trHeight w:val="454" w:hRule="atLeast"/>
        </w:trPr>
        <w:tc>
          <w:tcPr>
            <w:tcW w:w="999" w:type="dxa"/>
            <w:tcBorders>
              <w:top w:val="single" w:color="000000" w:sz="6"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1877" w:type="dxa"/>
            <w:tcBorders>
              <w:top w:val="single" w:color="000000" w:sz="6"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条款名称</w:t>
            </w:r>
          </w:p>
        </w:tc>
        <w:tc>
          <w:tcPr>
            <w:tcW w:w="6288" w:type="dxa"/>
            <w:tcBorders>
              <w:top w:val="single" w:color="000000" w:sz="6"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编列内容</w:t>
            </w:r>
          </w:p>
        </w:tc>
      </w:tr>
      <w:tr>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lang w:eastAsia="zh-CN"/>
              </w:rPr>
              <w:t>重庆通邑卫士智慧生活服务有限公司</w:t>
            </w:r>
          </w:p>
          <w:p>
            <w:pPr>
              <w:keepNext w:val="0"/>
              <w:keepLines w:val="0"/>
              <w:pageBreakBefore w:val="0"/>
              <w:widowControl w:val="0"/>
              <w:kinsoku/>
              <w:wordWrap/>
              <w:overflowPunct/>
              <w:topLinePunct w:val="0"/>
              <w:bidi w:val="0"/>
              <w:adjustRightInd w:val="0"/>
              <w:snapToGrid w:val="0"/>
              <w:spacing w:line="400" w:lineRule="exact"/>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  址：重庆市南岸区腾龙大道58号附25号  </w:t>
            </w:r>
          </w:p>
          <w:p>
            <w:pPr>
              <w:keepNext w:val="0"/>
              <w:keepLines w:val="0"/>
              <w:pageBreakBefore w:val="0"/>
              <w:widowControl w:val="0"/>
              <w:kinsoku/>
              <w:wordWrap/>
              <w:overflowPunct/>
              <w:topLinePunct w:val="0"/>
              <w:bidi w:val="0"/>
              <w:adjustRightInd w:val="0"/>
              <w:snapToGrid w:val="0"/>
              <w:spacing w:line="400" w:lineRule="exact"/>
              <w:ind w:left="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val="en-US" w:eastAsia="zh-CN"/>
              </w:rPr>
              <w:t>宋</w:t>
            </w:r>
            <w:r>
              <w:rPr>
                <w:rFonts w:hint="eastAsia" w:ascii="宋体" w:hAnsi="宋体" w:cs="宋体"/>
                <w:color w:val="auto"/>
                <w:sz w:val="21"/>
                <w:szCs w:val="21"/>
                <w:highlight w:val="none"/>
                <w:lang w:eastAsia="zh-CN"/>
              </w:rPr>
              <w:t>老师</w:t>
            </w:r>
          </w:p>
          <w:p>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  话：023-6175177</w:t>
            </w:r>
            <w:r>
              <w:rPr>
                <w:rFonts w:hint="eastAsia" w:ascii="宋体" w:hAnsi="宋体" w:cs="宋体"/>
                <w:color w:val="auto"/>
                <w:sz w:val="21"/>
                <w:szCs w:val="21"/>
                <w:highlight w:val="none"/>
                <w:lang w:val="en-US" w:eastAsia="zh-CN"/>
              </w:rPr>
              <w:t>6</w:t>
            </w:r>
          </w:p>
        </w:tc>
      </w:tr>
      <w:tr>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代理机构</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代理机构：</w:t>
            </w:r>
            <w:r>
              <w:rPr>
                <w:rFonts w:hint="eastAsia" w:ascii="宋体" w:hAnsi="宋体" w:eastAsia="宋体" w:cs="宋体"/>
                <w:color w:val="auto"/>
                <w:sz w:val="21"/>
                <w:szCs w:val="21"/>
                <w:highlight w:val="none"/>
                <w:lang w:eastAsia="zh-CN"/>
              </w:rPr>
              <w:t>重庆国际投资咨询集团有限公司</w:t>
            </w:r>
          </w:p>
          <w:p>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地址：重庆市江北五里店重咨大厦A栋15</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 xml:space="preserve">室 </w:t>
            </w:r>
          </w:p>
          <w:p>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val="en-US" w:eastAsia="zh-CN"/>
              </w:rPr>
              <w:t>钟女士</w:t>
            </w: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电话： </w:t>
            </w:r>
            <w:r>
              <w:rPr>
                <w:rFonts w:hint="eastAsia" w:ascii="宋体" w:hAnsi="宋体" w:cs="宋体"/>
                <w:color w:val="auto"/>
                <w:sz w:val="21"/>
                <w:szCs w:val="21"/>
                <w:highlight w:val="none"/>
                <w:lang w:eastAsia="zh-CN"/>
              </w:rPr>
              <w:t>023-67767080</w:t>
            </w:r>
            <w:r>
              <w:rPr>
                <w:rFonts w:hint="eastAsia" w:ascii="宋体" w:hAnsi="宋体" w:eastAsia="宋体" w:cs="宋体"/>
                <w:color w:val="auto"/>
                <w:sz w:val="21"/>
                <w:szCs w:val="21"/>
                <w:highlight w:val="none"/>
              </w:rPr>
              <w:t xml:space="preserve">      传真：023-67703020</w:t>
            </w:r>
          </w:p>
        </w:tc>
      </w:tr>
      <w:tr>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2026年度配电维保服务比选（第二次）</w:t>
            </w:r>
          </w:p>
        </w:tc>
      </w:tr>
      <w:tr>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企业自筹</w:t>
            </w:r>
          </w:p>
        </w:tc>
      </w:tr>
      <w:tr>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资金落实情况</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已落实</w:t>
            </w:r>
          </w:p>
        </w:tc>
      </w:tr>
      <w:tr>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范围</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公告）</w:t>
            </w:r>
          </w:p>
        </w:tc>
      </w:tr>
      <w:tr>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服务期限</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公告）</w:t>
            </w:r>
          </w:p>
        </w:tc>
      </w:tr>
      <w:tr>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服务地点</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公告）</w:t>
            </w:r>
          </w:p>
        </w:tc>
      </w:tr>
      <w:tr>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满足比选文件的要求</w:t>
            </w:r>
          </w:p>
        </w:tc>
      </w:tr>
      <w:tr>
        <w:tblPrEx>
          <w:tblCellMar>
            <w:top w:w="0" w:type="dxa"/>
            <w:left w:w="0" w:type="dxa"/>
            <w:bottom w:w="0" w:type="dxa"/>
            <w:right w:w="0" w:type="dxa"/>
          </w:tblCellMar>
        </w:tblPrEx>
        <w:trPr>
          <w:trHeight w:val="53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资格审查方式</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资格后审</w:t>
            </w:r>
          </w:p>
        </w:tc>
      </w:tr>
      <w:tr>
        <w:tblPrEx>
          <w:tblCellMar>
            <w:top w:w="0" w:type="dxa"/>
            <w:left w:w="0" w:type="dxa"/>
            <w:bottom w:w="0" w:type="dxa"/>
            <w:right w:w="0" w:type="dxa"/>
          </w:tblCellMar>
        </w:tblPrEx>
        <w:trPr>
          <w:trHeight w:val="1240"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w:t>
            </w:r>
          </w:p>
          <w:p>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人资质条件、能力和信誉</w:t>
            </w:r>
          </w:p>
          <w:p>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numPr>
                <w:ilvl w:val="0"/>
                <w:numId w:val="0"/>
              </w:numPr>
              <w:kinsoku/>
              <w:wordWrap/>
              <w:overflowPunct/>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实行资格后审，</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人应具备以下资格条件：</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2147483648"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（1）在中华人民共和国境内注册，至参选截止日止，成立时间不低于36个月，具有有效营业执照</w:t>
            </w:r>
            <w:r>
              <w:rPr>
                <w:rFonts w:hint="eastAsia" w:ascii="宋体" w:hAnsi="宋体" w:cs="宋体"/>
                <w:color w:val="auto"/>
                <w:sz w:val="21"/>
                <w:szCs w:val="21"/>
                <w:highlight w:val="none"/>
                <w:lang w:val="en-US" w:eastAsia="zh-CN"/>
              </w:rPr>
              <w:t>，企业注册资本1000万元及以上</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2147483648"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（2）不允许分公司参选。</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2147483648"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（3）参选人近三年（从2022年10月1日至参选截止日止）具有配电维保业绩不少于3个，且单个配电维保合同总价款不低于</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万元。提供项目业绩合同复印件（复印件内容须包含合同主体、项目名称、合同内容、双方签章页等内容，合同金额不得涂抹，复印件须加盖参选人公章）。</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2147483648"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（4）2024年年度纳税额不低于200万元（提供国家税务总局纳税截图等证明资料，并加盖参选人公章）。</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2147483648"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参选人须具备承装（修、试）电力设施许可证三级及以上资质</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提供有效的证书复印件，加盖</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公章</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2147483648"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参选人须具备有效的安全生产许可证，提供有效的证书复印件，加盖</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公章</w:t>
            </w:r>
            <w:r>
              <w:rPr>
                <w:rFonts w:hint="eastAsia" w:ascii="宋体" w:hAnsi="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2147483648"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参选人须具备电力工程施工总承包三级及以上资质及建筑工程施工总承包贰级及以上资质。提供有效的证书复印件，加盖</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公章</w:t>
            </w:r>
            <w:r>
              <w:rPr>
                <w:rFonts w:hint="eastAsia" w:ascii="宋体" w:hAnsi="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2147483648"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）人员要求：</w:t>
            </w:r>
          </w:p>
          <w:p>
            <w:pPr>
              <w:numPr>
                <w:ilvl w:val="0"/>
                <w:numId w:val="0"/>
              </w:numPr>
              <w:autoSpaceDE w:val="0"/>
              <w:autoSpaceDN w:val="0"/>
              <w:spacing w:line="400" w:lineRule="exact"/>
              <w:ind w:firstLine="420" w:firstLineChars="200"/>
              <w:jc w:val="left"/>
              <w:textAlignment w:val="auto"/>
              <w:rPr>
                <w:rFonts w:hint="eastAsia"/>
                <w:lang w:val="en-US" w:eastAsia="zh-CN"/>
              </w:rPr>
            </w:pPr>
            <w:r>
              <w:rPr>
                <w:rFonts w:hint="eastAsia" w:ascii="宋体" w:hAnsi="宋体" w:eastAsia="宋体" w:cs="宋体"/>
                <w:color w:val="auto"/>
                <w:sz w:val="21"/>
                <w:szCs w:val="21"/>
                <w:highlight w:val="none"/>
                <w:lang w:val="en-US" w:eastAsia="zh-CN"/>
              </w:rPr>
              <w:t>①拟派项目负责人须具备5年及以上10kV（或以上）电力设施设备运行维护经验。具备应急管理部门颁发的高压电工证。</w:t>
            </w:r>
            <w:r>
              <w:rPr>
                <w:rFonts w:hint="eastAsia" w:ascii="宋体" w:hAnsi="宋体" w:cs="宋体"/>
                <w:color w:val="auto"/>
                <w:sz w:val="21"/>
                <w:szCs w:val="21"/>
                <w:highlight w:val="none"/>
                <w:lang w:val="en-US" w:eastAsia="zh-CN"/>
              </w:rPr>
              <w:t>（注：相应工作经验须提供承诺函，格式自拟）</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2147483648"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②拟派维保人员具备应急管理部门颁发的高压电工证，具有三年以上（含三年）10kV（或以上）变</w:t>
            </w:r>
            <w:r>
              <w:rPr>
                <w:rFonts w:hint="eastAsia" w:ascii="宋体" w:hAnsi="宋体" w:cs="宋体"/>
                <w:color w:val="auto"/>
                <w:sz w:val="21"/>
                <w:szCs w:val="21"/>
                <w:highlight w:val="none"/>
                <w:lang w:val="en-US" w:eastAsia="zh-CN"/>
              </w:rPr>
              <w:t>配</w:t>
            </w:r>
            <w:r>
              <w:rPr>
                <w:rFonts w:hint="eastAsia" w:ascii="宋体" w:hAnsi="宋体" w:eastAsia="宋体" w:cs="宋体"/>
                <w:color w:val="auto"/>
                <w:sz w:val="21"/>
                <w:szCs w:val="21"/>
                <w:highlight w:val="none"/>
                <w:lang w:val="en-US" w:eastAsia="zh-CN"/>
              </w:rPr>
              <w:t>电设施设备运行维护经验或县级调度员运行经验。</w:t>
            </w:r>
            <w:r>
              <w:rPr>
                <w:rFonts w:hint="eastAsia" w:ascii="宋体" w:hAnsi="宋体" w:cs="宋体"/>
                <w:color w:val="auto"/>
                <w:sz w:val="21"/>
                <w:szCs w:val="21"/>
                <w:highlight w:val="none"/>
                <w:lang w:val="en-US" w:eastAsia="zh-CN"/>
              </w:rPr>
              <w:t>（注：相应工作经验须提供承诺函，格式自拟）</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2147483648"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③参选人拟派驻项目负责人须提供一年及以上连续在本单位社保缴费证明；拟派驻的维保人员须提供3个月及以上连续在本单位社保缴费证明。</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2147483648"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具有良好的商业信誉，需在信用中国（www.creditchina.gov.cn）下载并提供完整的“信用信息报告”，报告中不得有相关行政处罚、严重失信、经营（活动）异常等违规、违法信息（信用报告下载时间段需为领取比选函或发布比选公告后至开标前。比选邀请人开标当日查询各比选被邀请人的信用信息报告，各比选被邀请人信用信息报告以开标当日查询的结果为准）。</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afterLines="-2147483648"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）如实填写《</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关联关系单位披露表》（见格式文件），</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lang w:val="en-US" w:eastAsia="zh-CN"/>
              </w:rPr>
              <w:t>过程中如发现各</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之间存在表格明确的关联关系，</w:t>
            </w:r>
            <w:r>
              <w:rPr>
                <w:rFonts w:hint="eastAsia" w:ascii="宋体" w:hAnsi="宋体" w:cs="宋体"/>
                <w:color w:val="auto"/>
                <w:sz w:val="21"/>
                <w:szCs w:val="21"/>
                <w:highlight w:val="none"/>
                <w:lang w:val="en-US" w:eastAsia="zh-CN"/>
              </w:rPr>
              <w:t>比选人</w:t>
            </w:r>
            <w:r>
              <w:rPr>
                <w:rFonts w:hint="eastAsia" w:ascii="宋体" w:hAnsi="宋体" w:eastAsia="宋体" w:cs="宋体"/>
                <w:color w:val="auto"/>
                <w:sz w:val="21"/>
                <w:szCs w:val="21"/>
                <w:highlight w:val="none"/>
                <w:lang w:val="en-US" w:eastAsia="zh-CN"/>
              </w:rPr>
              <w:t>有权取消有关联关系的</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参与本项目的资格或重新组织比选。</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Lines="-2147483648" w:after="0" w:afterLines="-2147483648" w:line="400" w:lineRule="exact"/>
              <w:ind w:firstLine="420" w:firstLineChars="200"/>
              <w:jc w:val="left"/>
              <w:textAlignment w:val="auto"/>
              <w:outlineLvl w:val="9"/>
              <w:rPr>
                <w:rFonts w:hint="eastAsia" w:ascii="宋体" w:hAnsi="宋体" w:eastAsia="宋体" w:cs="宋体"/>
                <w:color w:val="auto"/>
                <w:sz w:val="21"/>
                <w:szCs w:val="21"/>
                <w:highlight w:val="none"/>
              </w:rPr>
            </w:pPr>
            <w:bookmarkStart w:id="13" w:name="_Toc32178"/>
            <w:bookmarkStart w:id="14" w:name="_Toc12267"/>
            <w:r>
              <w:rPr>
                <w:rFonts w:hint="eastAsia" w:ascii="宋体" w:hAnsi="宋体" w:eastAsia="宋体" w:cs="宋体"/>
                <w:color w:val="auto"/>
                <w:sz w:val="21"/>
                <w:szCs w:val="21"/>
                <w:highlight w:val="none"/>
                <w:lang w:val="en-US" w:eastAsia="zh-CN"/>
              </w:rPr>
              <w:t>（注：①拟派项目负责人须提供一年及以上连续在本单位社保缴费证明；②拟派驻的维保人员须提供3个月及以上连续在本单位社保缴费证明；③企业提供养老保险证明，事业单位提供养老保险证明或行政主管部门在编证明；④拟派驻人员的连续养老保险证明期限须包含2025年</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月至2025年</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月。养老保险证明原件必须加盖社保部门公章，提供的养老保险参保证明须体现上述人员的姓名、身份证号（或社保号）、单位名称、本单位参保时间（或起始参保时间）。为确保对所有参选人的公开、公平、公正，</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如果提供网上打印的养老保险证明材料含有电子印章且提供了该地区政府或人社局发布的相关推行参保人员社保证明电子化的佐证材料（可不要求为原件，但必须网上能查询文件属实），可视为原件，不需加盖社保部门公章，投标有效，否则由评委会作否决投标处理。）</w:t>
            </w:r>
            <w:bookmarkEnd w:id="13"/>
            <w:bookmarkEnd w:id="14"/>
          </w:p>
        </w:tc>
      </w:tr>
      <w:tr>
        <w:tblPrEx>
          <w:tblCellMar>
            <w:top w:w="0" w:type="dxa"/>
            <w:left w:w="0" w:type="dxa"/>
            <w:bottom w:w="0" w:type="dxa"/>
            <w:right w:w="0" w:type="dxa"/>
          </w:tblCellMar>
        </w:tblPrEx>
        <w:trPr>
          <w:trHeight w:val="959"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w:t>
            </w:r>
          </w:p>
          <w:p>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联合体</w:t>
            </w:r>
            <w:r>
              <w:rPr>
                <w:rFonts w:hint="eastAsia" w:ascii="宋体" w:hAnsi="宋体" w:eastAsia="宋体" w:cs="宋体"/>
                <w:color w:val="auto"/>
                <w:sz w:val="21"/>
                <w:szCs w:val="21"/>
                <w:highlight w:val="none"/>
                <w:lang w:eastAsia="zh-CN"/>
              </w:rPr>
              <w:t>参选</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w:t>
            </w:r>
          </w:p>
        </w:tc>
      </w:tr>
      <w:tr>
        <w:tblPrEx>
          <w:tblCellMar>
            <w:top w:w="0" w:type="dxa"/>
            <w:left w:w="0" w:type="dxa"/>
            <w:bottom w:w="0" w:type="dxa"/>
            <w:right w:w="0" w:type="dxa"/>
          </w:tblCellMar>
        </w:tblPrEx>
        <w:trPr>
          <w:trHeight w:val="773"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rPr>
              <w:t>踏勘现场</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不组织踏勘</w:t>
            </w:r>
            <w:r>
              <w:rPr>
                <w:rFonts w:hint="eastAsia" w:ascii="宋体" w:hAnsi="宋体" w:eastAsia="宋体" w:cs="宋体"/>
                <w:color w:val="auto"/>
                <w:sz w:val="21"/>
                <w:szCs w:val="21"/>
                <w:highlight w:val="none"/>
              </w:rPr>
              <w:t>。</w:t>
            </w:r>
          </w:p>
        </w:tc>
      </w:tr>
      <w:tr>
        <w:tblPrEx>
          <w:tblCellMar>
            <w:top w:w="0" w:type="dxa"/>
            <w:left w:w="0" w:type="dxa"/>
            <w:bottom w:w="0" w:type="dxa"/>
            <w:right w:w="0" w:type="dxa"/>
          </w:tblCellMar>
        </w:tblPrEx>
        <w:trPr>
          <w:trHeight w:val="687"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tblPrEx>
          <w:tblCellMar>
            <w:top w:w="0" w:type="dxa"/>
            <w:left w:w="0" w:type="dxa"/>
            <w:bottom w:w="0" w:type="dxa"/>
            <w:right w:w="0" w:type="dxa"/>
          </w:tblCellMar>
        </w:tblPrEx>
        <w:trPr>
          <w:trHeight w:val="99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1.11.</w:t>
            </w:r>
            <w:r>
              <w:rPr>
                <w:rFonts w:hint="eastAsia" w:ascii="宋体" w:hAnsi="宋体" w:eastAsia="宋体" w:cs="宋体"/>
                <w:color w:val="auto"/>
                <w:sz w:val="21"/>
                <w:szCs w:val="21"/>
                <w:highlight w:val="none"/>
                <w:lang w:val="en-US" w:eastAsia="zh-CN"/>
              </w:rPr>
              <w:t>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文件的偏离</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文件的其他材料</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人发出的答疑、补遗及澄清文件</w:t>
            </w:r>
          </w:p>
        </w:tc>
      </w:tr>
      <w:tr>
        <w:tblPrEx>
          <w:tblCellMar>
            <w:top w:w="0" w:type="dxa"/>
            <w:left w:w="0" w:type="dxa"/>
            <w:bottom w:w="0" w:type="dxa"/>
            <w:right w:w="0" w:type="dxa"/>
          </w:tblCellMar>
        </w:tblPrEx>
        <w:trPr>
          <w:trHeight w:val="554" w:hRule="atLeast"/>
        </w:trPr>
        <w:tc>
          <w:tcPr>
            <w:tcW w:w="999" w:type="dxa"/>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p>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人要求澄清</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w:t>
            </w:r>
          </w:p>
        </w:tc>
        <w:tc>
          <w:tcPr>
            <w:tcW w:w="6288"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 xml:space="preserve"> 12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15 </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u w:val="single"/>
                <w:lang w:val="en-US" w:eastAsia="zh-CN"/>
              </w:rPr>
              <w:t xml:space="preserve"> 10 </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u w:val="single"/>
                <w:lang w:val="en-US" w:eastAsia="zh-CN"/>
              </w:rPr>
              <w:t xml:space="preserve"> 00 </w:t>
            </w:r>
            <w:r>
              <w:rPr>
                <w:rFonts w:hint="eastAsia" w:ascii="宋体" w:hAnsi="宋体" w:eastAsia="宋体" w:cs="宋体"/>
                <w:color w:val="auto"/>
                <w:sz w:val="21"/>
                <w:szCs w:val="21"/>
                <w:highlight w:val="none"/>
              </w:rPr>
              <w:t>分（北京时间）前</w:t>
            </w:r>
          </w:p>
        </w:tc>
      </w:tr>
      <w:tr>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文件澄清发出的形式</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人在认为有必要对</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人所提问题进行答复时或对</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文件进行补充时，将作出答复，并将答复内容和补充内容作为</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文件的补充部分，答复截止时间</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15</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u w:val="single"/>
                <w:lang w:val="en-US" w:eastAsia="zh-CN"/>
              </w:rPr>
              <w:t xml:space="preserve"> 18 </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u w:val="single"/>
                <w:lang w:val="en-US" w:eastAsia="zh-CN"/>
              </w:rPr>
              <w:t xml:space="preserve"> 00 </w:t>
            </w:r>
            <w:r>
              <w:rPr>
                <w:rFonts w:hint="eastAsia" w:ascii="宋体" w:hAnsi="宋体" w:eastAsia="宋体" w:cs="宋体"/>
                <w:color w:val="auto"/>
                <w:sz w:val="21"/>
                <w:szCs w:val="21"/>
                <w:highlight w:val="none"/>
              </w:rPr>
              <w:t>分（北京时间），补遗内容可能影响</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文件编制产生重大影响的，须在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日前发布，发布时间至</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截止时间不足</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日的，须相应延后</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w:t>
            </w:r>
          </w:p>
        </w:tc>
      </w:tr>
      <w:tr>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w:t>
            </w:r>
          </w:p>
          <w:p>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文件的其他资料</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允许</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人为证明自己的实力和能力提供另外的资料。</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文件格式中表格可以扩展。</w:t>
            </w:r>
          </w:p>
          <w:p>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人在</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过程中作出的符合法律法规和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文件规定的澄清确认，构成</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文件的组成部分。</w:t>
            </w:r>
          </w:p>
        </w:tc>
      </w:tr>
      <w:tr>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p>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次比选报价采用综合包干价。包含但不限于人工费、社会保险及商业保险费、材料费、设备费、企业管理费、利润、风险费用、检测费、措施费、安全文明作业费、应急作业补偿费、水电费、材料涨价、垃圾清运费、弃渣费、税费、不可预计未列出的风险等所有费用。除此费用外，比选邀请人无须再向参选人或任何第三方支付其他款项或费用。</w:t>
            </w:r>
          </w:p>
          <w:p>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（2）合同期内不含税价及含税价均不因税率变化做调增。</w:t>
            </w:r>
          </w:p>
          <w:p>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（3）比选邀请人不组织集中踏勘，由参选人自行前往现场了解相关项目情况，不论参选人是否自行前往现场进行踏勘，均视为参选人已充分了解项目现状及潜在风险，比选报价均视为已包含相关风险费用。</w:t>
            </w:r>
          </w:p>
        </w:tc>
      </w:tr>
      <w:tr>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限价</w:t>
            </w:r>
          </w:p>
        </w:tc>
        <w:tc>
          <w:tcPr>
            <w:tcW w:w="628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1.1.限价：不含税总价262041.51元作为最高限价，含300元内的配件免费更换。其中本项目要求提供专票</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税率 %。</w:t>
            </w:r>
          </w:p>
          <w:p>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Times New Roman" w:hAnsi="Times New Roman" w:eastAsia="宋体" w:cs="Times New Roman"/>
                <w:color w:val="auto"/>
                <w:sz w:val="24"/>
                <w:szCs w:val="20"/>
                <w:highlight w:val="none"/>
                <w:lang w:val="en-US" w:eastAsia="zh-CN" w:bidi="ar-SA"/>
              </w:rPr>
            </w:pPr>
            <w:r>
              <w:rPr>
                <w:rFonts w:hint="eastAsia" w:ascii="宋体" w:hAnsi="宋体" w:eastAsia="宋体" w:cs="宋体"/>
                <w:color w:val="auto"/>
                <w:sz w:val="21"/>
                <w:szCs w:val="21"/>
                <w:highlight w:val="none"/>
              </w:rPr>
              <w:t>2.本次报价为一次性最终报价，不再议价。请参选人根据自身情况自主报价，报价超过该限价的作否决比选处理。</w:t>
            </w:r>
          </w:p>
        </w:tc>
      </w:tr>
      <w:tr>
        <w:tblPrEx>
          <w:tblCellMar>
            <w:top w:w="0" w:type="dxa"/>
            <w:left w:w="0" w:type="dxa"/>
            <w:bottom w:w="0" w:type="dxa"/>
            <w:right w:w="0" w:type="dxa"/>
          </w:tblCellMar>
        </w:tblPrEx>
        <w:trPr>
          <w:trHeight w:val="90"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3.2.5</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报价的其他要求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本项目的</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报价货币为人民币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RMB</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tc>
      </w:tr>
      <w:tr>
        <w:tblPrEx>
          <w:tblCellMar>
            <w:top w:w="0" w:type="dxa"/>
            <w:left w:w="0" w:type="dxa"/>
            <w:bottom w:w="0" w:type="dxa"/>
            <w:right w:w="0" w:type="dxa"/>
          </w:tblCellMar>
        </w:tblPrEx>
        <w:trPr>
          <w:trHeight w:val="528"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有效期</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从提交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文件截止日起90日历天。</w:t>
            </w:r>
          </w:p>
        </w:tc>
      </w:tr>
      <w:tr>
        <w:tblPrEx>
          <w:tblCellMar>
            <w:top w:w="0" w:type="dxa"/>
            <w:left w:w="0" w:type="dxa"/>
            <w:bottom w:w="0" w:type="dxa"/>
            <w:right w:w="0" w:type="dxa"/>
          </w:tblCellMar>
        </w:tblPrEx>
        <w:trPr>
          <w:trHeight w:val="129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w:t>
            </w:r>
          </w:p>
          <w:p>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w:t>
            </w:r>
          </w:p>
          <w:p>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保证金的形式</w:t>
            </w:r>
          </w:p>
          <w:p>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保证金形式：</w:t>
            </w:r>
            <w:r>
              <w:rPr>
                <w:rFonts w:hint="eastAsia" w:ascii="宋体" w:hAnsi="宋体" w:cs="宋体"/>
                <w:color w:val="auto"/>
                <w:sz w:val="21"/>
                <w:szCs w:val="21"/>
                <w:highlight w:val="none"/>
                <w:lang w:eastAsia="zh-CN"/>
              </w:rPr>
              <w:t>银行转账</w:t>
            </w:r>
            <w:r>
              <w:rPr>
                <w:rFonts w:hint="eastAsia" w:ascii="宋体" w:hAnsi="宋体" w:eastAsia="宋体" w:cs="宋体"/>
                <w:color w:val="auto"/>
                <w:sz w:val="21"/>
                <w:szCs w:val="21"/>
                <w:highlight w:val="none"/>
              </w:rPr>
              <w:t>、电汇。</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保证金应从</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人本单位银行基本账户汇出。</w:t>
            </w:r>
          </w:p>
          <w:p>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b/>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保证金的金额：人民币</w:t>
            </w:r>
            <w:r>
              <w:rPr>
                <w:rFonts w:hint="eastAsia" w:ascii="宋体" w:hAnsi="宋体" w:cs="宋体"/>
                <w:b/>
                <w:color w:val="auto"/>
                <w:sz w:val="21"/>
                <w:szCs w:val="21"/>
                <w:highlight w:val="none"/>
                <w:lang w:val="en-US" w:eastAsia="zh-CN"/>
              </w:rPr>
              <w:t>5000元（大写：人民币伍仟元整）</w:t>
            </w:r>
            <w:r>
              <w:rPr>
                <w:rFonts w:hint="eastAsia" w:ascii="宋体" w:hAnsi="宋体" w:eastAsia="宋体" w:cs="宋体"/>
                <w:b/>
                <w:color w:val="auto"/>
                <w:sz w:val="21"/>
                <w:szCs w:val="21"/>
                <w:highlight w:val="none"/>
              </w:rPr>
              <w:t>。</w:t>
            </w:r>
          </w:p>
          <w:p>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保证金</w:t>
            </w:r>
            <w:r>
              <w:rPr>
                <w:rFonts w:hint="eastAsia" w:ascii="宋体" w:hAnsi="宋体" w:cs="宋体"/>
                <w:b/>
                <w:color w:val="auto"/>
                <w:sz w:val="21"/>
                <w:szCs w:val="21"/>
                <w:highlight w:val="none"/>
                <w:lang w:eastAsia="zh-CN"/>
              </w:rPr>
              <w:t>到账时间</w:t>
            </w:r>
            <w:r>
              <w:rPr>
                <w:rFonts w:hint="eastAsia" w:ascii="宋体" w:hAnsi="宋体" w:eastAsia="宋体" w:cs="宋体"/>
                <w:b/>
                <w:color w:val="auto"/>
                <w:sz w:val="21"/>
                <w:szCs w:val="21"/>
                <w:highlight w:val="none"/>
              </w:rPr>
              <w:t>：与</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截止时间一致。</w:t>
            </w:r>
          </w:p>
          <w:p>
            <w:pPr>
              <w:adjustRightInd w:val="0"/>
              <w:snapToGrid w:val="0"/>
              <w:spacing w:line="400" w:lineRule="exac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CN"/>
              </w:rPr>
              <w:t>民生银行南坪支行</w:t>
            </w:r>
          </w:p>
          <w:p>
            <w:pPr>
              <w:adjustRightInd w:val="0"/>
              <w:snapToGrid w:val="0"/>
              <w:spacing w:line="400" w:lineRule="exac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户    名：</w:t>
            </w:r>
            <w:r>
              <w:rPr>
                <w:rFonts w:hint="eastAsia" w:ascii="宋体" w:hAnsi="宋体" w:eastAsia="宋体" w:cs="宋体"/>
                <w:color w:val="auto"/>
                <w:sz w:val="21"/>
                <w:szCs w:val="21"/>
                <w:highlight w:val="none"/>
                <w:lang w:eastAsia="zh-CN"/>
              </w:rPr>
              <w:t>重庆通邑卫士智慧生活服务有限公司</w:t>
            </w:r>
          </w:p>
          <w:p>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银行账号：</w:t>
            </w:r>
            <w:r>
              <w:rPr>
                <w:rFonts w:hint="eastAsia" w:ascii="宋体" w:hAnsi="宋体" w:eastAsia="宋体" w:cs="宋体"/>
                <w:color w:val="auto"/>
                <w:sz w:val="21"/>
                <w:szCs w:val="21"/>
                <w:highlight w:val="none"/>
                <w:u w:val="none"/>
                <w:lang w:val="en-US" w:eastAsia="zh-CN"/>
              </w:rPr>
              <w:t>648680030</w:t>
            </w:r>
          </w:p>
          <w:p>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b/>
                <w:snapToGrid w:val="0"/>
                <w:color w:val="auto"/>
                <w:sz w:val="21"/>
                <w:szCs w:val="21"/>
                <w:highlight w:val="none"/>
              </w:rPr>
            </w:pPr>
            <w:r>
              <w:rPr>
                <w:rFonts w:hint="eastAsia" w:ascii="宋体" w:hAnsi="宋体" w:eastAsia="宋体" w:cs="宋体"/>
                <w:b/>
                <w:snapToGrid w:val="0"/>
                <w:color w:val="auto"/>
                <w:sz w:val="21"/>
                <w:szCs w:val="21"/>
                <w:highlight w:val="none"/>
                <w:lang w:eastAsia="zh-CN"/>
              </w:rPr>
              <w:t>参选</w:t>
            </w:r>
            <w:r>
              <w:rPr>
                <w:rFonts w:hint="eastAsia" w:ascii="宋体" w:hAnsi="宋体" w:eastAsia="宋体" w:cs="宋体"/>
                <w:b/>
                <w:snapToGrid w:val="0"/>
                <w:color w:val="auto"/>
                <w:sz w:val="21"/>
                <w:szCs w:val="21"/>
                <w:highlight w:val="none"/>
              </w:rPr>
              <w:t>人应在付款凭证备注栏中注明是“</w:t>
            </w:r>
            <w:r>
              <w:rPr>
                <w:rFonts w:hint="eastAsia" w:ascii="宋体" w:hAnsi="宋体" w:cs="宋体"/>
                <w:b/>
                <w:snapToGrid w:val="0"/>
                <w:color w:val="auto"/>
                <w:sz w:val="21"/>
                <w:szCs w:val="21"/>
                <w:highlight w:val="none"/>
                <w:lang w:val="en-US" w:eastAsia="zh-CN"/>
              </w:rPr>
              <w:t>2026年度配电</w:t>
            </w:r>
            <w:r>
              <w:rPr>
                <w:rFonts w:hint="eastAsia" w:ascii="宋体" w:hAnsi="宋体" w:eastAsia="宋体" w:cs="宋体"/>
                <w:b/>
                <w:snapToGrid w:val="0"/>
                <w:color w:val="auto"/>
                <w:sz w:val="21"/>
                <w:szCs w:val="21"/>
                <w:highlight w:val="none"/>
              </w:rPr>
              <w:t>维保比选</w:t>
            </w:r>
            <w:r>
              <w:rPr>
                <w:rFonts w:hint="eastAsia" w:ascii="宋体" w:hAnsi="宋体" w:eastAsia="宋体" w:cs="宋体"/>
                <w:b/>
                <w:snapToGrid w:val="0"/>
                <w:color w:val="auto"/>
                <w:sz w:val="21"/>
                <w:szCs w:val="21"/>
                <w:highlight w:val="none"/>
                <w:lang w:eastAsia="zh-CN"/>
              </w:rPr>
              <w:t>参选</w:t>
            </w:r>
            <w:r>
              <w:rPr>
                <w:rFonts w:hint="eastAsia" w:ascii="宋体" w:hAnsi="宋体" w:eastAsia="宋体" w:cs="宋体"/>
                <w:b/>
                <w:snapToGrid w:val="0"/>
                <w:color w:val="auto"/>
                <w:sz w:val="21"/>
                <w:szCs w:val="21"/>
                <w:highlight w:val="none"/>
              </w:rPr>
              <w:t>保证金”。</w:t>
            </w:r>
          </w:p>
          <w:p>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保证金有效期：与</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有效期一致。</w:t>
            </w:r>
          </w:p>
          <w:p>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注：未按上述要求提交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保证金的，其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文件按无效</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处理。</w:t>
            </w:r>
          </w:p>
          <w:p>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特别提示：实际保证金到账时间可能会与</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人的估算时间有偏差。为保障</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保证金的有效性，提前汇入保证金是最有效的方式。</w:t>
            </w:r>
          </w:p>
        </w:tc>
      </w:tr>
      <w:tr>
        <w:tblPrEx>
          <w:tblCellMar>
            <w:top w:w="0" w:type="dxa"/>
            <w:left w:w="0" w:type="dxa"/>
            <w:bottom w:w="0" w:type="dxa"/>
            <w:right w:w="0" w:type="dxa"/>
          </w:tblCellMar>
        </w:tblPrEx>
        <w:trPr>
          <w:trHeight w:val="129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其他可以不予退还</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保证金的情形</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有效期内撤销</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w:t>
            </w:r>
          </w:p>
          <w:p>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中选</w:t>
            </w:r>
            <w:r>
              <w:rPr>
                <w:rFonts w:hint="eastAsia" w:ascii="宋体" w:hAnsi="宋体" w:eastAsia="宋体" w:cs="宋体"/>
                <w:color w:val="auto"/>
                <w:sz w:val="21"/>
                <w:szCs w:val="21"/>
                <w:highlight w:val="none"/>
              </w:rPr>
              <w:t>人在收到</w:t>
            </w:r>
            <w:r>
              <w:rPr>
                <w:rFonts w:hint="eastAsia" w:ascii="宋体" w:hAnsi="宋体" w:eastAsia="宋体" w:cs="宋体"/>
                <w:color w:val="auto"/>
                <w:sz w:val="21"/>
                <w:szCs w:val="21"/>
                <w:highlight w:val="none"/>
                <w:lang w:val="en-US" w:eastAsia="zh-CN"/>
              </w:rPr>
              <w:t>成交通知书</w:t>
            </w:r>
            <w:r>
              <w:rPr>
                <w:rFonts w:hint="eastAsia" w:ascii="宋体" w:hAnsi="宋体" w:eastAsia="宋体" w:cs="宋体"/>
                <w:color w:val="auto"/>
                <w:sz w:val="21"/>
                <w:szCs w:val="21"/>
                <w:highlight w:val="none"/>
              </w:rPr>
              <w:t>后，无正当理由不与</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人订立合同，在签订合同时向</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人提出附加条件，或者不按照</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文件要求提交履约保证金</w:t>
            </w:r>
            <w:r>
              <w:rPr>
                <w:rFonts w:hint="eastAsia" w:ascii="宋体" w:hAnsi="宋体" w:cs="宋体"/>
                <w:color w:val="auto"/>
                <w:sz w:val="21"/>
                <w:szCs w:val="21"/>
                <w:highlight w:val="none"/>
                <w:lang w:eastAsia="zh-CN"/>
              </w:rPr>
              <w:t>。</w:t>
            </w:r>
          </w:p>
          <w:p>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）提供虚假文件、过期文件、挂靠或其他不正当方式获取中选资格的。</w:t>
            </w:r>
          </w:p>
        </w:tc>
      </w:tr>
      <w:tr>
        <w:tblPrEx>
          <w:tblCellMar>
            <w:top w:w="0" w:type="dxa"/>
            <w:left w:w="0" w:type="dxa"/>
            <w:bottom w:w="0" w:type="dxa"/>
            <w:right w:w="0" w:type="dxa"/>
          </w:tblCellMar>
        </w:tblPrEx>
        <w:trPr>
          <w:trHeight w:val="55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资格审查资料</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按照本须知前附表1.4.1执行。</w:t>
            </w:r>
          </w:p>
        </w:tc>
      </w:tr>
      <w:tr>
        <w:tblPrEx>
          <w:tblCellMar>
            <w:top w:w="0" w:type="dxa"/>
            <w:left w:w="0" w:type="dxa"/>
            <w:bottom w:w="0" w:type="dxa"/>
            <w:right w:w="0" w:type="dxa"/>
          </w:tblCellMar>
        </w:tblPrEx>
        <w:trPr>
          <w:trHeight w:val="55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是否允许递交备选</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方案</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tblPrEx>
          <w:tblCellMar>
            <w:top w:w="0" w:type="dxa"/>
            <w:left w:w="0" w:type="dxa"/>
            <w:bottom w:w="0" w:type="dxa"/>
            <w:right w:w="0" w:type="dxa"/>
          </w:tblCellMar>
        </w:tblPrEx>
        <w:trPr>
          <w:trHeight w:val="55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文件签字</w:t>
            </w:r>
          </w:p>
          <w:p>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或盖章要求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文件的正本应由</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人的法定代表人或经正式授权并对</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人有约束力的代表签字。由授权代表签字时，须在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文件中提供法定代表人“授权委托书”</w:t>
            </w:r>
            <w:r>
              <w:rPr>
                <w:rFonts w:hint="eastAsia" w:ascii="宋体" w:hAnsi="宋体" w:cs="宋体"/>
                <w:color w:val="auto"/>
                <w:sz w:val="21"/>
                <w:szCs w:val="21"/>
                <w:highlight w:val="none"/>
                <w:lang w:eastAsia="zh-CN"/>
              </w:rPr>
              <w:t>。</w:t>
            </w:r>
          </w:p>
          <w:p>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人对错漏之处做必要修改或补充外，</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文件中不得有随意的行间插字、涂改和增删。如确有错漏之处确需要手工修改或补充，</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文件的修改必须由</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人的法定代表人或其授权代表在修改或补充之处签字并盖章。</w:t>
            </w:r>
          </w:p>
          <w:p>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签字盖章不符合要求的评委会有权将其作否决</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处理。</w:t>
            </w:r>
          </w:p>
        </w:tc>
      </w:tr>
      <w:tr>
        <w:tblPrEx>
          <w:tblCellMar>
            <w:top w:w="0" w:type="dxa"/>
            <w:left w:w="0" w:type="dxa"/>
            <w:bottom w:w="0" w:type="dxa"/>
            <w:right w:w="0" w:type="dxa"/>
          </w:tblCellMar>
        </w:tblPrEx>
        <w:trPr>
          <w:trHeight w:val="55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文件副本份数及其他要求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文件正本份数：1份；</w:t>
            </w:r>
          </w:p>
          <w:p>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文件副本份数：</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份；</w:t>
            </w:r>
          </w:p>
          <w:p>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提交电子版文件</w:t>
            </w:r>
            <w:r>
              <w:rPr>
                <w:rFonts w:hint="eastAsia" w:ascii="宋体" w:hAnsi="宋体" w:cs="宋体"/>
                <w:color w:val="auto"/>
                <w:sz w:val="21"/>
                <w:szCs w:val="21"/>
                <w:highlight w:val="none"/>
                <w:lang w:val="en-US" w:eastAsia="zh-CN"/>
              </w:rPr>
              <w:t>要求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人应提供载有全部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文件内容</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rPr>
              <w:t>盖章版PDF扫描件1份（以U盘形式装入正本文件袋内，U盘需用加盖单位公章的纸条包裹，U盘是否加盖公章不作为否决比选条件）。</w:t>
            </w:r>
          </w:p>
          <w:p>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U</w:t>
            </w:r>
            <w:r>
              <w:rPr>
                <w:rFonts w:hint="eastAsia" w:ascii="宋体" w:hAnsi="宋体" w:eastAsia="宋体" w:cs="宋体"/>
                <w:color w:val="auto"/>
                <w:sz w:val="21"/>
                <w:szCs w:val="21"/>
                <w:highlight w:val="none"/>
              </w:rPr>
              <w:t>盘表面须注明项目名称、</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单位名称，并加盖</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单位鲜章，请</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人予以配合，但不作为否决</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条款</w:t>
            </w:r>
            <w:r>
              <w:rPr>
                <w:rFonts w:hint="eastAsia" w:ascii="宋体" w:hAnsi="宋体" w:cs="宋体"/>
                <w:color w:val="auto"/>
                <w:sz w:val="21"/>
                <w:szCs w:val="21"/>
                <w:highlight w:val="none"/>
                <w:lang w:eastAsia="zh-CN"/>
              </w:rPr>
              <w:t>。</w:t>
            </w:r>
          </w:p>
        </w:tc>
      </w:tr>
      <w:tr>
        <w:tblPrEx>
          <w:tblCellMar>
            <w:top w:w="0" w:type="dxa"/>
            <w:left w:w="0" w:type="dxa"/>
            <w:bottom w:w="0" w:type="dxa"/>
            <w:right w:w="0" w:type="dxa"/>
          </w:tblCellMar>
        </w:tblPrEx>
        <w:trPr>
          <w:trHeight w:val="55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文件是否需分册装订</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是</w:t>
            </w:r>
          </w:p>
        </w:tc>
      </w:tr>
      <w:tr>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3.7.5</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装订要求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rPr>
              <w:t>文件须装订成册（</w:t>
            </w:r>
            <w:r>
              <w:rPr>
                <w:rFonts w:hint="eastAsia" w:ascii="宋体" w:hAnsi="宋体" w:cs="宋体"/>
                <w:color w:val="auto"/>
                <w:sz w:val="21"/>
                <w:szCs w:val="21"/>
                <w:highlight w:val="none"/>
                <w:lang w:val="en-US" w:eastAsia="zh-CN"/>
              </w:rPr>
              <w:t>资格文件、经济文件分开装订；</w:t>
            </w:r>
            <w:r>
              <w:rPr>
                <w:rFonts w:hint="eastAsia" w:ascii="宋体" w:hAnsi="宋体" w:eastAsia="宋体" w:cs="宋体"/>
                <w:color w:val="auto"/>
                <w:sz w:val="21"/>
                <w:szCs w:val="21"/>
                <w:highlight w:val="none"/>
              </w:rPr>
              <w:t>若一本装订不下，可分多册装订），并应编制目录、标注页码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所有</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文件不论使用任何方式进行装订，必须保证</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书装订牢固，否则，</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人对由于</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文件装订松散而造成的丢失或其他后果不承担任何责任。</w:t>
            </w:r>
          </w:p>
        </w:tc>
      </w:tr>
      <w:tr>
        <w:tblPrEx>
          <w:tblCellMar>
            <w:top w:w="0" w:type="dxa"/>
            <w:left w:w="0" w:type="dxa"/>
            <w:bottom w:w="0" w:type="dxa"/>
            <w:right w:w="0" w:type="dxa"/>
          </w:tblCellMar>
        </w:tblPrEx>
        <w:trPr>
          <w:trHeight w:val="416"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文件装袋密封要求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文件应密封包装，并在封套的封口处加盖</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人单位章或由</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人的法定代表人（单位负责人）或其授权的代理人签字。</w:t>
            </w:r>
          </w:p>
        </w:tc>
      </w:tr>
      <w:tr>
        <w:tblPrEx>
          <w:tblCellMar>
            <w:top w:w="0" w:type="dxa"/>
            <w:left w:w="0" w:type="dxa"/>
            <w:bottom w:w="0" w:type="dxa"/>
            <w:right w:w="0" w:type="dxa"/>
          </w:tblCellMar>
        </w:tblPrEx>
        <w:trPr>
          <w:trHeight w:val="841"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文件外封套应注明</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文件”大袋封套上应写明如下内容：</w:t>
            </w:r>
          </w:p>
          <w:p>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人名称：</w:t>
            </w:r>
          </w:p>
          <w:p>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人地址：</w:t>
            </w:r>
          </w:p>
          <w:p>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w:t>
            </w:r>
          </w:p>
          <w:p>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   年  月  日  时   分（</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截止时间）前不得开启</w:t>
            </w:r>
          </w:p>
        </w:tc>
      </w:tr>
      <w:tr>
        <w:tblPrEx>
          <w:tblCellMar>
            <w:top w:w="0" w:type="dxa"/>
            <w:left w:w="0" w:type="dxa"/>
            <w:bottom w:w="0" w:type="dxa"/>
            <w:right w:w="0" w:type="dxa"/>
          </w:tblCellMar>
        </w:tblPrEx>
        <w:trPr>
          <w:trHeight w:val="1086"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b/>
                <w:snapToGrid w:val="0"/>
                <w:color w:val="auto"/>
                <w:sz w:val="21"/>
                <w:szCs w:val="21"/>
                <w:highlight w:val="none"/>
                <w:u w:val="single"/>
              </w:rPr>
            </w:pPr>
            <w:r>
              <w:rPr>
                <w:rFonts w:hint="eastAsia" w:ascii="宋体" w:hAnsi="宋体" w:eastAsia="宋体" w:cs="宋体"/>
                <w:b/>
                <w:snapToGrid w:val="0"/>
                <w:color w:val="auto"/>
                <w:sz w:val="21"/>
                <w:szCs w:val="21"/>
                <w:highlight w:val="none"/>
                <w:u w:val="single"/>
                <w:lang w:eastAsia="zh-CN"/>
              </w:rPr>
              <w:t>参选</w:t>
            </w:r>
            <w:r>
              <w:rPr>
                <w:rFonts w:hint="eastAsia" w:ascii="宋体" w:hAnsi="宋体" w:eastAsia="宋体" w:cs="宋体"/>
                <w:b/>
                <w:snapToGrid w:val="0"/>
                <w:color w:val="auto"/>
                <w:sz w:val="21"/>
                <w:szCs w:val="21"/>
                <w:highlight w:val="none"/>
                <w:u w:val="single"/>
              </w:rPr>
              <w:t>文件递交</w:t>
            </w:r>
            <w:r>
              <w:rPr>
                <w:rFonts w:hint="eastAsia" w:ascii="宋体" w:hAnsi="宋体" w:eastAsia="宋体" w:cs="宋体"/>
                <w:b/>
                <w:snapToGrid w:val="0"/>
                <w:color w:val="auto"/>
                <w:sz w:val="21"/>
                <w:szCs w:val="21"/>
                <w:highlight w:val="none"/>
                <w:u w:val="single"/>
                <w:lang w:val="en-US" w:eastAsia="zh-CN" w:bidi="ar-SA"/>
              </w:rPr>
              <w:t>时间：</w:t>
            </w:r>
            <w:r>
              <w:rPr>
                <w:rFonts w:hint="eastAsia" w:ascii="宋体" w:hAnsi="宋体" w:eastAsia="宋体" w:cs="宋体"/>
                <w:color w:val="auto"/>
                <w:sz w:val="21"/>
                <w:szCs w:val="21"/>
                <w:highlight w:val="none"/>
              </w:rPr>
              <w:t>（同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公告）</w:t>
            </w:r>
          </w:p>
          <w:p>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snapToGrid w:val="0"/>
                <w:color w:val="auto"/>
                <w:sz w:val="21"/>
                <w:szCs w:val="21"/>
                <w:highlight w:val="none"/>
                <w:u w:val="single"/>
                <w:lang w:eastAsia="zh-CN"/>
              </w:rPr>
              <w:t>参选</w:t>
            </w:r>
            <w:r>
              <w:rPr>
                <w:rFonts w:hint="eastAsia" w:ascii="宋体" w:hAnsi="宋体" w:eastAsia="宋体" w:cs="宋体"/>
                <w:b/>
                <w:snapToGrid w:val="0"/>
                <w:color w:val="auto"/>
                <w:sz w:val="21"/>
                <w:szCs w:val="21"/>
                <w:highlight w:val="none"/>
                <w:u w:val="single"/>
              </w:rPr>
              <w:t>截止时</w:t>
            </w:r>
            <w:r>
              <w:rPr>
                <w:rFonts w:hint="eastAsia" w:ascii="宋体" w:hAnsi="宋体" w:eastAsia="宋体" w:cs="宋体"/>
                <w:b/>
                <w:snapToGrid w:val="0"/>
                <w:color w:val="auto"/>
                <w:sz w:val="21"/>
                <w:szCs w:val="21"/>
                <w:highlight w:val="none"/>
                <w:u w:val="single"/>
                <w:lang w:val="en-US" w:eastAsia="zh-CN" w:bidi="ar-SA"/>
              </w:rPr>
              <w:t>间</w:t>
            </w:r>
            <w:r>
              <w:rPr>
                <w:rFonts w:hint="eastAsia" w:ascii="宋体" w:hAnsi="宋体" w:cs="宋体"/>
                <w:b/>
                <w:snapToGrid w:val="0"/>
                <w:color w:val="auto"/>
                <w:sz w:val="21"/>
                <w:szCs w:val="21"/>
                <w:highlight w:val="none"/>
                <w:u w:val="single"/>
                <w:lang w:val="en-US" w:eastAsia="zh-CN" w:bidi="ar-SA"/>
              </w:rPr>
              <w:t>；</w:t>
            </w:r>
            <w:r>
              <w:rPr>
                <w:rFonts w:hint="eastAsia" w:ascii="宋体" w:hAnsi="宋体" w:eastAsia="宋体" w:cs="宋体"/>
                <w:color w:val="auto"/>
                <w:sz w:val="21"/>
                <w:szCs w:val="21"/>
                <w:highlight w:val="none"/>
              </w:rPr>
              <w:t>（同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公告）</w:t>
            </w:r>
          </w:p>
        </w:tc>
      </w:tr>
      <w:tr>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w:t>
            </w:r>
          </w:p>
          <w:p>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重庆国际投资咨询集团有限公司开标厅，具体开标厅详见</w:t>
            </w:r>
            <w:r>
              <w:rPr>
                <w:rFonts w:hint="eastAsia" w:ascii="宋体" w:hAnsi="宋体" w:eastAsia="宋体" w:cs="宋体"/>
                <w:bCs/>
                <w:color w:val="auto"/>
                <w:sz w:val="21"/>
                <w:szCs w:val="21"/>
                <w:highlight w:val="none"/>
                <w:lang w:val="en-US" w:eastAsia="zh-CN"/>
              </w:rPr>
              <w:t>负</w:t>
            </w:r>
            <w:r>
              <w:rPr>
                <w:rFonts w:hint="eastAsia" w:ascii="宋体" w:hAnsi="宋体" w:eastAsia="宋体" w:cs="宋体"/>
                <w:bCs/>
                <w:color w:val="auto"/>
                <w:sz w:val="21"/>
                <w:szCs w:val="21"/>
                <w:highlight w:val="none"/>
              </w:rPr>
              <w:t>一楼大厅当天指示牌。</w:t>
            </w:r>
          </w:p>
        </w:tc>
      </w:tr>
      <w:tr>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w:t>
            </w:r>
          </w:p>
          <w:p>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w:t>
            </w:r>
          </w:p>
          <w:p>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和地点</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开标时间：同</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w:t>
            </w:r>
          </w:p>
          <w:p>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开标地点：同递交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文件地点</w:t>
            </w:r>
          </w:p>
        </w:tc>
      </w:tr>
      <w:tr>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p>
          <w:p>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开标程序</w:t>
            </w:r>
          </w:p>
          <w:p>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主持人按下列程序进行开标：</w:t>
            </w:r>
          </w:p>
          <w:p>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（1）宣布开标纪律；</w:t>
            </w:r>
          </w:p>
          <w:p>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（2）公布在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截止时间前递交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人名称；</w:t>
            </w:r>
          </w:p>
          <w:p>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（3）宣布开标人、唱标人、记录人、监标人等有关人员姓名；</w:t>
            </w:r>
          </w:p>
          <w:p>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（4）检查</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文件的密封情况，按照</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人须知前附表规定的开标顺序当众开标，公布</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人名称、</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保证金的递交情</w:t>
            </w:r>
            <w:r>
              <w:rPr>
                <w:rFonts w:hint="eastAsia" w:ascii="宋体" w:hAnsi="宋体" w:cs="宋体"/>
                <w:color w:val="auto"/>
                <w:sz w:val="21"/>
                <w:szCs w:val="21"/>
                <w:highlight w:val="none"/>
                <w:lang w:eastAsia="zh-CN"/>
              </w:rPr>
              <w:t>况和</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报价及其他内容，并记录在案；</w:t>
            </w:r>
          </w:p>
          <w:p>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人代表、</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人代表、监标人、记录人等有关人员在开标记录上签字确认。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人代表未在开标记录上签字不影响开标记录效力；</w:t>
            </w:r>
          </w:p>
          <w:p>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（6）开标结束。</w:t>
            </w:r>
          </w:p>
        </w:tc>
      </w:tr>
      <w:tr>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委员会的组建</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委员会由</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人按法律法规及相关规定依法组建</w:t>
            </w:r>
          </w:p>
        </w:tc>
      </w:tr>
      <w:tr>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委员会推荐中标候选人数</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推荐中标候选人1-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名</w:t>
            </w:r>
          </w:p>
        </w:tc>
      </w:tr>
      <w:tr>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中标候选人公示媒介及期限</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公示媒介：中标候选人公示将在</w:t>
            </w:r>
            <w:r>
              <w:rPr>
                <w:rFonts w:hint="eastAsia" w:ascii="宋体" w:hAnsi="宋体" w:eastAsia="宋体" w:cs="宋体"/>
                <w:bCs/>
                <w:color w:val="auto"/>
                <w:sz w:val="21"/>
                <w:szCs w:val="21"/>
                <w:highlight w:val="none"/>
                <w:lang w:bidi="he-IL"/>
              </w:rPr>
              <w:t>中国招标投标公共服务平台、《</w:t>
            </w:r>
            <w:r>
              <w:rPr>
                <w:rFonts w:hint="eastAsia" w:ascii="宋体" w:hAnsi="宋体" w:eastAsia="宋体" w:cs="宋体"/>
                <w:color w:val="auto"/>
                <w:sz w:val="21"/>
                <w:szCs w:val="21"/>
                <w:highlight w:val="none"/>
                <w:lang w:eastAsia="zh-CN" w:bidi="he-IL"/>
              </w:rPr>
              <w:t>重庆国际投资咨询集团有限公司</w:t>
            </w:r>
            <w:r>
              <w:rPr>
                <w:rFonts w:hint="eastAsia" w:ascii="宋体" w:hAnsi="宋体" w:eastAsia="宋体" w:cs="宋体"/>
                <w:bCs/>
                <w:color w:val="auto"/>
                <w:sz w:val="21"/>
                <w:szCs w:val="21"/>
                <w:highlight w:val="none"/>
                <w:lang w:bidi="he-IL"/>
              </w:rPr>
              <w:t>》</w:t>
            </w:r>
            <w:r>
              <w:rPr>
                <w:rFonts w:hint="eastAsia" w:ascii="宋体" w:hAnsi="宋体" w:eastAsia="宋体" w:cs="宋体"/>
                <w:bCs/>
                <w:color w:val="auto"/>
                <w:sz w:val="21"/>
                <w:szCs w:val="21"/>
                <w:highlight w:val="none"/>
                <w:lang w:eastAsia="zh-CN" w:bidi="he-IL"/>
              </w:rPr>
              <w:t>《</w:t>
            </w:r>
            <w:r>
              <w:rPr>
                <w:rFonts w:hint="eastAsia" w:ascii="宋体" w:hAnsi="宋体" w:eastAsia="宋体" w:cs="宋体"/>
                <w:color w:val="auto"/>
                <w:sz w:val="21"/>
                <w:szCs w:val="21"/>
                <w:highlight w:val="none"/>
                <w:lang w:val="en-US" w:eastAsia="zh-CN"/>
              </w:rPr>
              <w:t>重庆交通资源开发有限公司</w:t>
            </w:r>
            <w:r>
              <w:rPr>
                <w:rFonts w:hint="eastAsia" w:ascii="宋体" w:hAnsi="宋体" w:eastAsia="宋体" w:cs="宋体"/>
                <w:bCs/>
                <w:color w:val="auto"/>
                <w:sz w:val="21"/>
                <w:szCs w:val="21"/>
                <w:highlight w:val="none"/>
                <w:lang w:eastAsia="zh-CN" w:bidi="he-IL"/>
              </w:rPr>
              <w:t>》</w:t>
            </w:r>
            <w:r>
              <w:rPr>
                <w:rFonts w:hint="eastAsia" w:ascii="宋体" w:hAnsi="宋体" w:eastAsia="宋体" w:cs="宋体"/>
                <w:bCs/>
                <w:color w:val="auto"/>
                <w:sz w:val="21"/>
                <w:szCs w:val="21"/>
                <w:highlight w:val="none"/>
                <w:lang w:bidi="he-IL"/>
              </w:rPr>
              <w:t>网</w:t>
            </w:r>
            <w:r>
              <w:rPr>
                <w:rFonts w:hint="eastAsia" w:ascii="宋体" w:hAnsi="宋体" w:eastAsia="宋体" w:cs="宋体"/>
                <w:color w:val="auto"/>
                <w:sz w:val="21"/>
                <w:szCs w:val="21"/>
                <w:highlight w:val="none"/>
              </w:rPr>
              <w:t>上指定位置公布。</w:t>
            </w:r>
          </w:p>
          <w:p>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公示期限：</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日。</w:t>
            </w:r>
          </w:p>
        </w:tc>
      </w:tr>
      <w:tr>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委员会确定中标人</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委员会按照</w:t>
            </w:r>
            <w:r>
              <w:rPr>
                <w:rFonts w:hint="eastAsia" w:ascii="宋体" w:hAnsi="宋体" w:cs="宋体"/>
                <w:color w:val="auto"/>
                <w:sz w:val="21"/>
                <w:szCs w:val="21"/>
                <w:highlight w:val="none"/>
                <w:lang w:val="en-US" w:eastAsia="zh-CN"/>
              </w:rPr>
              <w:t>含税总价由低到高</w:t>
            </w:r>
            <w:r>
              <w:rPr>
                <w:rFonts w:hint="eastAsia" w:ascii="宋体" w:hAnsi="宋体" w:eastAsia="宋体" w:cs="宋体"/>
                <w:color w:val="auto"/>
                <w:sz w:val="21"/>
                <w:szCs w:val="21"/>
                <w:highlight w:val="none"/>
              </w:rPr>
              <w:t>的顺序依次推荐前1-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名为中标候选人。</w:t>
            </w:r>
          </w:p>
        </w:tc>
      </w:tr>
      <w:tr>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7.6.1</w:t>
            </w:r>
          </w:p>
          <w:p>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1.履约担保的形式：</w:t>
            </w:r>
            <w:r>
              <w:rPr>
                <w:rFonts w:hint="eastAsia" w:ascii="宋体" w:hAnsi="宋体" w:cs="宋体"/>
                <w:color w:val="auto"/>
                <w:sz w:val="21"/>
                <w:szCs w:val="21"/>
                <w:highlight w:val="none"/>
                <w:lang w:val="en-US" w:eastAsia="zh-CN"/>
              </w:rPr>
              <w:t>转账</w:t>
            </w:r>
            <w:r>
              <w:rPr>
                <w:rFonts w:hint="eastAsia" w:ascii="宋体" w:hAnsi="宋体" w:eastAsia="宋体" w:cs="宋体"/>
                <w:color w:val="auto"/>
                <w:sz w:val="21"/>
                <w:szCs w:val="21"/>
                <w:highlight w:val="none"/>
              </w:rPr>
              <w:t>；</w:t>
            </w:r>
          </w:p>
          <w:p>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21"/>
                <w:szCs w:val="21"/>
                <w:highlight w:val="none"/>
              </w:rPr>
              <w:t>2.履约担保的金额：中选含税总价的10%，并精确至千位整数</w:t>
            </w:r>
            <w:r>
              <w:rPr>
                <w:rFonts w:hint="eastAsia" w:ascii="宋体" w:hAnsi="宋体" w:cs="宋体"/>
                <w:color w:val="auto"/>
                <w:sz w:val="21"/>
                <w:szCs w:val="21"/>
                <w:highlight w:val="none"/>
                <w:lang w:eastAsia="zh-CN"/>
              </w:rPr>
              <w:t>，中选候选人公示结束5日内支付完成；</w:t>
            </w:r>
          </w:p>
          <w:p>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18"/>
                <w:szCs w:val="18"/>
                <w:highlight w:val="none"/>
              </w:rPr>
              <w:t>3.</w:t>
            </w:r>
            <w:r>
              <w:rPr>
                <w:rFonts w:hint="eastAsia" w:ascii="宋体" w:hAnsi="宋体" w:eastAsia="宋体" w:cs="宋体"/>
                <w:color w:val="auto"/>
                <w:sz w:val="21"/>
                <w:szCs w:val="21"/>
                <w:highlight w:val="none"/>
              </w:rPr>
              <w:t>保证金缴纳账户</w:t>
            </w:r>
          </w:p>
          <w:p>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开户银行：民生银行南坪支行</w:t>
            </w:r>
          </w:p>
          <w:p>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户    名：重庆通邑卫士智慧生活服务有限公司</w:t>
            </w:r>
          </w:p>
          <w:p>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银行账号：648680030</w:t>
            </w:r>
          </w:p>
          <w:p>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履约担保的期限：合同签订之日起至</w:t>
            </w:r>
            <w:r>
              <w:rPr>
                <w:rFonts w:hint="eastAsia" w:ascii="宋体" w:hAnsi="宋体" w:eastAsia="宋体" w:cs="宋体"/>
                <w:color w:val="auto"/>
                <w:sz w:val="21"/>
                <w:szCs w:val="21"/>
                <w:highlight w:val="none"/>
                <w:lang w:val="en-US" w:eastAsia="zh-CN"/>
              </w:rPr>
              <w:t>合同结束时间止</w:t>
            </w:r>
            <w:r>
              <w:rPr>
                <w:rFonts w:hint="eastAsia" w:ascii="宋体" w:hAnsi="宋体" w:eastAsia="宋体" w:cs="宋体"/>
                <w:color w:val="auto"/>
                <w:sz w:val="21"/>
                <w:szCs w:val="21"/>
                <w:highlight w:val="none"/>
              </w:rPr>
              <w:t>。</w:t>
            </w:r>
          </w:p>
          <w:p>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中选单位比选保证金若转为履约保证金时，签订合同前需补齐差额部分。合同履约期满，且经比选邀请人确认中选单位无违约情况后，比选邀请人收到中选单位的履约保证金缴纳收据原件后15个工作日内无息退还。</w:t>
            </w:r>
          </w:p>
        </w:tc>
      </w:tr>
      <w:tr>
        <w:tblPrEx>
          <w:tblCellMar>
            <w:top w:w="0" w:type="dxa"/>
            <w:left w:w="0" w:type="dxa"/>
            <w:bottom w:w="0" w:type="dxa"/>
            <w:right w:w="0" w:type="dxa"/>
          </w:tblCellMar>
        </w:tblPrEx>
        <w:trPr>
          <w:trHeight w:val="108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是否采用电子</w:t>
            </w:r>
            <w:r>
              <w:rPr>
                <w:rFonts w:hint="eastAsia" w:ascii="宋体" w:hAnsi="宋体" w:eastAsia="宋体" w:cs="宋体"/>
                <w:color w:val="auto"/>
                <w:sz w:val="21"/>
                <w:szCs w:val="21"/>
                <w:highlight w:val="none"/>
                <w:lang w:eastAsia="zh-CN"/>
              </w:rPr>
              <w:t>比选参选</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tblPrEx>
          <w:tblCellMar>
            <w:top w:w="0" w:type="dxa"/>
            <w:left w:w="0" w:type="dxa"/>
            <w:bottom w:w="0" w:type="dxa"/>
            <w:right w:w="0" w:type="dxa"/>
          </w:tblCellMar>
        </w:tblPrEx>
        <w:trPr>
          <w:trHeight w:val="910"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代理服务费</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招标（或比选）代理服务计费方式(费率)</w:t>
            </w:r>
          </w:p>
          <w:tbl>
            <w:tblPr>
              <w:tblStyle w:val="23"/>
              <w:tblW w:w="4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960"/>
              <w:gridCol w:w="1075"/>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1575" w:type="dxa"/>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-45085</wp:posOffset>
                            </wp:positionH>
                            <wp:positionV relativeFrom="paragraph">
                              <wp:posOffset>12065</wp:posOffset>
                            </wp:positionV>
                            <wp:extent cx="933450" cy="695325"/>
                            <wp:effectExtent l="2540" t="3810" r="16510" b="5715"/>
                            <wp:wrapNone/>
                            <wp:docPr id="12" name="直接连接符 12"/>
                            <wp:cNvGraphicFramePr/>
                            <a:graphic xmlns:a="http://schemas.openxmlformats.org/drawingml/2006/main">
                              <a:graphicData uri="http://schemas.microsoft.com/office/word/2010/wordprocessingShape">
                                <wps:wsp>
                                  <wps:cNvCnPr/>
                                  <wps:spPr>
                                    <a:xfrm>
                                      <a:off x="0" y="0"/>
                                      <a:ext cx="933450" cy="69532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55pt;margin-top:0.95pt;height:54.75pt;width:73.5pt;z-index:251662336;mso-width-relative:page;mso-height-relative:page;" filled="f" stroked="t" coordsize="21600,21600" o:gfxdata="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Gmui31gAAAAgBAAAPAAAAAAAAAAEAIAAAACIAAABkcnMvZG93bnJldi54&#10;bWxQSwECFAAUAAAACACHTuJA9rzoiPwBAAD4AwAADgAAAAAAAAABACAAAAAlAQAAZHJzL2Uyb0Rv&#10;Yy54bWxQSwUGAAAAAAYABgBZAQAAkwUAAAAA&#10;">
                            <v:fill on="f" focussize="0,0"/>
                            <v:stroke color="#000000" joinstyle="round"/>
                            <v:imagedata o:title=""/>
                            <o:lock v:ext="edit" aspectratio="f"/>
                          </v:line>
                        </w:pict>
                      </mc:Fallback>
                    </mc:AlternateConten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服务类型</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费率</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中标金额</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960"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货物招标</w:t>
                  </w:r>
                </w:p>
              </w:tc>
              <w:tc>
                <w:tcPr>
                  <w:tcW w:w="1075"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服务招标</w:t>
                  </w:r>
                </w:p>
              </w:tc>
              <w:tc>
                <w:tcPr>
                  <w:tcW w:w="1135"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575"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100以下</w:t>
                  </w:r>
                </w:p>
              </w:tc>
              <w:tc>
                <w:tcPr>
                  <w:tcW w:w="960"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075"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135"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575"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00</w:t>
                  </w:r>
                </w:p>
              </w:tc>
              <w:tc>
                <w:tcPr>
                  <w:tcW w:w="960"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075"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1135"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575" w:type="dxa"/>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200-500</w:t>
                  </w:r>
                </w:p>
              </w:tc>
              <w:tc>
                <w:tcPr>
                  <w:tcW w:w="960" w:type="dxa"/>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1.08%</w:t>
                  </w:r>
                </w:p>
              </w:tc>
              <w:tc>
                <w:tcPr>
                  <w:tcW w:w="1075" w:type="dxa"/>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0.78%</w:t>
                  </w:r>
                </w:p>
              </w:tc>
              <w:tc>
                <w:tcPr>
                  <w:tcW w:w="1135" w:type="dxa"/>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575"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500-1000</w:t>
                  </w:r>
                </w:p>
              </w:tc>
              <w:tc>
                <w:tcPr>
                  <w:tcW w:w="960"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76</w:t>
                  </w:r>
                  <w:r>
                    <w:rPr>
                      <w:rFonts w:hint="eastAsia" w:ascii="宋体" w:hAnsi="宋体" w:eastAsia="宋体" w:cs="宋体"/>
                      <w:color w:val="auto"/>
                      <w:sz w:val="21"/>
                      <w:szCs w:val="21"/>
                      <w:highlight w:val="none"/>
                    </w:rPr>
                    <w:t>%</w:t>
                  </w:r>
                </w:p>
              </w:tc>
              <w:tc>
                <w:tcPr>
                  <w:tcW w:w="1075"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0.4</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p>
              </w:tc>
              <w:tc>
                <w:tcPr>
                  <w:tcW w:w="1135"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575"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1000-5000</w:t>
                  </w:r>
                </w:p>
              </w:tc>
              <w:tc>
                <w:tcPr>
                  <w:tcW w:w="960"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5%</w:t>
                  </w:r>
                </w:p>
              </w:tc>
              <w:tc>
                <w:tcPr>
                  <w:tcW w:w="1075"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p>
              </w:tc>
              <w:tc>
                <w:tcPr>
                  <w:tcW w:w="1135"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575"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5000-10000</w:t>
                  </w:r>
                </w:p>
              </w:tc>
              <w:tc>
                <w:tcPr>
                  <w:tcW w:w="960" w:type="dxa"/>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0.2</w:t>
                  </w:r>
                  <w:r>
                    <w:rPr>
                      <w:rFonts w:hint="eastAsia" w:ascii="宋体" w:hAnsi="宋体" w:eastAsia="宋体" w:cs="宋体"/>
                      <w:color w:val="auto"/>
                      <w:sz w:val="21"/>
                      <w:szCs w:val="21"/>
                      <w:highlight w:val="none"/>
                      <w:lang w:val="en-US" w:eastAsia="zh-CN"/>
                    </w:rPr>
                    <w:t>3%</w:t>
                  </w:r>
                </w:p>
              </w:tc>
              <w:tc>
                <w:tcPr>
                  <w:tcW w:w="1075"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09</w:t>
                  </w:r>
                  <w:r>
                    <w:rPr>
                      <w:rFonts w:hint="eastAsia" w:ascii="宋体" w:hAnsi="宋体" w:eastAsia="宋体" w:cs="宋体"/>
                      <w:color w:val="auto"/>
                      <w:sz w:val="21"/>
                      <w:szCs w:val="21"/>
                      <w:highlight w:val="none"/>
                    </w:rPr>
                    <w:t>%</w:t>
                  </w:r>
                </w:p>
              </w:tc>
              <w:tc>
                <w:tcPr>
                  <w:tcW w:w="1135"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575" w:type="dxa"/>
                  <w:vAlign w:val="top"/>
                </w:tcPr>
                <w:p>
                  <w:pPr>
                    <w:widowControl w:val="0"/>
                    <w:spacing w:before="0" w:after="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10000-</w:t>
                  </w:r>
                  <w:r>
                    <w:rPr>
                      <w:rFonts w:hint="eastAsia" w:ascii="宋体" w:hAnsi="宋体" w:eastAsia="宋体" w:cs="宋体"/>
                      <w:color w:val="auto"/>
                      <w:kern w:val="2"/>
                      <w:sz w:val="21"/>
                      <w:szCs w:val="21"/>
                      <w:highlight w:val="none"/>
                      <w:lang w:val="en-US" w:eastAsia="zh-CN"/>
                    </w:rPr>
                    <w:t>10</w:t>
                  </w:r>
                  <w:r>
                    <w:rPr>
                      <w:rFonts w:hint="eastAsia" w:ascii="宋体" w:hAnsi="宋体" w:eastAsia="宋体" w:cs="宋体"/>
                      <w:color w:val="auto"/>
                      <w:kern w:val="0"/>
                      <w:sz w:val="21"/>
                      <w:szCs w:val="21"/>
                      <w:highlight w:val="none"/>
                    </w:rPr>
                    <w:t>0000</w:t>
                  </w:r>
                </w:p>
              </w:tc>
              <w:tc>
                <w:tcPr>
                  <w:tcW w:w="960" w:type="dxa"/>
                  <w:vAlign w:val="top"/>
                </w:tcPr>
                <w:p>
                  <w:pPr>
                    <w:widowControl w:val="0"/>
                    <w:spacing w:before="0" w:after="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w:t>
                  </w:r>
                  <w:r>
                    <w:rPr>
                      <w:rFonts w:hint="eastAsia" w:ascii="宋体" w:hAnsi="宋体" w:eastAsia="宋体" w:cs="宋体"/>
                      <w:color w:val="auto"/>
                      <w:kern w:val="2"/>
                      <w:sz w:val="21"/>
                      <w:szCs w:val="21"/>
                      <w:highlight w:val="none"/>
                      <w:lang w:val="en-US" w:eastAsia="zh-CN"/>
                    </w:rPr>
                    <w:t>04</w:t>
                  </w:r>
                  <w:r>
                    <w:rPr>
                      <w:rFonts w:hint="eastAsia" w:ascii="宋体" w:hAnsi="宋体" w:eastAsia="宋体" w:cs="宋体"/>
                      <w:color w:val="auto"/>
                      <w:kern w:val="0"/>
                      <w:sz w:val="21"/>
                      <w:szCs w:val="21"/>
                      <w:highlight w:val="none"/>
                    </w:rPr>
                    <w:t>5%</w:t>
                  </w:r>
                </w:p>
              </w:tc>
              <w:tc>
                <w:tcPr>
                  <w:tcW w:w="1075" w:type="dxa"/>
                  <w:vAlign w:val="top"/>
                </w:tcPr>
                <w:p>
                  <w:pPr>
                    <w:widowControl w:val="0"/>
                    <w:spacing w:before="0" w:after="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0.0</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0"/>
                      <w:sz w:val="21"/>
                      <w:szCs w:val="21"/>
                      <w:highlight w:val="none"/>
                    </w:rPr>
                    <w:t>5%</w:t>
                  </w:r>
                </w:p>
              </w:tc>
              <w:tc>
                <w:tcPr>
                  <w:tcW w:w="1135" w:type="dxa"/>
                  <w:vAlign w:val="top"/>
                </w:tcPr>
                <w:p>
                  <w:pPr>
                    <w:widowControl w:val="0"/>
                    <w:spacing w:before="0" w:after="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0.0</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0"/>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575" w:type="dxa"/>
                  <w:vAlign w:val="center"/>
                </w:tcPr>
                <w:p>
                  <w:pPr>
                    <w:widowControl/>
                    <w:spacing w:before="75" w:after="75"/>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1000000以上</w:t>
                  </w:r>
                </w:p>
              </w:tc>
              <w:tc>
                <w:tcPr>
                  <w:tcW w:w="960" w:type="dxa"/>
                  <w:vAlign w:val="center"/>
                </w:tcPr>
                <w:p>
                  <w:pPr>
                    <w:widowControl/>
                    <w:spacing w:before="75" w:after="75"/>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0.00</w:t>
                  </w: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w:t>
                  </w:r>
                </w:p>
              </w:tc>
              <w:tc>
                <w:tcPr>
                  <w:tcW w:w="1075" w:type="dxa"/>
                  <w:vAlign w:val="center"/>
                </w:tcPr>
                <w:p>
                  <w:pPr>
                    <w:widowControl/>
                    <w:spacing w:before="75" w:after="75"/>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0.00</w:t>
                  </w: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w:t>
                  </w:r>
                </w:p>
              </w:tc>
              <w:tc>
                <w:tcPr>
                  <w:tcW w:w="1135" w:type="dxa"/>
                  <w:vAlign w:val="center"/>
                </w:tcPr>
                <w:p>
                  <w:pPr>
                    <w:widowControl/>
                    <w:spacing w:before="75" w:after="75"/>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0.004%</w:t>
                  </w:r>
                </w:p>
              </w:tc>
            </w:tr>
          </w:tbl>
          <w:p>
            <w:pPr>
              <w:pStyle w:val="1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注：比选代理服务收费按差额定率累进法计算。</w:t>
            </w:r>
          </w:p>
          <w:p>
            <w:pPr>
              <w:keepNext w:val="0"/>
              <w:keepLines w:val="0"/>
              <w:pageBreakBefore w:val="0"/>
              <w:widowControl w:val="0"/>
              <w:kinsoku/>
              <w:wordWrap/>
              <w:overflowPunct/>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本次比选代理费由中选人领取成交通知书时一次性支付给代理人。中标金额不满50万元的，按3000元计取；中标金额在50万元以上且不满100万元的，按项目5000元计取；中标金额在100万元以上的，按项目个数参照招标（或比选）代理服务计费方式表格以实际中标金额为基数采用差额定率累进法计算后下浮20%作为代理服务费。</w:t>
            </w:r>
          </w:p>
        </w:tc>
      </w:tr>
      <w:tr>
        <w:tblPrEx>
          <w:tblCellMar>
            <w:top w:w="0" w:type="dxa"/>
            <w:left w:w="0" w:type="dxa"/>
            <w:bottom w:w="0" w:type="dxa"/>
            <w:right w:w="0" w:type="dxa"/>
          </w:tblCellMar>
        </w:tblPrEx>
        <w:trPr>
          <w:trHeight w:val="505"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重新</w:t>
            </w:r>
            <w:r>
              <w:rPr>
                <w:rFonts w:hint="eastAsia" w:ascii="宋体" w:hAnsi="宋体" w:eastAsia="宋体" w:cs="宋体"/>
                <w:color w:val="auto"/>
                <w:sz w:val="21"/>
                <w:szCs w:val="21"/>
                <w:highlight w:val="none"/>
                <w:lang w:eastAsia="zh-CN"/>
              </w:rPr>
              <w:t>比选</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截止时间止，</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 xml:space="preserve">人少于 </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个的；</w:t>
            </w:r>
          </w:p>
          <w:p>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（2）经</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委员会评审后否决所有</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的。</w:t>
            </w:r>
          </w:p>
          <w:p>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（3）经评审后，如合格的</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人少于</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个的，且明显缺乏竞争的，</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委员会可以否决全部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人将重新组织</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w:t>
            </w:r>
          </w:p>
        </w:tc>
      </w:tr>
      <w:tr>
        <w:tblPrEx>
          <w:tblCellMar>
            <w:top w:w="0" w:type="dxa"/>
            <w:left w:w="0" w:type="dxa"/>
            <w:bottom w:w="0" w:type="dxa"/>
            <w:right w:w="0" w:type="dxa"/>
          </w:tblCellMar>
        </w:tblPrEx>
        <w:trPr>
          <w:trHeight w:val="505"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3</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重新</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或不再</w:t>
            </w:r>
            <w:r>
              <w:rPr>
                <w:rFonts w:hint="eastAsia" w:ascii="宋体" w:hAnsi="宋体" w:eastAsia="宋体" w:cs="宋体"/>
                <w:color w:val="auto"/>
                <w:sz w:val="21"/>
                <w:szCs w:val="21"/>
                <w:highlight w:val="none"/>
                <w:lang w:eastAsia="zh-CN"/>
              </w:rPr>
              <w:t>比选</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重新</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后</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人仍少于</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个，按法定程序开标和</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，确定中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rPr>
              <w:t>人。经评审无合格</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人，经原审批或核准部门批准后可以不再进行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w:t>
            </w:r>
          </w:p>
        </w:tc>
      </w:tr>
      <w:tr>
        <w:tblPrEx>
          <w:tblCellMar>
            <w:top w:w="0" w:type="dxa"/>
            <w:left w:w="0" w:type="dxa"/>
            <w:bottom w:w="0" w:type="dxa"/>
            <w:right w:w="0" w:type="dxa"/>
          </w:tblCellMar>
        </w:tblPrEx>
        <w:trPr>
          <w:trHeight w:val="505"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440" w:lineRule="exac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10.4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kinsoku/>
              <w:wordWrap/>
              <w:overflowPunct/>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其他</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E w:val="0"/>
              <w:autoSpaceDN w:val="0"/>
              <w:adjustRightInd w:val="0"/>
              <w:snapToGrid w:val="0"/>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1.本项目实行资格后审。</w:t>
            </w:r>
          </w:p>
          <w:p>
            <w:pPr>
              <w:autoSpaceDE w:val="0"/>
              <w:autoSpaceDN w:val="0"/>
              <w:adjustRightInd w:val="0"/>
              <w:snapToGrid w:val="0"/>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2.参选人因履约不到位引起的配电问题所导致的各类行政处罚及由此产生的一切责任后果均由参选人自行承担，并负责与相关单位的协调工作，协助问题整改直至完成。</w:t>
            </w:r>
          </w:p>
          <w:p>
            <w:pPr>
              <w:autoSpaceDE w:val="0"/>
              <w:autoSpaceDN w:val="0"/>
              <w:adjustRightInd w:val="0"/>
              <w:snapToGrid w:val="0"/>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合同期内项目负责人更换次数不超过一次，维保人员更换不超过拟派驻人员的50%，每次更换前必须提供书面申请且需取得比选邀请人同意后方可更换，否则视为违约。拟派驻人员必须与合同签订后实际派驻人员保持一致。</w:t>
            </w:r>
          </w:p>
          <w:p>
            <w:pPr>
              <w:autoSpaceDE w:val="0"/>
              <w:autoSpaceDN w:val="0"/>
              <w:adjustRightInd w:val="0"/>
              <w:snapToGrid w:val="0"/>
              <w:spacing w:line="4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4.本项目不允许联合投标。</w:t>
            </w:r>
          </w:p>
          <w:p>
            <w:pPr>
              <w:keepNext w:val="0"/>
              <w:keepLines w:val="0"/>
              <w:pageBreakBefore w:val="0"/>
              <w:widowControl/>
              <w:kinsoku/>
              <w:wordWrap/>
              <w:overflowPunct/>
              <w:autoSpaceDE/>
              <w:autoSpaceDN/>
              <w:bidi w:val="0"/>
              <w:adjustRightInd/>
              <w:snapToGrid/>
              <w:spacing w:line="440" w:lineRule="exact"/>
              <w:ind w:firstLine="0" w:firstLineChars="0"/>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6.按照比选邀请人公司制度签订各项管理协议。</w:t>
            </w:r>
          </w:p>
        </w:tc>
      </w:tr>
    </w:tbl>
    <w:p>
      <w:pPr>
        <w:rPr>
          <w:rFonts w:hint="eastAsia" w:ascii="宋体" w:hAnsi="宋体" w:eastAsia="宋体" w:cs="宋体"/>
          <w:b/>
          <w:color w:val="auto"/>
          <w:sz w:val="24"/>
          <w:szCs w:val="18"/>
          <w:highlight w:val="none"/>
        </w:rPr>
      </w:pPr>
      <w:r>
        <w:rPr>
          <w:rFonts w:hint="eastAsia" w:ascii="宋体" w:hAnsi="宋体" w:eastAsia="宋体" w:cs="宋体"/>
          <w:b/>
          <w:color w:val="auto"/>
          <w:sz w:val="24"/>
          <w:highlight w:val="none"/>
        </w:rPr>
        <w:t>注：本附表与</w:t>
      </w:r>
      <w:r>
        <w:rPr>
          <w:rFonts w:hint="eastAsia" w:ascii="宋体" w:hAnsi="宋体" w:eastAsia="宋体" w:cs="宋体"/>
          <w:b/>
          <w:color w:val="auto"/>
          <w:sz w:val="24"/>
          <w:highlight w:val="none"/>
          <w:lang w:eastAsia="zh-CN"/>
        </w:rPr>
        <w:t>参选</w:t>
      </w:r>
      <w:r>
        <w:rPr>
          <w:rFonts w:hint="eastAsia" w:ascii="宋体" w:hAnsi="宋体" w:eastAsia="宋体" w:cs="宋体"/>
          <w:b/>
          <w:color w:val="auto"/>
          <w:sz w:val="24"/>
          <w:highlight w:val="none"/>
        </w:rPr>
        <w:t>人须知正文及其他章节内容不一致的均以本附表为准。</w:t>
      </w:r>
      <w:r>
        <w:rPr>
          <w:rFonts w:hint="eastAsia" w:ascii="宋体" w:hAnsi="宋体" w:eastAsia="宋体" w:cs="宋体"/>
          <w:b/>
          <w:color w:val="auto"/>
          <w:sz w:val="24"/>
          <w:szCs w:val="18"/>
          <w:highlight w:val="none"/>
        </w:rPr>
        <w:br w:type="page"/>
      </w:r>
    </w:p>
    <w:p>
      <w:pPr>
        <w:keepNext/>
        <w:keepLines/>
        <w:snapToGrid w:val="0"/>
        <w:spacing w:line="360" w:lineRule="auto"/>
        <w:outlineLvl w:val="0"/>
        <w:rPr>
          <w:rFonts w:hint="eastAsia" w:ascii="宋体" w:hAnsi="宋体" w:eastAsia="宋体" w:cs="宋体"/>
          <w:b/>
          <w:color w:val="auto"/>
          <w:sz w:val="24"/>
          <w:szCs w:val="18"/>
          <w:highlight w:val="none"/>
        </w:rPr>
      </w:pPr>
      <w:bookmarkStart w:id="15" w:name="_Toc32408"/>
      <w:bookmarkStart w:id="16" w:name="_Toc30363"/>
      <w:bookmarkStart w:id="17" w:name="_Toc12414"/>
      <w:bookmarkStart w:id="18" w:name="_Toc25209"/>
      <w:bookmarkStart w:id="19" w:name="_Toc10564"/>
      <w:r>
        <w:rPr>
          <w:rFonts w:hint="eastAsia" w:ascii="宋体" w:hAnsi="宋体" w:eastAsia="宋体" w:cs="宋体"/>
          <w:b/>
          <w:color w:val="auto"/>
          <w:sz w:val="24"/>
          <w:szCs w:val="18"/>
          <w:highlight w:val="none"/>
        </w:rPr>
        <w:t>1、总则</w:t>
      </w:r>
      <w:bookmarkEnd w:id="15"/>
      <w:bookmarkEnd w:id="16"/>
      <w:bookmarkEnd w:id="17"/>
      <w:bookmarkEnd w:id="18"/>
      <w:bookmarkEnd w:id="19"/>
    </w:p>
    <w:p>
      <w:pPr>
        <w:keepNext/>
        <w:keepLines/>
        <w:snapToGrid w:val="0"/>
        <w:spacing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1.1 </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项目概况</w:t>
      </w:r>
    </w:p>
    <w:p>
      <w:pPr>
        <w:keepNext/>
        <w:keepLines/>
        <w:snapToGrid w:val="0"/>
        <w:spacing w:line="400" w:lineRule="exact"/>
        <w:rPr>
          <w:rFonts w:hint="eastAsia" w:ascii="宋体" w:hAnsi="宋体" w:eastAsia="宋体" w:cs="宋体"/>
          <w:color w:val="auto"/>
          <w:sz w:val="24"/>
          <w:highlight w:val="none"/>
        </w:rPr>
      </w:pP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1.1.1 根据《中华人民共和国</w:t>
      </w:r>
      <w:r>
        <w:rPr>
          <w:rFonts w:hint="eastAsia" w:ascii="宋体" w:hAnsi="宋体" w:eastAsia="宋体" w:cs="宋体"/>
          <w:color w:val="auto"/>
          <w:sz w:val="21"/>
          <w:highlight w:val="none"/>
          <w:lang w:val="en-US" w:eastAsia="zh-CN"/>
        </w:rPr>
        <w:t>招投标</w:t>
      </w:r>
      <w:r>
        <w:rPr>
          <w:rFonts w:hint="eastAsia" w:ascii="宋体" w:hAnsi="宋体" w:eastAsia="宋体" w:cs="宋体"/>
          <w:color w:val="auto"/>
          <w:sz w:val="21"/>
          <w:highlight w:val="none"/>
        </w:rPr>
        <w:t>法</w:t>
      </w:r>
      <w:r>
        <w:rPr>
          <w:rFonts w:hint="eastAsia" w:ascii="宋体" w:hAnsi="宋体" w:cs="宋体"/>
          <w:color w:val="auto"/>
          <w:sz w:val="21"/>
          <w:highlight w:val="none"/>
          <w:lang w:eastAsia="zh-CN"/>
        </w:rPr>
        <w:t>》《</w:t>
      </w:r>
      <w:r>
        <w:rPr>
          <w:rFonts w:hint="eastAsia" w:ascii="宋体" w:hAnsi="宋体" w:eastAsia="宋体" w:cs="宋体"/>
          <w:color w:val="auto"/>
          <w:sz w:val="21"/>
          <w:highlight w:val="none"/>
        </w:rPr>
        <w:t>中华人民共和国</w:t>
      </w:r>
      <w:r>
        <w:rPr>
          <w:rFonts w:hint="eastAsia" w:ascii="宋体" w:hAnsi="宋体" w:eastAsia="宋体" w:cs="宋体"/>
          <w:color w:val="auto"/>
          <w:sz w:val="21"/>
          <w:highlight w:val="none"/>
          <w:lang w:val="en-US" w:eastAsia="zh-CN"/>
        </w:rPr>
        <w:t>招投标</w:t>
      </w:r>
      <w:r>
        <w:rPr>
          <w:rFonts w:hint="eastAsia" w:ascii="宋体" w:hAnsi="宋体" w:eastAsia="宋体" w:cs="宋体"/>
          <w:color w:val="auto"/>
          <w:sz w:val="21"/>
          <w:highlight w:val="none"/>
        </w:rPr>
        <w:t>法实施条例》等有关</w:t>
      </w:r>
    </w:p>
    <w:p>
      <w:pPr>
        <w:adjustRightInd w:val="0"/>
        <w:snapToGrid w:val="0"/>
        <w:spacing w:line="360" w:lineRule="auto"/>
        <w:rPr>
          <w:rFonts w:hint="eastAsia" w:ascii="宋体" w:hAnsi="宋体" w:eastAsia="宋体" w:cs="宋体"/>
          <w:color w:val="auto"/>
          <w:sz w:val="21"/>
          <w:highlight w:val="none"/>
        </w:rPr>
      </w:pPr>
      <w:r>
        <w:rPr>
          <w:rFonts w:hint="eastAsia" w:ascii="宋体" w:hAnsi="宋体" w:cs="宋体"/>
          <w:color w:val="auto"/>
          <w:sz w:val="21"/>
          <w:highlight w:val="none"/>
          <w:lang w:eastAsia="zh-CN"/>
        </w:rPr>
        <w:t>法律法规</w:t>
      </w:r>
      <w:r>
        <w:rPr>
          <w:rFonts w:hint="eastAsia" w:ascii="宋体" w:hAnsi="宋体" w:eastAsia="宋体" w:cs="宋体"/>
          <w:color w:val="auto"/>
          <w:sz w:val="21"/>
          <w:highlight w:val="none"/>
        </w:rPr>
        <w:t>和规章的规定，本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项目已具备</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条件，</w:t>
      </w:r>
      <w:r>
        <w:rPr>
          <w:rFonts w:hint="eastAsia" w:ascii="宋体" w:hAnsi="宋体" w:cs="宋体"/>
          <w:color w:val="auto"/>
          <w:sz w:val="21"/>
          <w:highlight w:val="none"/>
          <w:lang w:val="en-US" w:eastAsia="zh-CN"/>
        </w:rPr>
        <w:t>现</w:t>
      </w:r>
      <w:r>
        <w:rPr>
          <w:rFonts w:hint="eastAsia" w:ascii="宋体" w:hAnsi="宋体" w:eastAsia="宋体" w:cs="宋体"/>
          <w:color w:val="auto"/>
          <w:sz w:val="21"/>
          <w:highlight w:val="none"/>
        </w:rPr>
        <w:t>进行</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1.1.2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1.1.3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代理机构：见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1.1.4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项目名称：见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1.1.5 工程项目名称：即</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项目所属的工程建设项目，见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pPr>
        <w:keepNext/>
        <w:keepLines/>
        <w:snapToGrid w:val="0"/>
        <w:spacing w:line="400" w:lineRule="exact"/>
        <w:rPr>
          <w:rFonts w:hint="eastAsia" w:ascii="宋体" w:hAnsi="宋体" w:eastAsia="宋体" w:cs="宋体"/>
          <w:color w:val="auto"/>
          <w:sz w:val="24"/>
          <w:highlight w:val="none"/>
        </w:rPr>
      </w:pPr>
    </w:p>
    <w:p>
      <w:pPr>
        <w:keepNext/>
        <w:keepLines/>
        <w:snapToGrid w:val="0"/>
        <w:spacing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1.2 </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项目的资金来源和落实情况</w:t>
      </w:r>
    </w:p>
    <w:p>
      <w:pPr>
        <w:keepNext/>
        <w:keepLines/>
        <w:snapToGrid w:val="0"/>
        <w:spacing w:line="400" w:lineRule="exact"/>
        <w:rPr>
          <w:rFonts w:hint="eastAsia" w:ascii="宋体" w:hAnsi="宋体" w:eastAsia="宋体" w:cs="宋体"/>
          <w:color w:val="auto"/>
          <w:sz w:val="24"/>
          <w:highlight w:val="none"/>
        </w:rPr>
      </w:pPr>
    </w:p>
    <w:p>
      <w:pPr>
        <w:adjustRightInd w:val="0"/>
        <w:snapToGrid w:val="0"/>
        <w:spacing w:line="520" w:lineRule="exact"/>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1.2.1 资金来源及比例：见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pPr>
        <w:adjustRightInd w:val="0"/>
        <w:snapToGrid w:val="0"/>
        <w:spacing w:line="520" w:lineRule="exact"/>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1.2.2 资金落实情况：见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pPr>
        <w:keepNext/>
        <w:keepLines/>
        <w:snapToGrid w:val="0"/>
        <w:spacing w:line="400" w:lineRule="exact"/>
        <w:rPr>
          <w:rFonts w:hint="eastAsia" w:ascii="宋体" w:hAnsi="宋体" w:eastAsia="宋体" w:cs="宋体"/>
          <w:color w:val="auto"/>
          <w:sz w:val="24"/>
          <w:highlight w:val="none"/>
        </w:rPr>
      </w:pPr>
    </w:p>
    <w:p>
      <w:pPr>
        <w:keepNext/>
        <w:keepLines/>
        <w:snapToGrid w:val="0"/>
        <w:spacing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1.3 </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范围、</w:t>
      </w:r>
      <w:r>
        <w:rPr>
          <w:rFonts w:hint="eastAsia" w:ascii="宋体" w:hAnsi="宋体" w:eastAsia="宋体" w:cs="宋体"/>
          <w:b/>
          <w:bCs/>
          <w:color w:val="auto"/>
          <w:sz w:val="24"/>
          <w:szCs w:val="22"/>
          <w:highlight w:val="none"/>
          <w:lang w:eastAsia="zh-CN"/>
        </w:rPr>
        <w:t>服务期</w:t>
      </w:r>
      <w:r>
        <w:rPr>
          <w:rFonts w:hint="eastAsia" w:ascii="宋体" w:hAnsi="宋体" w:eastAsia="宋体" w:cs="宋体"/>
          <w:b/>
          <w:bCs/>
          <w:color w:val="auto"/>
          <w:sz w:val="24"/>
          <w:szCs w:val="22"/>
          <w:highlight w:val="none"/>
        </w:rPr>
        <w:t>、</w:t>
      </w:r>
      <w:r>
        <w:rPr>
          <w:rFonts w:hint="eastAsia" w:ascii="宋体" w:hAnsi="宋体" w:eastAsia="宋体" w:cs="宋体"/>
          <w:b/>
          <w:bCs/>
          <w:color w:val="auto"/>
          <w:sz w:val="24"/>
          <w:szCs w:val="22"/>
          <w:highlight w:val="none"/>
          <w:lang w:eastAsia="zh-CN"/>
        </w:rPr>
        <w:t>服务地点</w:t>
      </w:r>
      <w:r>
        <w:rPr>
          <w:rFonts w:hint="eastAsia" w:ascii="宋体" w:hAnsi="宋体" w:eastAsia="宋体" w:cs="宋体"/>
          <w:b/>
          <w:bCs/>
          <w:color w:val="auto"/>
          <w:sz w:val="24"/>
          <w:szCs w:val="22"/>
          <w:highlight w:val="none"/>
        </w:rPr>
        <w:t>和技术性能指标</w:t>
      </w:r>
    </w:p>
    <w:p>
      <w:pPr>
        <w:keepNext/>
        <w:keepLines/>
        <w:snapToGrid w:val="0"/>
        <w:spacing w:line="400" w:lineRule="exact"/>
        <w:rPr>
          <w:rFonts w:hint="eastAsia" w:ascii="宋体" w:hAnsi="宋体" w:eastAsia="宋体" w:cs="宋体"/>
          <w:color w:val="auto"/>
          <w:sz w:val="24"/>
          <w:highlight w:val="none"/>
        </w:rPr>
      </w:pPr>
    </w:p>
    <w:p>
      <w:pPr>
        <w:adjustRightInd w:val="0"/>
        <w:snapToGrid w:val="0"/>
        <w:spacing w:line="520" w:lineRule="exact"/>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1.3.1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范围：见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pPr>
        <w:adjustRightInd w:val="0"/>
        <w:snapToGrid w:val="0"/>
        <w:spacing w:line="520" w:lineRule="exact"/>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1.3.2 </w:t>
      </w:r>
      <w:r>
        <w:rPr>
          <w:rFonts w:hint="eastAsia" w:ascii="宋体" w:hAnsi="宋体" w:eastAsia="宋体" w:cs="宋体"/>
          <w:color w:val="auto"/>
          <w:sz w:val="21"/>
          <w:highlight w:val="none"/>
          <w:lang w:eastAsia="zh-CN"/>
        </w:rPr>
        <w:t>服务期</w:t>
      </w:r>
      <w:r>
        <w:rPr>
          <w:rFonts w:hint="eastAsia" w:ascii="宋体" w:hAnsi="宋体" w:eastAsia="宋体" w:cs="宋体"/>
          <w:color w:val="auto"/>
          <w:sz w:val="21"/>
          <w:highlight w:val="none"/>
        </w:rPr>
        <w:t>：见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pPr>
        <w:adjustRightInd w:val="0"/>
        <w:snapToGrid w:val="0"/>
        <w:spacing w:line="520" w:lineRule="exact"/>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1.3.3 </w:t>
      </w:r>
      <w:r>
        <w:rPr>
          <w:rFonts w:hint="eastAsia" w:ascii="宋体" w:hAnsi="宋体" w:eastAsia="宋体" w:cs="宋体"/>
          <w:color w:val="auto"/>
          <w:sz w:val="21"/>
          <w:highlight w:val="none"/>
          <w:lang w:eastAsia="zh-CN"/>
        </w:rPr>
        <w:t>服务地点</w:t>
      </w:r>
      <w:r>
        <w:rPr>
          <w:rFonts w:hint="eastAsia" w:ascii="宋体" w:hAnsi="宋体" w:eastAsia="宋体" w:cs="宋体"/>
          <w:color w:val="auto"/>
          <w:sz w:val="21"/>
          <w:highlight w:val="none"/>
        </w:rPr>
        <w:t>：见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pPr>
        <w:adjustRightInd w:val="0"/>
        <w:snapToGrid w:val="0"/>
        <w:spacing w:line="520" w:lineRule="exact"/>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1.3.4 质量标准：见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pPr>
        <w:adjustRightInd w:val="0"/>
        <w:snapToGrid w:val="0"/>
        <w:spacing w:line="520" w:lineRule="exact"/>
        <w:ind w:firstLine="420" w:firstLineChars="200"/>
        <w:rPr>
          <w:rFonts w:hint="eastAsia" w:ascii="宋体" w:hAnsi="宋体" w:eastAsia="宋体" w:cs="宋体"/>
          <w:color w:val="auto"/>
          <w:sz w:val="21"/>
          <w:highlight w:val="none"/>
        </w:rPr>
      </w:pPr>
    </w:p>
    <w:p>
      <w:pPr>
        <w:keepNext/>
        <w:keepLines/>
        <w:snapToGrid w:val="0"/>
        <w:spacing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1.4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人资格要求</w:t>
      </w:r>
    </w:p>
    <w:p>
      <w:pPr>
        <w:keepNext/>
        <w:keepLines/>
        <w:snapToGrid w:val="0"/>
        <w:spacing w:line="400" w:lineRule="exact"/>
        <w:rPr>
          <w:rFonts w:hint="eastAsia" w:ascii="宋体" w:hAnsi="宋体" w:eastAsia="宋体" w:cs="宋体"/>
          <w:color w:val="auto"/>
          <w:sz w:val="24"/>
          <w:highlight w:val="none"/>
        </w:rPr>
      </w:pP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1.4.1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人应具备承担本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项目资质条件、能力和信誉：</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（1）资质要求：见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（2）信誉要求：见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r>
        <w:rPr>
          <w:rFonts w:hint="eastAsia" w:ascii="宋体" w:hAnsi="宋体" w:cs="宋体"/>
          <w:color w:val="auto"/>
          <w:sz w:val="21"/>
          <w:highlight w:val="none"/>
          <w:lang w:val="en-US" w:eastAsia="zh-CN"/>
        </w:rPr>
        <w:t>3</w:t>
      </w:r>
      <w:r>
        <w:rPr>
          <w:rFonts w:hint="eastAsia" w:ascii="宋体" w:hAnsi="宋体" w:eastAsia="宋体" w:cs="宋体"/>
          <w:color w:val="auto"/>
          <w:sz w:val="21"/>
          <w:highlight w:val="none"/>
        </w:rPr>
        <w:t>）其他要求：见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人为代理经销商的，对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人的资质要求包含对制造商的资质要求。</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需要提交的相关证明材料见本章第 3.5 款的规定。</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1.4.2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人须知前附表规定接受联合体</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的，联合体除应符合本章第 1.4.1 项和</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人须知前附表的要求外，还应遵守以下规定：</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（1）联合体各方应按</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文件提供的格式签订联合体协议书，明确联合体牵头人和各方权利义务，并承诺就中标项目向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人承担连带责任；</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（2）由同一专业的单位组成的联合体，按照资质等级较低的单位确定资质等级；</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（3）联合体各方不得再以自己名义单独或参加其他联合体在本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项目中</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，否则各相关</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均无效。</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1.4.3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人不得存在下列情形之一：</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（1）与</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人存在利害关系且可能影响</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公正性；</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（2）与本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项目的其他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人为同一个单位负责人；</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（3）与本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项目的其他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人存在控股、管理关系；</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（4）与本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项目其他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人代理同一个制造商同一品牌同一型号的材料</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（5）为本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项目提供过设计、编制技术规范和其他文件的咨询服务；</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（6）为本工程项目的相关监理人，或者与本工程项目的相关监理人存在隶属关系或者其他利害关系；</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（7）为本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项目的代建人；</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（8）为本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代理机构；</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（9）与本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项目的监理人或代建人或</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代理机构同为一个法定代表人；</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（10）与本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项目的监理人或代建人或</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代理机构存在控股或参股关系；</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（11）被依法暂停或者取消</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资格；</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（12）被责令停产停业、暂扣或者吊销许可证、暂扣或者吊销执照；</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（13）进入清算程序，或被宣告破产，或其他丧失履约能力的情形；</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（14）被工商行政管理机关</w:t>
      </w:r>
      <w:r>
        <w:rPr>
          <w:rFonts w:hint="eastAsia" w:ascii="宋体" w:hAnsi="宋体" w:cs="宋体"/>
          <w:color w:val="auto"/>
          <w:sz w:val="21"/>
          <w:highlight w:val="none"/>
          <w:lang w:eastAsia="zh-CN"/>
        </w:rPr>
        <w:t>在国家企业信用信息公示系统</w:t>
      </w:r>
      <w:r>
        <w:rPr>
          <w:rFonts w:hint="eastAsia" w:ascii="宋体" w:hAnsi="宋体" w:eastAsia="宋体" w:cs="宋体"/>
          <w:color w:val="auto"/>
          <w:sz w:val="21"/>
          <w:highlight w:val="none"/>
        </w:rPr>
        <w:t>中列入严重违法失信企业名单；</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val="en-US" w:eastAsia="zh-CN"/>
        </w:rPr>
        <w:t>5</w:t>
      </w:r>
      <w:r>
        <w:rPr>
          <w:rFonts w:hint="eastAsia" w:ascii="宋体" w:hAnsi="宋体" w:eastAsia="宋体" w:cs="宋体"/>
          <w:color w:val="auto"/>
          <w:sz w:val="21"/>
          <w:highlight w:val="none"/>
        </w:rPr>
        <w:t>）被最高人民法院在“信用中国”网站（www.creditchina.gov.cn）或各级信用信息共享平台中列入失信被执行人名单；</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（17）法律法规或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人须知前附表规定的其他情形。</w:t>
      </w:r>
    </w:p>
    <w:p>
      <w:pPr>
        <w:keepNext/>
        <w:keepLines/>
        <w:snapToGrid w:val="0"/>
        <w:spacing w:after="156" w:afterLines="50" w:line="400" w:lineRule="exact"/>
        <w:rPr>
          <w:rFonts w:hint="eastAsia" w:ascii="宋体" w:hAnsi="宋体" w:eastAsia="宋体" w:cs="宋体"/>
          <w:b/>
          <w:bCs/>
          <w:color w:val="auto"/>
          <w:sz w:val="24"/>
          <w:szCs w:val="22"/>
          <w:highlight w:val="none"/>
        </w:rPr>
      </w:pPr>
      <w:bookmarkStart w:id="20" w:name="_Toc398133484"/>
      <w:bookmarkStart w:id="21" w:name="_Toc287607752"/>
      <w:bookmarkStart w:id="22" w:name="_Toc531030823"/>
      <w:bookmarkStart w:id="23" w:name="_Toc224103323"/>
      <w:bookmarkStart w:id="24" w:name="_Toc277082558"/>
      <w:r>
        <w:rPr>
          <w:rFonts w:hint="eastAsia" w:ascii="宋体" w:hAnsi="宋体" w:eastAsia="宋体" w:cs="宋体"/>
          <w:b/>
          <w:bCs/>
          <w:color w:val="auto"/>
          <w:sz w:val="24"/>
          <w:szCs w:val="22"/>
          <w:highlight w:val="none"/>
        </w:rPr>
        <w:t>1.5  费用承担</w:t>
      </w:r>
      <w:bookmarkEnd w:id="20"/>
      <w:bookmarkEnd w:id="21"/>
      <w:bookmarkEnd w:id="22"/>
      <w:bookmarkEnd w:id="23"/>
      <w:bookmarkEnd w:id="24"/>
    </w:p>
    <w:p>
      <w:pPr>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人准备和参加</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活动发生的费用自理。</w:t>
      </w:r>
    </w:p>
    <w:p>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1.6 保密</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参与</w:t>
      </w: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活动的各方应对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文件和</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 xml:space="preserve">文件中的商业和技术等秘密保密，否则应承担相应的法律责任。 </w:t>
      </w:r>
    </w:p>
    <w:p>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1.7 语言文字</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 xml:space="preserve">文件使用的语言文字为中文。专用术语使用外文的，应附有中文注释。 </w:t>
      </w:r>
    </w:p>
    <w:p>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1.8 计量单位</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所有计量均采用中华人民共和国法定计量单位。 </w:t>
      </w:r>
    </w:p>
    <w:p>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 1.9  踏勘现场</w:t>
      </w:r>
    </w:p>
    <w:p>
      <w:pPr>
        <w:adjustRightInd w:val="0"/>
        <w:snapToGrid w:val="0"/>
        <w:spacing w:line="360" w:lineRule="auto"/>
        <w:ind w:firstLine="420" w:firstLineChars="200"/>
        <w:rPr>
          <w:rFonts w:hint="eastAsia" w:ascii="宋体" w:hAnsi="宋体" w:eastAsia="宋体" w:cs="宋体"/>
          <w:color w:val="auto"/>
          <w:sz w:val="24"/>
          <w:szCs w:val="22"/>
          <w:highlight w:val="none"/>
        </w:rPr>
      </w:pPr>
      <w:r>
        <w:rPr>
          <w:rFonts w:hint="eastAsia" w:ascii="宋体" w:hAnsi="宋体" w:eastAsia="宋体" w:cs="宋体"/>
          <w:color w:val="auto"/>
          <w:sz w:val="21"/>
          <w:highlight w:val="none"/>
          <w:lang w:val="en-US" w:eastAsia="zh-CN"/>
        </w:rPr>
        <w:t>不组织踏勘现场</w:t>
      </w:r>
      <w:r>
        <w:rPr>
          <w:rFonts w:hint="eastAsia" w:ascii="宋体" w:hAnsi="宋体" w:eastAsia="宋体" w:cs="宋体"/>
          <w:color w:val="auto"/>
          <w:sz w:val="21"/>
          <w:highlight w:val="none"/>
        </w:rPr>
        <w:t xml:space="preserve">。 </w:t>
      </w:r>
    </w:p>
    <w:p>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1.10 分包</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1.10.1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人拟在中标后将中标项目的非主体材料进行分包的，应符合</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人须知前附表规定的分包内容、分包金额和资质要求等限制性条件，除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人须知前附表规定的非主体材料外，其他工作不得分包。</w:t>
      </w:r>
    </w:p>
    <w:p>
      <w:pPr>
        <w:adjustRightInd w:val="0"/>
        <w:snapToGrid w:val="0"/>
        <w:spacing w:line="360" w:lineRule="auto"/>
        <w:ind w:firstLine="420" w:firstLineChars="200"/>
        <w:rPr>
          <w:rFonts w:hint="eastAsia" w:ascii="宋体" w:hAnsi="宋体" w:eastAsia="宋体" w:cs="宋体"/>
          <w:color w:val="auto"/>
          <w:sz w:val="24"/>
          <w:szCs w:val="22"/>
          <w:highlight w:val="none"/>
        </w:rPr>
      </w:pPr>
      <w:r>
        <w:rPr>
          <w:rFonts w:hint="eastAsia" w:ascii="宋体" w:hAnsi="宋体" w:eastAsia="宋体" w:cs="宋体"/>
          <w:color w:val="auto"/>
          <w:sz w:val="21"/>
          <w:highlight w:val="none"/>
        </w:rPr>
        <w:t>1.10.2 中标人不得向他人转让中标项目，接受分包的人不得再次分包。中标人应当就分包项目向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人负责，接受分包的人就分包项目承担连带责任。</w:t>
      </w:r>
    </w:p>
    <w:p>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1.11响应和偏差</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1.11.1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文件应当对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文件的实质性要求和条件作出</w:t>
      </w:r>
      <w:r>
        <w:rPr>
          <w:rFonts w:hint="eastAsia" w:ascii="宋体" w:hAnsi="宋体" w:cs="宋体"/>
          <w:color w:val="auto"/>
          <w:sz w:val="21"/>
          <w:highlight w:val="none"/>
          <w:lang w:eastAsia="zh-CN"/>
        </w:rPr>
        <w:t>满足</w:t>
      </w:r>
      <w:r>
        <w:rPr>
          <w:rFonts w:hint="eastAsia" w:ascii="宋体" w:hAnsi="宋体" w:eastAsia="宋体" w:cs="宋体"/>
          <w:color w:val="auto"/>
          <w:sz w:val="21"/>
          <w:highlight w:val="none"/>
        </w:rPr>
        <w:t>或更有利于</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人的响应，否则，</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将被否决。实质性要求和条件见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1.11.2投料及</w:t>
      </w:r>
      <w:r>
        <w:rPr>
          <w:rFonts w:hint="eastAsia" w:ascii="宋体" w:hAnsi="宋体" w:cs="宋体"/>
          <w:color w:val="auto"/>
          <w:sz w:val="21"/>
          <w:highlight w:val="none"/>
          <w:lang w:eastAsia="zh-CN"/>
        </w:rPr>
        <w:t>参选人</w:t>
      </w:r>
      <w:r>
        <w:rPr>
          <w:rFonts w:hint="eastAsia" w:ascii="宋体" w:hAnsi="宋体" w:eastAsia="宋体" w:cs="宋体"/>
          <w:color w:val="auto"/>
          <w:sz w:val="21"/>
          <w:highlight w:val="none"/>
        </w:rPr>
        <w:t>应根据</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文件的要求提供</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材料质量标准的详细描述、技术支持资料和相关服务计划等内容以对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文件作出响应。</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1.11.3</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文件中应针对实质性要求和条件中列明的技术要求提供技术支持资料。技术支持资料以制造商公开发布的印刷资料，或检测机构出具的检测报告或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人须知前附表允许的其他形式为准，不符合前述要求的，视为无技术支持资料，其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将被否决。</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1.11.4</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人须知前附表规定了可以偏差的范围和最高偏差项数的，偏差应当符合</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人须知前附表规定的偏差范围和最高项数，超出偏差范围和最高偏差项数的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将被否决。</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1.11.5</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文件的全部偏差，均应在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w:t>
      </w:r>
      <w:r>
        <w:rPr>
          <w:rFonts w:hint="eastAsia" w:ascii="宋体" w:hAnsi="宋体" w:cs="宋体"/>
          <w:color w:val="auto"/>
          <w:sz w:val="21"/>
          <w:highlight w:val="none"/>
          <w:lang w:val="en-US" w:eastAsia="zh-CN"/>
        </w:rPr>
        <w:t>资格</w:t>
      </w:r>
      <w:r>
        <w:rPr>
          <w:rFonts w:hint="eastAsia" w:ascii="宋体" w:hAnsi="宋体" w:eastAsia="宋体" w:cs="宋体"/>
          <w:color w:val="auto"/>
          <w:sz w:val="21"/>
          <w:highlight w:val="none"/>
        </w:rPr>
        <w:t>和技术偏差表中列明，除列明的内容外，视为</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人响应</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文件的全部要求。</w:t>
      </w:r>
    </w:p>
    <w:p>
      <w:pPr>
        <w:snapToGrid w:val="0"/>
        <w:spacing w:line="520" w:lineRule="exact"/>
        <w:ind w:firstLine="482"/>
        <w:rPr>
          <w:rFonts w:hint="eastAsia" w:ascii="宋体" w:hAnsi="宋体" w:eastAsia="宋体" w:cs="宋体"/>
          <w:color w:val="auto"/>
          <w:sz w:val="24"/>
          <w:highlight w:val="none"/>
        </w:rPr>
      </w:pPr>
    </w:p>
    <w:p>
      <w:pPr>
        <w:keepNext/>
        <w:keepLines/>
        <w:snapToGrid w:val="0"/>
        <w:spacing w:line="360" w:lineRule="auto"/>
        <w:outlineLvl w:val="0"/>
        <w:rPr>
          <w:rFonts w:hint="eastAsia" w:ascii="宋体" w:hAnsi="宋体" w:eastAsia="宋体" w:cs="宋体"/>
          <w:b/>
          <w:color w:val="auto"/>
          <w:sz w:val="28"/>
          <w:highlight w:val="none"/>
        </w:rPr>
      </w:pPr>
      <w:bookmarkStart w:id="25" w:name="_Toc17524"/>
      <w:bookmarkStart w:id="26" w:name="_Toc13610"/>
      <w:bookmarkStart w:id="27" w:name="_Toc14393"/>
      <w:bookmarkStart w:id="28" w:name="_Toc4075"/>
      <w:bookmarkStart w:id="29" w:name="_Toc9697"/>
      <w:r>
        <w:rPr>
          <w:rFonts w:hint="eastAsia" w:ascii="宋体" w:hAnsi="宋体" w:cs="宋体"/>
          <w:b/>
          <w:color w:val="auto"/>
          <w:sz w:val="28"/>
          <w:highlight w:val="none"/>
          <w:lang w:eastAsia="zh-CN"/>
        </w:rPr>
        <w:t>2.</w:t>
      </w:r>
      <w:r>
        <w:rPr>
          <w:rFonts w:hint="eastAsia" w:ascii="宋体" w:hAnsi="宋体" w:eastAsia="宋体" w:cs="宋体"/>
          <w:b/>
          <w:color w:val="auto"/>
          <w:sz w:val="28"/>
          <w:highlight w:val="none"/>
          <w:lang w:eastAsia="zh-CN"/>
        </w:rPr>
        <w:t>比选</w:t>
      </w:r>
      <w:r>
        <w:rPr>
          <w:rFonts w:hint="eastAsia" w:ascii="宋体" w:hAnsi="宋体" w:eastAsia="宋体" w:cs="宋体"/>
          <w:b/>
          <w:color w:val="auto"/>
          <w:sz w:val="28"/>
          <w:highlight w:val="none"/>
        </w:rPr>
        <w:t>文件</w:t>
      </w:r>
      <w:bookmarkEnd w:id="25"/>
      <w:bookmarkEnd w:id="26"/>
      <w:bookmarkEnd w:id="27"/>
      <w:bookmarkEnd w:id="28"/>
      <w:bookmarkEnd w:id="29"/>
    </w:p>
    <w:p>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2.1 </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文件的组成</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文件包括：</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公告（或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邀请书）；</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办法；</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（4）合同条款及格式；</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（5）</w:t>
      </w:r>
      <w:r>
        <w:rPr>
          <w:rFonts w:hint="eastAsia" w:ascii="宋体" w:hAnsi="宋体" w:cs="宋体"/>
          <w:color w:val="auto"/>
          <w:sz w:val="21"/>
          <w:highlight w:val="none"/>
          <w:lang w:val="en-US" w:eastAsia="zh-CN"/>
        </w:rPr>
        <w:t>人员及服务</w:t>
      </w:r>
      <w:r>
        <w:rPr>
          <w:rFonts w:hint="eastAsia" w:ascii="宋体" w:hAnsi="宋体" w:eastAsia="宋体" w:cs="宋体"/>
          <w:color w:val="auto"/>
          <w:sz w:val="21"/>
          <w:highlight w:val="none"/>
        </w:rPr>
        <w:t>要求；</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（6）</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文件格式；</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人须知前附表规定的其他资料。</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根据本章第 1.9 款、第 2.2 款和第 2.3 款对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文件所作的澄清、修改，构成</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文件的组成部分。</w:t>
      </w:r>
    </w:p>
    <w:p>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2.2 </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文件的澄清</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2.2.1 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人应仔细阅读和检查</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文件的全部内容。如发现缺页或附件不全，应及时向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人提出，以便补齐。如有疑问，应按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人须知前附表规定的时间和形式将提出的问题送达</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人，要求</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文件予以澄清。</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2.2.2 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文件的澄清以</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人须知前附表规定的形式发给所有购买</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人，但不指明澄清问题的来源。澄清发出的时间距本章第 4.2.1 项规定的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截止时间不足 15 日的，并且澄清内容可能影响</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文件编制的，将相应延长</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2.2.3 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人在收到澄清后，应按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人须知前附表规定的时间和形式通知</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人，确认已收到该澄清。</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2.2.4 除非</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人认为确有必要答复，否则，</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人有权拒绝回复</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人在本章第 2.2.1 项规定的时间后的任何澄清要求。</w:t>
      </w:r>
    </w:p>
    <w:p>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2.3 </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 xml:space="preserve">文件的修改 </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2.3.1 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人以</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人须知前附表规定的形式修改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文件，并通知所有已购买</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人。修改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文件的时间距本章第 4.2.1 项规定的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截止时间不足 15 日的，并且修改内容可能影响</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文件编制的，将相应延长</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2.3.2 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人收到修改内容后，应按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人须知前附表规定的时间和形式通知</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人，确认已收到该修改。</w:t>
      </w:r>
    </w:p>
    <w:p>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2.4  </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文件的异议</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人或者其他利害关系人对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文件有异议的，应当在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 10 日前以书面形式提出。</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人将在收到异议之日起 3 日内作出答复；作出答复前，将暂停</w:t>
      </w: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活动。</w:t>
      </w:r>
    </w:p>
    <w:p>
      <w:pPr>
        <w:keepNext/>
        <w:keepLines/>
        <w:snapToGrid w:val="0"/>
        <w:spacing w:line="360" w:lineRule="auto"/>
        <w:outlineLvl w:val="0"/>
        <w:rPr>
          <w:rFonts w:hint="eastAsia" w:ascii="宋体" w:hAnsi="宋体" w:eastAsia="宋体" w:cs="宋体"/>
          <w:b/>
          <w:color w:val="auto"/>
          <w:sz w:val="28"/>
          <w:highlight w:val="none"/>
        </w:rPr>
      </w:pPr>
      <w:bookmarkStart w:id="30" w:name="_Toc23808"/>
      <w:bookmarkStart w:id="31" w:name="_Toc6815"/>
      <w:bookmarkStart w:id="32" w:name="_Toc27106"/>
      <w:bookmarkStart w:id="33" w:name="_Toc7462"/>
      <w:bookmarkStart w:id="34" w:name="_Toc13578"/>
      <w:r>
        <w:rPr>
          <w:rFonts w:hint="eastAsia" w:ascii="宋体" w:hAnsi="宋体" w:cs="宋体"/>
          <w:b/>
          <w:color w:val="auto"/>
          <w:sz w:val="28"/>
          <w:highlight w:val="none"/>
          <w:lang w:eastAsia="zh-CN"/>
        </w:rPr>
        <w:t>3.</w:t>
      </w:r>
      <w:r>
        <w:rPr>
          <w:rFonts w:hint="eastAsia" w:ascii="宋体" w:hAnsi="宋体" w:eastAsia="宋体" w:cs="宋体"/>
          <w:b/>
          <w:color w:val="auto"/>
          <w:sz w:val="28"/>
          <w:highlight w:val="none"/>
          <w:lang w:eastAsia="zh-CN"/>
        </w:rPr>
        <w:t>参选</w:t>
      </w:r>
      <w:r>
        <w:rPr>
          <w:rFonts w:hint="eastAsia" w:ascii="宋体" w:hAnsi="宋体" w:eastAsia="宋体" w:cs="宋体"/>
          <w:b/>
          <w:color w:val="auto"/>
          <w:sz w:val="28"/>
          <w:highlight w:val="none"/>
        </w:rPr>
        <w:t>文件</w:t>
      </w:r>
      <w:bookmarkEnd w:id="30"/>
      <w:bookmarkEnd w:id="31"/>
      <w:bookmarkEnd w:id="32"/>
      <w:bookmarkEnd w:id="33"/>
      <w:bookmarkEnd w:id="34"/>
    </w:p>
    <w:p>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3.1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文件的组成</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3.1.1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文件应包括下列内容：</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cs="宋体"/>
          <w:color w:val="auto"/>
          <w:sz w:val="21"/>
          <w:highlight w:val="none"/>
          <w:lang w:val="en-US" w:eastAsia="zh-CN"/>
        </w:rPr>
        <w:t>经济部分（</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函</w:t>
      </w:r>
      <w:r>
        <w:rPr>
          <w:rFonts w:hint="eastAsia" w:ascii="宋体" w:hAnsi="宋体" w:cs="宋体"/>
          <w:color w:val="auto"/>
          <w:sz w:val="21"/>
          <w:highlight w:val="none"/>
          <w:lang w:val="en-US" w:eastAsia="zh-CN"/>
        </w:rPr>
        <w:t>）</w:t>
      </w:r>
      <w:r>
        <w:rPr>
          <w:rFonts w:hint="eastAsia" w:ascii="宋体" w:hAnsi="宋体" w:eastAsia="宋体" w:cs="宋体"/>
          <w:color w:val="auto"/>
          <w:sz w:val="21"/>
          <w:highlight w:val="none"/>
        </w:rPr>
        <w:t>；</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（2）法定代表人（单位负责人）身份证明或授权委托书；</w:t>
      </w:r>
    </w:p>
    <w:p>
      <w:pPr>
        <w:adjustRightInd w:val="0"/>
        <w:snapToGrid w:val="0"/>
        <w:spacing w:line="360" w:lineRule="auto"/>
        <w:ind w:firstLine="420" w:firstLineChars="200"/>
        <w:rPr>
          <w:rFonts w:hint="eastAsia" w:ascii="宋体" w:hAnsi="宋体" w:eastAsia="宋体" w:cs="宋体"/>
          <w:color w:val="auto"/>
          <w:sz w:val="18"/>
          <w:szCs w:val="18"/>
          <w:highlight w:val="none"/>
        </w:rPr>
      </w:pPr>
      <w:r>
        <w:rPr>
          <w:rFonts w:hint="eastAsia" w:ascii="宋体" w:hAnsi="宋体" w:eastAsia="宋体" w:cs="宋体"/>
          <w:color w:val="auto"/>
          <w:sz w:val="21"/>
          <w:highlight w:val="none"/>
        </w:rPr>
        <w:t>（3）</w:t>
      </w:r>
      <w:r>
        <w:rPr>
          <w:rFonts w:hint="eastAsia" w:ascii="宋体" w:hAnsi="宋体" w:eastAsia="宋体" w:cs="宋体"/>
          <w:color w:val="auto"/>
          <w:sz w:val="21"/>
          <w:highlight w:val="none"/>
          <w:lang w:val="en-US" w:eastAsia="zh-CN"/>
        </w:rPr>
        <w:t>资格</w:t>
      </w:r>
      <w:r>
        <w:rPr>
          <w:rFonts w:hint="eastAsia" w:ascii="宋体" w:hAnsi="宋体" w:cs="宋体"/>
          <w:color w:val="auto"/>
          <w:sz w:val="21"/>
          <w:highlight w:val="none"/>
          <w:lang w:val="en-US" w:eastAsia="zh-CN"/>
        </w:rPr>
        <w:t>部分</w:t>
      </w:r>
      <w:r>
        <w:rPr>
          <w:rFonts w:hint="eastAsia" w:ascii="宋体" w:hAnsi="宋体" w:eastAsia="宋体" w:cs="宋体"/>
          <w:color w:val="auto"/>
          <w:sz w:val="21"/>
          <w:highlight w:val="none"/>
        </w:rPr>
        <w:t>；</w:t>
      </w:r>
    </w:p>
    <w:p>
      <w:pPr>
        <w:adjustRightInd w:val="0"/>
        <w:snapToGrid w:val="0"/>
        <w:spacing w:line="360" w:lineRule="auto"/>
        <w:ind w:firstLine="420" w:firstLineChars="20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rPr>
        <w:t>（4）</w:t>
      </w:r>
      <w:r>
        <w:rPr>
          <w:rFonts w:hint="eastAsia" w:ascii="宋体" w:hAnsi="宋体" w:eastAsia="宋体" w:cs="宋体"/>
          <w:color w:val="auto"/>
          <w:sz w:val="21"/>
          <w:highlight w:val="none"/>
          <w:lang w:val="en-US" w:eastAsia="zh-CN"/>
        </w:rPr>
        <w:t>技术部分；</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人在</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过程中作出的符合法律法规和</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文件规定的澄清确认，构成</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文件的组成部分。</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3.1.2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人须知前附表规定不接受联合体</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的，或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人没有组成联合体的，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文件不包括本章第 3.1.1（3）目所指的联合体协议书。</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3.1.3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人须知前附表未要求提交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文件不包括本章第 3.1.1（4）目所指的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w:t>
      </w:r>
    </w:p>
    <w:p>
      <w:pPr>
        <w:adjustRightInd w:val="0"/>
        <w:snapToGrid w:val="0"/>
        <w:spacing w:line="360" w:lineRule="auto"/>
        <w:ind w:firstLine="420" w:firstLineChars="200"/>
        <w:rPr>
          <w:rFonts w:hint="eastAsia" w:ascii="宋体" w:hAnsi="宋体" w:eastAsia="宋体" w:cs="宋体"/>
          <w:color w:val="auto"/>
          <w:sz w:val="21"/>
          <w:highlight w:val="none"/>
        </w:rPr>
      </w:pPr>
    </w:p>
    <w:p>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3.2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报价 </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3.2.1  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报价应包括国家规定的增值税税金。</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人应按第六章“</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文件格式”的要求在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函中进行报价并填写分项报价表。</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3.2.2  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人应充分了解该项目的总体情况以及影响</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报价的其他要素。</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3.2.3  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报价为各分项报价金额之和，</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报价与分项报价的合价不一致的，应以各分项合价累计数为准，修正</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报价；如分项报价中存在缺漏项，则视为缺漏项价格已包含在其他分项报价之中。</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截止时间前修改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函中的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报价总额，应同时修改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文件“分项报价表”中的相应报价。此修改须符合本章第 4.3 款的有关要求。</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3.2.4  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人设有最高</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限价的，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报价不得超过最高</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限价，最高</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限价在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人须知前附表中载明。</w:t>
      </w:r>
    </w:p>
    <w:p>
      <w:pPr>
        <w:adjustRightInd w:val="0"/>
        <w:snapToGrid w:val="0"/>
        <w:spacing w:line="360" w:lineRule="auto"/>
        <w:ind w:firstLine="420" w:firstLineChars="200"/>
        <w:rPr>
          <w:rFonts w:hint="eastAsia" w:ascii="宋体" w:hAnsi="宋体" w:eastAsia="宋体" w:cs="宋体"/>
          <w:color w:val="auto"/>
          <w:sz w:val="24"/>
          <w:szCs w:val="22"/>
          <w:highlight w:val="none"/>
        </w:rPr>
      </w:pPr>
      <w:r>
        <w:rPr>
          <w:rFonts w:hint="eastAsia" w:ascii="宋体" w:hAnsi="宋体" w:eastAsia="宋体" w:cs="宋体"/>
          <w:color w:val="auto"/>
          <w:sz w:val="21"/>
          <w:highlight w:val="none"/>
        </w:rPr>
        <w:t>3.2.5  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报价的其他要求见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 xml:space="preserve">人须知前附表。 </w:t>
      </w:r>
    </w:p>
    <w:p>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3.3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有效期 </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3.3.1  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人须知前附表另有规定外，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有效期为 90 天。</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3.3.2  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有效期内，</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人撤销</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文件的，应承担</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文件和法律规定的责任。</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3.3.3  出现特殊情况需要延长</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人以书面形式通知所有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人延长</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人应予以书面答复，同意延长的，应相应延长其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保证金的有效期，但不得要求或被允许修改其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人拒绝延长的，其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失效，但</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人有权收回其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保证金及以现金或者支票形式递交的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保证金的银行同期存款利息。</w:t>
      </w:r>
    </w:p>
    <w:p>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3.4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保证金 </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3.4.1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人在递交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文件的同时，应按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人须知前附表规定的金额、形式和第六章“</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文件格式”规定的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保证金格式递交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保证金，并作为其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文件的组成部分。境内</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人以现金或者支票形式提交的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保证金，应当从其基本账户转出并在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文件中附上基本账户开户证明。联合体</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的，其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保证金可以由牵头人递交，并应符合</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人须知前附表的规定</w:t>
      </w:r>
      <w:r>
        <w:rPr>
          <w:rFonts w:hint="eastAsia" w:ascii="宋体" w:hAnsi="宋体" w:cs="宋体"/>
          <w:color w:val="auto"/>
          <w:sz w:val="21"/>
          <w:highlight w:val="none"/>
          <w:lang w:eastAsia="zh-CN"/>
        </w:rPr>
        <w:t>。</w:t>
      </w:r>
      <w:r>
        <w:rPr>
          <w:rFonts w:hint="eastAsia" w:ascii="宋体" w:hAnsi="宋体" w:eastAsia="宋体" w:cs="宋体"/>
          <w:color w:val="auto"/>
          <w:sz w:val="21"/>
          <w:highlight w:val="none"/>
        </w:rPr>
        <w:t xml:space="preserve"> </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3.4.2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人不按本章第 3.4.1 项要求提交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委员会将否决其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3.4.4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人最迟将在与中标人签订合同后 5 日内，向未中标的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人和中标人退还</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 xml:space="preserve">保证金以现金或者支票形式递交的，还应退还银行同期存款利息。 </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3.4.5 有下列情形之一的，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保证金将不予退还：</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有效期内撤销</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（2）中标人在收到</w:t>
      </w:r>
      <w:r>
        <w:rPr>
          <w:rFonts w:hint="eastAsia" w:ascii="宋体" w:hAnsi="宋体" w:eastAsia="宋体" w:cs="宋体"/>
          <w:color w:val="auto"/>
          <w:sz w:val="21"/>
          <w:highlight w:val="none"/>
          <w:lang w:val="en-US" w:eastAsia="zh-CN"/>
        </w:rPr>
        <w:t>成交</w:t>
      </w:r>
      <w:r>
        <w:rPr>
          <w:rFonts w:hint="eastAsia" w:ascii="宋体" w:hAnsi="宋体" w:eastAsia="宋体" w:cs="宋体"/>
          <w:color w:val="auto"/>
          <w:sz w:val="21"/>
          <w:highlight w:val="none"/>
        </w:rPr>
        <w:t>通知书后，无正当理由不与</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人订立合同，在签订合同时向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人提出附加条件，或者不按照</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文件要求提交履约保证金；</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（3）发生</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人须知前附表规定的其他可以不予退还</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保证金的情形。</w:t>
      </w:r>
    </w:p>
    <w:p>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3.5 资格审查资料</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人须知前附表另有规定外，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人应按下列规定提供资格审查资料，以证明其满足本章第 1.4 款规定的资质、财务、业绩、信誉等要求。</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3.5.1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人基本情况表”应附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人资格或者资质证书副本和</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材料检验或认证等材料的复印件以及：</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人为企业的，应提交营业执照和组织机构代码证的复印件（按照“三证合一”或“五证合一”登记制度进行登记的，可仅提供营业执照复印件）；</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人为依法允许经营的事业单位的，应提交事业单位法人证书和组织机构代码证的复印件。</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3.5.2 “近年财务状况表”应附经会计师事务所或审计机构审计的财务会计报表，包括资产负债表、现金流量表、利润表和财务情况说明书的复印件，具体年份要求见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人的成立时间少于</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w:t>
      </w:r>
      <w:r>
        <w:rPr>
          <w:rFonts w:hint="eastAsia" w:ascii="宋体" w:hAnsi="宋体" w:cs="宋体"/>
          <w:color w:val="auto"/>
          <w:sz w:val="21"/>
          <w:highlight w:val="none"/>
          <w:lang w:val="en-US" w:eastAsia="zh-CN"/>
        </w:rPr>
        <w:t>时间</w:t>
      </w:r>
      <w:r>
        <w:rPr>
          <w:rFonts w:hint="eastAsia" w:ascii="宋体" w:hAnsi="宋体" w:eastAsia="宋体" w:cs="宋体"/>
          <w:color w:val="auto"/>
          <w:sz w:val="21"/>
          <w:highlight w:val="none"/>
        </w:rPr>
        <w:t>的，应提供成立以来的财务状况表。</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3.5.3 “近年完成的类似项目情况表”应附</w:t>
      </w:r>
      <w:r>
        <w:rPr>
          <w:rFonts w:hint="eastAsia" w:ascii="宋体" w:hAnsi="宋体" w:eastAsia="宋体" w:cs="宋体"/>
          <w:color w:val="auto"/>
          <w:sz w:val="21"/>
          <w:highlight w:val="none"/>
          <w:lang w:val="en-US" w:eastAsia="zh-CN"/>
        </w:rPr>
        <w:t>成交</w:t>
      </w:r>
      <w:r>
        <w:rPr>
          <w:rFonts w:hint="eastAsia" w:ascii="宋体" w:hAnsi="宋体" w:eastAsia="宋体" w:cs="宋体"/>
          <w:color w:val="auto"/>
          <w:sz w:val="21"/>
          <w:highlight w:val="none"/>
        </w:rPr>
        <w:t>通知书和（或）合同协议书、材料进场验收证书等的复印件，具体时间要求见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人须知前附表。每张表格只填写一个项目，并标明序号。</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3.5.4 “正在供货和新承接的项目情况表”应附</w:t>
      </w:r>
      <w:r>
        <w:rPr>
          <w:rFonts w:hint="eastAsia" w:ascii="宋体" w:hAnsi="宋体" w:eastAsia="宋体" w:cs="宋体"/>
          <w:color w:val="auto"/>
          <w:sz w:val="21"/>
          <w:highlight w:val="none"/>
          <w:lang w:eastAsia="zh-CN"/>
        </w:rPr>
        <w:t>成交通知书</w:t>
      </w:r>
      <w:r>
        <w:rPr>
          <w:rFonts w:hint="eastAsia" w:ascii="宋体" w:hAnsi="宋体" w:eastAsia="宋体" w:cs="宋体"/>
          <w:color w:val="auto"/>
          <w:sz w:val="21"/>
          <w:highlight w:val="none"/>
        </w:rPr>
        <w:t>和（或）合同协议书复印件。每张表格只填写一个项目，并标明序号。</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3.5.5 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人须知前附表规定接受联合体</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的，本章第 3.5.1 项至第 3.5.5 项规定的表格和资料应包括联合体各方相关情况。</w:t>
      </w:r>
    </w:p>
    <w:p>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3.6 备选</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方案</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3.6.1  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人须知前附表规定允许外，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人不得递交备选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方案，否则其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将被否决。</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3.6.2  允许</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人递交备选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方案的，只有中标人所递交的备选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方案方可予以考虑。</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委员会认为中标人的备选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方案优于其按照</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文件要求编制的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方案的，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人可以接受该备选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方案。</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3.6.3  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人提供两个或两个以上</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报价，或者在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文件中提供一个报价，但同时提供两个或两个以上供货方案的，视为提供备选方案。</w:t>
      </w:r>
    </w:p>
    <w:p>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3.7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文件的编制 </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3.7.1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文件应按第六章“</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文件格式”进行编写，如有必要，可以增加附页，作为</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文件的组成部分。</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3.7.2</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文件应当对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文件有关供货期、</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有效期、供货要求、</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范围等实质性内容作出响应。</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文件在满足</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文件实质性要求的基础上，可以提出比</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文件要求更有利于</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人的承诺。</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3.7.3（1）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文件应用不褪色的材料书写或打印，</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函及对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文件的澄清、说明和补正应由</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人的法定代表人（单位负责人）或其授权的代理人签字或盖单位章。由</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人的法定代表人（单位负责人）签字的，应附法定代表人（单位负责人）身份证明，由代理人签字的，应附授权委托书，身份证明或授权委托书应符合第六章“</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文件格式”的要求。</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文件应尽量避免涂改、行间插字或删除。如果出现上述情况，改动之处应由</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人的法定代表人（单位负责人）或其授权的代理人签字或盖单位章。</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文件正本一份，副本</w:t>
      </w:r>
      <w:r>
        <w:rPr>
          <w:rFonts w:hint="eastAsia" w:ascii="宋体" w:hAnsi="宋体" w:cs="宋体"/>
          <w:color w:val="auto"/>
          <w:sz w:val="21"/>
          <w:highlight w:val="none"/>
          <w:lang w:val="en-US" w:eastAsia="zh-CN"/>
        </w:rPr>
        <w:t>一份</w:t>
      </w:r>
      <w:r>
        <w:rPr>
          <w:rFonts w:hint="eastAsia" w:ascii="宋体" w:hAnsi="宋体" w:eastAsia="宋体" w:cs="宋体"/>
          <w:color w:val="auto"/>
          <w:sz w:val="21"/>
          <w:highlight w:val="none"/>
        </w:rPr>
        <w:t>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人须知前附表。正本和副本的封面</w:t>
      </w:r>
      <w:r>
        <w:rPr>
          <w:rFonts w:hint="eastAsia" w:ascii="宋体" w:hAnsi="宋体" w:cs="宋体"/>
          <w:color w:val="auto"/>
          <w:sz w:val="21"/>
          <w:highlight w:val="none"/>
          <w:lang w:eastAsia="zh-CN"/>
        </w:rPr>
        <w:t>右上角</w:t>
      </w:r>
      <w:r>
        <w:rPr>
          <w:rFonts w:hint="eastAsia" w:ascii="宋体" w:hAnsi="宋体" w:eastAsia="宋体" w:cs="宋体"/>
          <w:color w:val="auto"/>
          <w:sz w:val="21"/>
          <w:highlight w:val="none"/>
        </w:rPr>
        <w:t>应清楚地标记“正本”或“副本”的字样。</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人应根据</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人须知前附表要求提供电子版文件。当副本和正本不一致或电子版文件和纸质正本文件不一致时，以纸质正本文件为准。</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文件的正本与副本应分别装订，并编制目录，</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文件需分册装订的，具体分册装订要求见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w:t>
      </w:r>
    </w:p>
    <w:p>
      <w:pPr>
        <w:keepNext/>
        <w:keepLines/>
        <w:snapToGrid w:val="0"/>
        <w:spacing w:line="360" w:lineRule="auto"/>
        <w:outlineLvl w:val="0"/>
        <w:rPr>
          <w:rFonts w:hint="eastAsia" w:ascii="宋体" w:hAnsi="宋体" w:eastAsia="宋体" w:cs="宋体"/>
          <w:b/>
          <w:color w:val="auto"/>
          <w:sz w:val="28"/>
          <w:highlight w:val="none"/>
          <w:lang w:eastAsia="zh-CN"/>
        </w:rPr>
      </w:pPr>
      <w:bookmarkStart w:id="35" w:name="_Toc7095"/>
      <w:bookmarkStart w:id="36" w:name="_Toc27230"/>
      <w:bookmarkStart w:id="37" w:name="_Toc22921"/>
      <w:bookmarkStart w:id="38" w:name="_Toc20825"/>
      <w:bookmarkStart w:id="39" w:name="_Toc22663"/>
      <w:r>
        <w:rPr>
          <w:rFonts w:hint="eastAsia" w:ascii="宋体" w:hAnsi="宋体" w:cs="宋体"/>
          <w:b/>
          <w:color w:val="auto"/>
          <w:sz w:val="28"/>
          <w:highlight w:val="none"/>
          <w:lang w:eastAsia="zh-CN"/>
        </w:rPr>
        <w:t>4.</w:t>
      </w:r>
      <w:bookmarkEnd w:id="35"/>
      <w:bookmarkEnd w:id="36"/>
      <w:bookmarkEnd w:id="37"/>
      <w:r>
        <w:rPr>
          <w:rFonts w:hint="eastAsia" w:ascii="宋体" w:hAnsi="宋体" w:eastAsia="宋体" w:cs="宋体"/>
          <w:b/>
          <w:color w:val="auto"/>
          <w:sz w:val="28"/>
          <w:highlight w:val="none"/>
          <w:lang w:eastAsia="zh-CN"/>
        </w:rPr>
        <w:t>参选</w:t>
      </w:r>
      <w:bookmarkEnd w:id="38"/>
      <w:bookmarkEnd w:id="39"/>
    </w:p>
    <w:p>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4.1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文件的密封和标记 </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4.1.1  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文件应密封包装，并在封套的封口处加盖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人单位章或由</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人的法定代表人（单位负责人）或其授权的代理人签字。</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4.1.2  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文件封套上应写明的内容见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4.1.3  未按本章第 4.1.1 项要求密封的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人将予以拒收。</w:t>
      </w:r>
    </w:p>
    <w:p>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4.2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文件的递交 </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4.2.1  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截止时间前递交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4.2.2  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人递交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文件的地点：见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4.2.3  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人须知前附表另有规定外，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人所递交的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文件不予退还。</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4.2.4  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人收到</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文件后，向</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人出具签收凭证。</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4.2.5  逾期送达的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人将予以拒收。</w:t>
      </w:r>
    </w:p>
    <w:p>
      <w:pPr>
        <w:pStyle w:val="10"/>
        <w:rPr>
          <w:rFonts w:hint="eastAsia" w:ascii="宋体" w:hAnsi="宋体" w:eastAsia="宋体" w:cs="宋体"/>
          <w:color w:val="auto"/>
          <w:highlight w:val="none"/>
        </w:rPr>
      </w:pPr>
    </w:p>
    <w:p>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4.3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文件的修改与撤回 </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4.3.1 在本章第 4.2.1 项规定的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截止时间前，</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人可以修改或撤回已递交的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文件，但应以书面形式通知</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4.3.2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人修改或撤回已递交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文件的书面通知应按照本章第 3.7.3的要求签字或盖章。</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人收到书面通知后，向</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人出具签收凭证。</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4.3.3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人撤回</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人自收到</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人书面撤回通知之日起 5 日内退还已收取的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4.3.4 修改的内容为</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文件的组成部分。修改的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文件应按照本章第 3 条、第 4 条的规定进行编制、密封、标记和递交，并标明“修改”字样。</w:t>
      </w:r>
    </w:p>
    <w:p>
      <w:pPr>
        <w:keepNext/>
        <w:keepLines/>
        <w:snapToGrid w:val="0"/>
        <w:spacing w:line="360" w:lineRule="auto"/>
        <w:outlineLvl w:val="0"/>
        <w:rPr>
          <w:rFonts w:hint="eastAsia" w:ascii="宋体" w:hAnsi="宋体" w:eastAsia="宋体" w:cs="宋体"/>
          <w:b/>
          <w:color w:val="auto"/>
          <w:sz w:val="28"/>
          <w:highlight w:val="none"/>
        </w:rPr>
      </w:pPr>
      <w:bookmarkStart w:id="40" w:name="_Toc17347"/>
      <w:bookmarkStart w:id="41" w:name="_Toc26069"/>
      <w:bookmarkStart w:id="42" w:name="_Toc24757"/>
      <w:bookmarkStart w:id="43" w:name="_Toc17267"/>
      <w:bookmarkStart w:id="44" w:name="_Toc15012"/>
      <w:r>
        <w:rPr>
          <w:rFonts w:hint="eastAsia" w:ascii="宋体" w:hAnsi="宋体" w:cs="宋体"/>
          <w:b/>
          <w:color w:val="auto"/>
          <w:sz w:val="28"/>
          <w:highlight w:val="none"/>
          <w:lang w:eastAsia="zh-CN"/>
        </w:rPr>
        <w:t>5.</w:t>
      </w:r>
      <w:r>
        <w:rPr>
          <w:rFonts w:hint="eastAsia" w:ascii="宋体" w:hAnsi="宋体" w:eastAsia="宋体" w:cs="宋体"/>
          <w:b/>
          <w:color w:val="auto"/>
          <w:sz w:val="28"/>
          <w:highlight w:val="none"/>
        </w:rPr>
        <w:t>开标</w:t>
      </w:r>
      <w:bookmarkEnd w:id="40"/>
      <w:bookmarkEnd w:id="41"/>
      <w:bookmarkEnd w:id="42"/>
      <w:bookmarkEnd w:id="43"/>
      <w:bookmarkEnd w:id="44"/>
    </w:p>
    <w:p>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5.1 开标时间和地点</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人在本章第 4.2.1 项规定的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截止时间（开标时间）和</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人须知前附表规定的地点公开开标，并邀请所有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人的法定代表人（单位负责人）或其委托代理人准时参加。</w:t>
      </w:r>
    </w:p>
    <w:p>
      <w:pPr>
        <w:adjustRightInd w:val="0"/>
        <w:snapToGrid w:val="0"/>
        <w:spacing w:line="360" w:lineRule="auto"/>
        <w:ind w:firstLine="482" w:firstLineChars="200"/>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5.2 开标程序</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主持人按下列程序进行开标：</w:t>
      </w:r>
    </w:p>
    <w:p>
      <w:pPr>
        <w:keepNext/>
        <w:keepLines/>
        <w:snapToGrid w:val="0"/>
        <w:spacing w:line="360" w:lineRule="auto"/>
        <w:ind w:firstLine="399" w:firstLineChars="190"/>
        <w:rPr>
          <w:rFonts w:hint="eastAsia" w:ascii="宋体" w:hAnsi="宋体" w:eastAsia="宋体" w:cs="宋体"/>
          <w:color w:val="auto"/>
          <w:sz w:val="21"/>
          <w:highlight w:val="none"/>
        </w:rPr>
      </w:pPr>
      <w:r>
        <w:rPr>
          <w:rFonts w:hint="eastAsia" w:ascii="宋体" w:hAnsi="宋体" w:eastAsia="宋体" w:cs="宋体"/>
          <w:color w:val="auto"/>
          <w:sz w:val="21"/>
          <w:highlight w:val="none"/>
        </w:rPr>
        <w:t>（1）宣布开标纪律；</w:t>
      </w:r>
    </w:p>
    <w:p>
      <w:pPr>
        <w:keepNext/>
        <w:keepLines/>
        <w:snapToGrid w:val="0"/>
        <w:spacing w:line="360" w:lineRule="auto"/>
        <w:ind w:firstLine="399" w:firstLineChars="190"/>
        <w:rPr>
          <w:rFonts w:hint="eastAsia" w:ascii="宋体" w:hAnsi="宋体" w:eastAsia="宋体" w:cs="宋体"/>
          <w:color w:val="auto"/>
          <w:sz w:val="21"/>
          <w:highlight w:val="none"/>
        </w:rPr>
      </w:pPr>
      <w:r>
        <w:rPr>
          <w:rFonts w:hint="eastAsia" w:ascii="宋体" w:hAnsi="宋体" w:eastAsia="宋体" w:cs="宋体"/>
          <w:color w:val="auto"/>
          <w:sz w:val="21"/>
          <w:highlight w:val="none"/>
        </w:rPr>
        <w:t>（2）公布在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截止时间前递交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人名称；</w:t>
      </w:r>
    </w:p>
    <w:p>
      <w:pPr>
        <w:keepNext/>
        <w:keepLines/>
        <w:snapToGrid w:val="0"/>
        <w:spacing w:line="360" w:lineRule="auto"/>
        <w:ind w:firstLine="399" w:firstLineChars="190"/>
        <w:rPr>
          <w:rFonts w:hint="eastAsia" w:ascii="宋体" w:hAnsi="宋体" w:eastAsia="宋体" w:cs="宋体"/>
          <w:color w:val="auto"/>
          <w:sz w:val="21"/>
          <w:highlight w:val="none"/>
        </w:rPr>
      </w:pPr>
      <w:r>
        <w:rPr>
          <w:rFonts w:hint="eastAsia" w:ascii="宋体" w:hAnsi="宋体" w:eastAsia="宋体" w:cs="宋体"/>
          <w:color w:val="auto"/>
          <w:sz w:val="21"/>
          <w:highlight w:val="none"/>
        </w:rPr>
        <w:t>（3）宣布开标人、唱标人、记录人、监标人等有关人员姓名；</w:t>
      </w:r>
    </w:p>
    <w:p>
      <w:pPr>
        <w:keepNext/>
        <w:keepLines/>
        <w:snapToGrid w:val="0"/>
        <w:spacing w:line="360" w:lineRule="auto"/>
        <w:ind w:firstLine="399" w:firstLineChars="190"/>
        <w:rPr>
          <w:rFonts w:hint="eastAsia" w:ascii="宋体" w:hAnsi="宋体" w:eastAsia="宋体" w:cs="宋体"/>
          <w:color w:val="auto"/>
          <w:sz w:val="21"/>
          <w:highlight w:val="none"/>
        </w:rPr>
      </w:pPr>
      <w:r>
        <w:rPr>
          <w:rFonts w:hint="eastAsia" w:ascii="宋体" w:hAnsi="宋体" w:eastAsia="宋体" w:cs="宋体"/>
          <w:color w:val="auto"/>
          <w:sz w:val="21"/>
          <w:highlight w:val="none"/>
        </w:rPr>
        <w:t>（4）检查</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文件的密封情况，按照</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人须知前附表规定的开标顺序当众开标，公布</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项目名称、</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人名称、</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保证金的递交情况、</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w:t>
      </w:r>
      <w:r>
        <w:rPr>
          <w:rFonts w:hint="eastAsia" w:ascii="宋体" w:hAnsi="宋体" w:eastAsia="宋体" w:cs="宋体"/>
          <w:color w:val="auto"/>
          <w:sz w:val="21"/>
          <w:highlight w:val="none"/>
          <w:lang w:eastAsia="zh-CN"/>
        </w:rPr>
        <w:t>服务期</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服务地点</w:t>
      </w:r>
      <w:r>
        <w:rPr>
          <w:rFonts w:hint="eastAsia" w:ascii="宋体" w:hAnsi="宋体" w:eastAsia="宋体" w:cs="宋体"/>
          <w:color w:val="auto"/>
          <w:sz w:val="21"/>
          <w:highlight w:val="none"/>
        </w:rPr>
        <w:t>及其他内容，并记录在案；</w:t>
      </w:r>
    </w:p>
    <w:p>
      <w:pPr>
        <w:keepNext/>
        <w:keepLines/>
        <w:snapToGrid w:val="0"/>
        <w:spacing w:line="360" w:lineRule="auto"/>
        <w:ind w:firstLine="399" w:firstLineChars="190"/>
        <w:rPr>
          <w:rFonts w:hint="eastAsia" w:ascii="宋体" w:hAnsi="宋体" w:eastAsia="宋体" w:cs="宋体"/>
          <w:color w:val="auto"/>
          <w:sz w:val="21"/>
          <w:highlight w:val="none"/>
        </w:rPr>
      </w:pPr>
      <w:r>
        <w:rPr>
          <w:rFonts w:hint="eastAsia" w:ascii="宋体" w:hAnsi="宋体" w:eastAsia="宋体" w:cs="宋体"/>
          <w:color w:val="auto"/>
          <w:sz w:val="21"/>
          <w:highlight w:val="none"/>
        </w:rPr>
        <w:t>（5）</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人代表、</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人代表、监标人、记录人等有关人员在开标记录上签字确认；</w:t>
      </w:r>
    </w:p>
    <w:p>
      <w:pPr>
        <w:keepNext/>
        <w:keepLines/>
        <w:snapToGrid w:val="0"/>
        <w:spacing w:line="360" w:lineRule="auto"/>
        <w:ind w:firstLine="399" w:firstLineChars="190"/>
        <w:rPr>
          <w:rFonts w:hint="eastAsia" w:ascii="宋体" w:hAnsi="宋体" w:eastAsia="宋体" w:cs="宋体"/>
          <w:color w:val="auto"/>
          <w:sz w:val="21"/>
          <w:highlight w:val="none"/>
        </w:rPr>
      </w:pPr>
      <w:r>
        <w:rPr>
          <w:rFonts w:hint="eastAsia" w:ascii="宋体" w:hAnsi="宋体" w:eastAsia="宋体" w:cs="宋体"/>
          <w:color w:val="auto"/>
          <w:sz w:val="21"/>
          <w:highlight w:val="none"/>
        </w:rPr>
        <w:t>（6）开标结束。</w:t>
      </w:r>
    </w:p>
    <w:p>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5.3 开</w:t>
      </w:r>
      <w:r>
        <w:rPr>
          <w:rFonts w:hint="eastAsia" w:ascii="宋体" w:hAnsi="宋体" w:eastAsia="宋体" w:cs="宋体"/>
          <w:b/>
          <w:bCs/>
          <w:color w:val="auto"/>
          <w:sz w:val="24"/>
          <w:szCs w:val="22"/>
          <w:highlight w:val="none"/>
          <w:lang w:val="en-US" w:eastAsia="zh-CN"/>
        </w:rPr>
        <w:t>选</w:t>
      </w:r>
      <w:r>
        <w:rPr>
          <w:rFonts w:hint="eastAsia" w:ascii="宋体" w:hAnsi="宋体" w:eastAsia="宋体" w:cs="宋体"/>
          <w:b/>
          <w:bCs/>
          <w:color w:val="auto"/>
          <w:sz w:val="24"/>
          <w:szCs w:val="22"/>
          <w:highlight w:val="none"/>
        </w:rPr>
        <w:t>异议</w:t>
      </w:r>
    </w:p>
    <w:p>
      <w:pPr>
        <w:keepNext/>
        <w:keepLines/>
        <w:snapToGrid w:val="0"/>
        <w:spacing w:line="360" w:lineRule="auto"/>
        <w:ind w:firstLine="399" w:firstLineChars="19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人对开标有异议的，应当在开标现场提出，</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人当场作出答复，并制作记录。</w:t>
      </w:r>
    </w:p>
    <w:p>
      <w:pPr>
        <w:pStyle w:val="10"/>
        <w:rPr>
          <w:rFonts w:hint="eastAsia" w:ascii="宋体" w:hAnsi="宋体" w:eastAsia="宋体" w:cs="宋体"/>
          <w:color w:val="auto"/>
          <w:highlight w:val="none"/>
        </w:rPr>
      </w:pPr>
    </w:p>
    <w:p>
      <w:pPr>
        <w:keepNext/>
        <w:keepLines/>
        <w:snapToGrid w:val="0"/>
        <w:spacing w:line="360" w:lineRule="auto"/>
        <w:outlineLvl w:val="0"/>
        <w:rPr>
          <w:rFonts w:hint="eastAsia" w:ascii="宋体" w:hAnsi="宋体" w:eastAsia="宋体" w:cs="宋体"/>
          <w:b/>
          <w:color w:val="auto"/>
          <w:sz w:val="28"/>
          <w:szCs w:val="22"/>
          <w:highlight w:val="none"/>
        </w:rPr>
      </w:pPr>
      <w:bookmarkStart w:id="45" w:name="_Toc22774"/>
      <w:bookmarkStart w:id="46" w:name="_Toc22199"/>
      <w:bookmarkStart w:id="47" w:name="_Toc1030"/>
      <w:bookmarkStart w:id="48" w:name="_Toc2996"/>
      <w:bookmarkStart w:id="49" w:name="_Toc204"/>
      <w:r>
        <w:rPr>
          <w:rFonts w:hint="eastAsia" w:ascii="宋体" w:hAnsi="宋体" w:cs="宋体"/>
          <w:b/>
          <w:color w:val="auto"/>
          <w:sz w:val="28"/>
          <w:szCs w:val="22"/>
          <w:highlight w:val="none"/>
          <w:lang w:eastAsia="zh-CN"/>
        </w:rPr>
        <w:t>6.</w:t>
      </w:r>
      <w:r>
        <w:rPr>
          <w:rFonts w:hint="eastAsia" w:ascii="宋体" w:hAnsi="宋体" w:eastAsia="宋体" w:cs="宋体"/>
          <w:b/>
          <w:color w:val="auto"/>
          <w:sz w:val="28"/>
          <w:szCs w:val="22"/>
          <w:highlight w:val="none"/>
        </w:rPr>
        <w:t>评</w:t>
      </w:r>
      <w:r>
        <w:rPr>
          <w:rFonts w:hint="eastAsia" w:ascii="宋体" w:hAnsi="宋体" w:eastAsia="宋体" w:cs="宋体"/>
          <w:b/>
          <w:color w:val="auto"/>
          <w:sz w:val="28"/>
          <w:szCs w:val="22"/>
          <w:highlight w:val="none"/>
          <w:lang w:val="en-US" w:eastAsia="zh-CN"/>
        </w:rPr>
        <w:t>选</w:t>
      </w:r>
      <w:bookmarkEnd w:id="45"/>
      <w:bookmarkEnd w:id="46"/>
      <w:bookmarkEnd w:id="47"/>
      <w:bookmarkEnd w:id="48"/>
      <w:bookmarkEnd w:id="49"/>
    </w:p>
    <w:p>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6.1评</w:t>
      </w:r>
      <w:r>
        <w:rPr>
          <w:rFonts w:hint="eastAsia" w:ascii="宋体" w:hAnsi="宋体" w:eastAsia="宋体" w:cs="宋体"/>
          <w:b/>
          <w:bCs/>
          <w:color w:val="auto"/>
          <w:sz w:val="24"/>
          <w:szCs w:val="22"/>
          <w:highlight w:val="none"/>
          <w:lang w:val="en-US" w:eastAsia="zh-CN"/>
        </w:rPr>
        <w:t>选</w:t>
      </w:r>
      <w:r>
        <w:rPr>
          <w:rFonts w:hint="eastAsia" w:ascii="宋体" w:hAnsi="宋体" w:eastAsia="宋体" w:cs="宋体"/>
          <w:b/>
          <w:bCs/>
          <w:color w:val="auto"/>
          <w:sz w:val="24"/>
          <w:szCs w:val="22"/>
          <w:highlight w:val="none"/>
        </w:rPr>
        <w:t xml:space="preserve">委员会 </w:t>
      </w:r>
    </w:p>
    <w:p>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6.1.1 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由</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人依法组建的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委员会负责。评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委员会由</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人或其委托的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代理机构熟悉相关业务的代表，以及有关技术、经济等方面的专家组成。评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委员会成员人数以及技术、经济等方面专家的确定方式见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6.1.2 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委员会成员有下列情形之一的，应当回避：</w:t>
      </w:r>
    </w:p>
    <w:p>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人主要负责人的近亲属；</w:t>
      </w:r>
    </w:p>
    <w:p>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（2）项目主管部门或者行政监督部门的人员；</w:t>
      </w:r>
    </w:p>
    <w:p>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（3）与</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人有经济利益关系，可能影响对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公正评审的；</w:t>
      </w:r>
    </w:p>
    <w:p>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（4）曾因在</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以及其他与</w:t>
      </w: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有关活动中从事违法行为而受过行政处罚或刑事处罚的；</w:t>
      </w:r>
    </w:p>
    <w:p>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（5）与</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人有其他利害关系。</w:t>
      </w:r>
    </w:p>
    <w:p>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6.1.3 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过程中，评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委员会成员有回避事由、擅离职守或者因健康等原因不能继续</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人有权更换。被更换的评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委员会成员作出的评审结论无效，由更换后的评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委员会成员重新进行评审。</w:t>
      </w:r>
    </w:p>
    <w:p>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6.2评</w:t>
      </w:r>
      <w:r>
        <w:rPr>
          <w:rFonts w:hint="eastAsia" w:ascii="宋体" w:hAnsi="宋体" w:eastAsia="宋体" w:cs="宋体"/>
          <w:b/>
          <w:bCs/>
          <w:color w:val="auto"/>
          <w:sz w:val="24"/>
          <w:szCs w:val="22"/>
          <w:highlight w:val="none"/>
          <w:lang w:val="en-US" w:eastAsia="zh-CN"/>
        </w:rPr>
        <w:t>选</w:t>
      </w:r>
      <w:r>
        <w:rPr>
          <w:rFonts w:hint="eastAsia" w:ascii="宋体" w:hAnsi="宋体" w:eastAsia="宋体" w:cs="宋体"/>
          <w:b/>
          <w:bCs/>
          <w:color w:val="auto"/>
          <w:sz w:val="24"/>
          <w:szCs w:val="22"/>
          <w:highlight w:val="none"/>
        </w:rPr>
        <w:t>原则</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活动遵循公平、公正、科学和择优的原则。</w:t>
      </w:r>
    </w:p>
    <w:p>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6.3评</w:t>
      </w:r>
      <w:r>
        <w:rPr>
          <w:rFonts w:hint="eastAsia" w:ascii="宋体" w:hAnsi="宋体" w:eastAsia="宋体" w:cs="宋体"/>
          <w:b/>
          <w:bCs/>
          <w:color w:val="auto"/>
          <w:sz w:val="24"/>
          <w:szCs w:val="22"/>
          <w:highlight w:val="none"/>
          <w:lang w:val="en-US" w:eastAsia="zh-CN"/>
        </w:rPr>
        <w:t>选</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6.3.1</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委员会按照第三章“</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办法”规定的方法、评审因素、标准和程序对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文件进行评审。第三章“</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办法”没有规定的方法、评审因素和标准，不作为</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依据。</w:t>
      </w:r>
    </w:p>
    <w:p>
      <w:pPr>
        <w:adjustRightInd w:val="0"/>
        <w:snapToGrid w:val="0"/>
        <w:spacing w:line="360" w:lineRule="auto"/>
        <w:ind w:firstLine="399" w:firstLineChars="190"/>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6.3.2 </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完成后，</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委员会应当向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人提交书面</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报告和中标候选人名单。</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委员会推荐中标候选人的人数见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pPr>
        <w:adjustRightInd w:val="0"/>
        <w:snapToGrid w:val="0"/>
        <w:spacing w:line="360" w:lineRule="auto"/>
        <w:ind w:firstLine="420" w:firstLineChars="200"/>
        <w:jc w:val="left"/>
        <w:rPr>
          <w:rFonts w:hint="eastAsia" w:ascii="宋体" w:hAnsi="宋体" w:eastAsia="宋体" w:cs="宋体"/>
          <w:color w:val="auto"/>
          <w:sz w:val="21"/>
          <w:highlight w:val="none"/>
        </w:rPr>
      </w:pPr>
    </w:p>
    <w:p>
      <w:pPr>
        <w:keepNext/>
        <w:keepLines/>
        <w:snapToGrid w:val="0"/>
        <w:spacing w:line="360" w:lineRule="auto"/>
        <w:outlineLvl w:val="0"/>
        <w:rPr>
          <w:rFonts w:hint="eastAsia" w:ascii="宋体" w:hAnsi="宋体" w:eastAsia="宋体" w:cs="宋体"/>
          <w:b/>
          <w:color w:val="auto"/>
          <w:sz w:val="28"/>
          <w:szCs w:val="22"/>
          <w:highlight w:val="none"/>
        </w:rPr>
      </w:pPr>
      <w:bookmarkStart w:id="50" w:name="_Toc12303"/>
      <w:bookmarkStart w:id="51" w:name="_Toc21063"/>
      <w:bookmarkStart w:id="52" w:name="_Toc21961"/>
      <w:bookmarkStart w:id="53" w:name="_Toc6064"/>
      <w:bookmarkStart w:id="54" w:name="_Toc11034"/>
      <w:r>
        <w:rPr>
          <w:rFonts w:hint="eastAsia" w:ascii="宋体" w:hAnsi="宋体" w:cs="宋体"/>
          <w:b/>
          <w:color w:val="auto"/>
          <w:sz w:val="28"/>
          <w:szCs w:val="22"/>
          <w:highlight w:val="none"/>
          <w:lang w:eastAsia="zh-CN"/>
        </w:rPr>
        <w:t>7.</w:t>
      </w:r>
      <w:r>
        <w:rPr>
          <w:rFonts w:hint="eastAsia" w:ascii="宋体" w:hAnsi="宋体" w:eastAsia="宋体" w:cs="宋体"/>
          <w:b/>
          <w:color w:val="auto"/>
          <w:sz w:val="28"/>
          <w:szCs w:val="22"/>
          <w:highlight w:val="none"/>
        </w:rPr>
        <w:t>合同授予</w:t>
      </w:r>
      <w:bookmarkEnd w:id="50"/>
      <w:bookmarkEnd w:id="51"/>
      <w:bookmarkEnd w:id="52"/>
      <w:bookmarkEnd w:id="53"/>
      <w:bookmarkEnd w:id="54"/>
    </w:p>
    <w:p>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7.1中</w:t>
      </w:r>
      <w:r>
        <w:rPr>
          <w:rFonts w:hint="eastAsia" w:ascii="宋体" w:hAnsi="宋体" w:eastAsia="宋体" w:cs="宋体"/>
          <w:b/>
          <w:bCs/>
          <w:color w:val="auto"/>
          <w:sz w:val="24"/>
          <w:szCs w:val="22"/>
          <w:highlight w:val="none"/>
          <w:lang w:val="en-US" w:eastAsia="zh-CN"/>
        </w:rPr>
        <w:t>选</w:t>
      </w:r>
      <w:r>
        <w:rPr>
          <w:rFonts w:hint="eastAsia" w:ascii="宋体" w:hAnsi="宋体" w:eastAsia="宋体" w:cs="宋体"/>
          <w:b/>
          <w:bCs/>
          <w:color w:val="auto"/>
          <w:sz w:val="24"/>
          <w:szCs w:val="22"/>
          <w:highlight w:val="none"/>
        </w:rPr>
        <w:t>候选人公示</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人在收到评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报告之日起 3 日内，按照</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人须知前附表规定的公示媒介和期限公示中</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候选人，公示期不得少于 3 天。</w:t>
      </w:r>
    </w:p>
    <w:p>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7.2评</w:t>
      </w:r>
      <w:r>
        <w:rPr>
          <w:rFonts w:hint="eastAsia" w:ascii="宋体" w:hAnsi="宋体" w:eastAsia="宋体" w:cs="宋体"/>
          <w:b/>
          <w:bCs/>
          <w:color w:val="auto"/>
          <w:sz w:val="24"/>
          <w:szCs w:val="22"/>
          <w:highlight w:val="none"/>
          <w:lang w:val="en-US" w:eastAsia="zh-CN"/>
        </w:rPr>
        <w:t>选</w:t>
      </w:r>
      <w:r>
        <w:rPr>
          <w:rFonts w:hint="eastAsia" w:ascii="宋体" w:hAnsi="宋体" w:eastAsia="宋体" w:cs="宋体"/>
          <w:b/>
          <w:bCs/>
          <w:color w:val="auto"/>
          <w:sz w:val="24"/>
          <w:szCs w:val="22"/>
          <w:highlight w:val="none"/>
        </w:rPr>
        <w:t>结果异议</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人或者其他利害关系人对</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结果有异议的，应当在中标候选人公示期间提出。</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人将在收到异议之日起3日内作出答复；作出答复前，将暂停</w:t>
      </w: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活动。</w:t>
      </w:r>
    </w:p>
    <w:p>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7.3中</w:t>
      </w:r>
      <w:r>
        <w:rPr>
          <w:rFonts w:hint="eastAsia" w:ascii="宋体" w:hAnsi="宋体" w:eastAsia="宋体" w:cs="宋体"/>
          <w:b/>
          <w:bCs/>
          <w:color w:val="auto"/>
          <w:sz w:val="24"/>
          <w:szCs w:val="22"/>
          <w:highlight w:val="none"/>
          <w:lang w:val="en-US" w:eastAsia="zh-CN"/>
        </w:rPr>
        <w:t>选</w:t>
      </w:r>
      <w:r>
        <w:rPr>
          <w:rFonts w:hint="eastAsia" w:ascii="宋体" w:hAnsi="宋体" w:eastAsia="宋体" w:cs="宋体"/>
          <w:b/>
          <w:bCs/>
          <w:color w:val="auto"/>
          <w:sz w:val="24"/>
          <w:szCs w:val="22"/>
          <w:highlight w:val="none"/>
        </w:rPr>
        <w:t>候选人履约能力审查</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中</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候选人的经营、财务状况发生较大变化或存在违法行为</w:t>
      </w:r>
      <w:r>
        <w:rPr>
          <w:rFonts w:hint="eastAsia" w:ascii="宋体" w:hAnsi="宋体" w:cs="宋体"/>
          <w:color w:val="auto"/>
          <w:sz w:val="21"/>
          <w:highlight w:val="none"/>
          <w:lang w:eastAsia="zh-CN"/>
        </w:rPr>
        <w:t>、提供的投标资料与招标文件要求不符</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人认为可能影响其履约能力的，将在发出</w:t>
      </w:r>
      <w:r>
        <w:rPr>
          <w:rFonts w:hint="eastAsia" w:ascii="宋体" w:hAnsi="宋体" w:eastAsia="宋体" w:cs="宋体"/>
          <w:color w:val="auto"/>
          <w:sz w:val="21"/>
          <w:highlight w:val="none"/>
          <w:lang w:eastAsia="zh-CN"/>
        </w:rPr>
        <w:t>成交通知书</w:t>
      </w:r>
      <w:r>
        <w:rPr>
          <w:rFonts w:hint="eastAsia" w:ascii="宋体" w:hAnsi="宋体" w:eastAsia="宋体" w:cs="宋体"/>
          <w:color w:val="auto"/>
          <w:sz w:val="21"/>
          <w:highlight w:val="none"/>
        </w:rPr>
        <w:t>前提请原评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委员会按照</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文件规定的标准和方法进行审查确认。</w:t>
      </w:r>
    </w:p>
    <w:p>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7.4定</w:t>
      </w:r>
      <w:r>
        <w:rPr>
          <w:rFonts w:hint="eastAsia" w:ascii="宋体" w:hAnsi="宋体" w:eastAsia="宋体" w:cs="宋体"/>
          <w:b/>
          <w:bCs/>
          <w:color w:val="auto"/>
          <w:sz w:val="24"/>
          <w:szCs w:val="22"/>
          <w:highlight w:val="none"/>
          <w:lang w:val="en-US" w:eastAsia="zh-CN"/>
        </w:rPr>
        <w:t>选</w:t>
      </w:r>
    </w:p>
    <w:p>
      <w:pPr>
        <w:snapToGrid w:val="0"/>
        <w:spacing w:line="520" w:lineRule="exact"/>
        <w:ind w:firstLine="482"/>
        <w:rPr>
          <w:rFonts w:hint="eastAsia" w:ascii="宋体" w:hAnsi="宋体" w:eastAsia="宋体" w:cs="宋体"/>
          <w:color w:val="auto"/>
          <w:sz w:val="24"/>
          <w:szCs w:val="22"/>
          <w:highlight w:val="none"/>
        </w:rPr>
      </w:pPr>
      <w:r>
        <w:rPr>
          <w:rFonts w:hint="eastAsia" w:ascii="宋体" w:hAnsi="宋体" w:eastAsia="宋体" w:cs="宋体"/>
          <w:color w:val="auto"/>
          <w:sz w:val="21"/>
          <w:highlight w:val="none"/>
        </w:rPr>
        <w:t>按照</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人须知前附表的规定，</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人或</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人授权的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委员会依法确定中</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人。</w:t>
      </w:r>
    </w:p>
    <w:p>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7.5中</w:t>
      </w:r>
      <w:r>
        <w:rPr>
          <w:rFonts w:hint="eastAsia" w:ascii="宋体" w:hAnsi="宋体" w:eastAsia="宋体" w:cs="宋体"/>
          <w:b/>
          <w:bCs/>
          <w:color w:val="auto"/>
          <w:sz w:val="24"/>
          <w:szCs w:val="22"/>
          <w:highlight w:val="none"/>
          <w:lang w:val="en-US" w:eastAsia="zh-CN"/>
        </w:rPr>
        <w:t>选</w:t>
      </w:r>
      <w:r>
        <w:rPr>
          <w:rFonts w:hint="eastAsia" w:ascii="宋体" w:hAnsi="宋体" w:eastAsia="宋体" w:cs="宋体"/>
          <w:b/>
          <w:bCs/>
          <w:color w:val="auto"/>
          <w:sz w:val="24"/>
          <w:szCs w:val="22"/>
          <w:highlight w:val="none"/>
        </w:rPr>
        <w:t>通知</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在本章第3.3款规定的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有效期内，</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人以书面形式向中标人发出</w:t>
      </w:r>
      <w:r>
        <w:rPr>
          <w:rFonts w:hint="eastAsia" w:ascii="宋体" w:hAnsi="宋体" w:eastAsia="宋体" w:cs="宋体"/>
          <w:color w:val="auto"/>
          <w:sz w:val="21"/>
          <w:highlight w:val="none"/>
          <w:lang w:eastAsia="zh-CN"/>
        </w:rPr>
        <w:t>成交通知书</w:t>
      </w:r>
      <w:r>
        <w:rPr>
          <w:rFonts w:hint="eastAsia" w:ascii="宋体" w:hAnsi="宋体" w:eastAsia="宋体" w:cs="宋体"/>
          <w:color w:val="auto"/>
          <w:sz w:val="21"/>
          <w:highlight w:val="none"/>
        </w:rPr>
        <w:t>，同时将中</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结果通知未中</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w:t>
      </w:r>
    </w:p>
    <w:p>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7.6履约保证金</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7.6.1在签订合同前，中标人应按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人须知前附表规定的形式、金额和</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文件第四章“合同条款及格式”规定的或者事先经过</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人书面认可的履约保证金格式向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人提交履约保证金。除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人须知前附表另有规定外，履约保证金为中标合同金额的 10%。联合体中标的，其履约保证金以联合体各方或者联合体中牵头人的名义提交。</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7.6.2中标人不能按本章第 7.6.1 项要求提交履约保证金的，视为放弃中标，其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保证金不予退还，给</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人造成的损失超过</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保证金数额的，中标人还应当对超过部分予以赔偿。</w:t>
      </w:r>
    </w:p>
    <w:p>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7.7签订合同</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7.7.1</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人和中标人应当在</w:t>
      </w:r>
      <w:r>
        <w:rPr>
          <w:rFonts w:hint="eastAsia" w:ascii="宋体" w:hAnsi="宋体" w:eastAsia="宋体" w:cs="宋体"/>
          <w:color w:val="auto"/>
          <w:sz w:val="21"/>
          <w:highlight w:val="none"/>
          <w:lang w:eastAsia="zh-CN"/>
        </w:rPr>
        <w:t>成交通知书</w:t>
      </w:r>
      <w:r>
        <w:rPr>
          <w:rFonts w:hint="eastAsia" w:ascii="宋体" w:hAnsi="宋体" w:eastAsia="宋体" w:cs="宋体"/>
          <w:color w:val="auto"/>
          <w:sz w:val="21"/>
          <w:highlight w:val="none"/>
        </w:rPr>
        <w:t>发出之日起 30 日内，根据</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文件和中标人的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文件订立书面合同。中标人无正当理由拒签合同，在签订合同时向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人提出附加条件，或者不按照</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文件要求提交履约保证金的，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人有权取消其中标资格，其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保证金不予退还；给</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人造成的损失超过</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保证金数额的，中标人还应当对超过部分予以赔偿。</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7.7.2发出</w:t>
      </w:r>
      <w:r>
        <w:rPr>
          <w:rFonts w:hint="eastAsia" w:ascii="宋体" w:hAnsi="宋体" w:eastAsia="宋体" w:cs="宋体"/>
          <w:color w:val="auto"/>
          <w:sz w:val="21"/>
          <w:highlight w:val="none"/>
          <w:lang w:eastAsia="zh-CN"/>
        </w:rPr>
        <w:t>成交通知书</w:t>
      </w:r>
      <w:r>
        <w:rPr>
          <w:rFonts w:hint="eastAsia" w:ascii="宋体" w:hAnsi="宋体" w:eastAsia="宋体" w:cs="宋体"/>
          <w:color w:val="auto"/>
          <w:sz w:val="21"/>
          <w:highlight w:val="none"/>
        </w:rPr>
        <w:t>后，</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人无正当理由拒签合同，或者在签订合同时向中标人提出附加条件的，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人向中标人退还</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保证金；给中标人造成损失的，还应当赔偿损失。</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7.7.3联合体中标的，联合体各方应当共同与</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人签订合同，就中标项目向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人承担连带责任。</w:t>
      </w:r>
    </w:p>
    <w:p>
      <w:pPr>
        <w:keepNext/>
        <w:keepLines/>
        <w:snapToGrid w:val="0"/>
        <w:spacing w:line="360" w:lineRule="auto"/>
        <w:outlineLvl w:val="0"/>
        <w:rPr>
          <w:rFonts w:hint="eastAsia" w:ascii="宋体" w:hAnsi="宋体" w:eastAsia="宋体" w:cs="宋体"/>
          <w:b/>
          <w:color w:val="auto"/>
          <w:sz w:val="28"/>
          <w:highlight w:val="none"/>
        </w:rPr>
      </w:pPr>
      <w:bookmarkStart w:id="55" w:name="_Toc30445"/>
      <w:bookmarkStart w:id="56" w:name="_Toc4153"/>
      <w:bookmarkStart w:id="57" w:name="_Toc4855"/>
      <w:bookmarkStart w:id="58" w:name="_Toc2167"/>
      <w:bookmarkStart w:id="59" w:name="_Toc17078"/>
      <w:r>
        <w:rPr>
          <w:rFonts w:hint="eastAsia" w:ascii="宋体" w:hAnsi="宋体" w:cs="宋体"/>
          <w:b/>
          <w:color w:val="auto"/>
          <w:sz w:val="28"/>
          <w:highlight w:val="none"/>
          <w:lang w:eastAsia="zh-CN"/>
        </w:rPr>
        <w:t>8.</w:t>
      </w:r>
      <w:r>
        <w:rPr>
          <w:rFonts w:hint="eastAsia" w:ascii="宋体" w:hAnsi="宋体" w:eastAsia="宋体" w:cs="宋体"/>
          <w:b/>
          <w:color w:val="auto"/>
          <w:sz w:val="28"/>
          <w:highlight w:val="none"/>
        </w:rPr>
        <w:t>纪律和监督</w:t>
      </w:r>
      <w:bookmarkEnd w:id="55"/>
      <w:bookmarkEnd w:id="56"/>
      <w:bookmarkEnd w:id="57"/>
      <w:bookmarkEnd w:id="58"/>
      <w:bookmarkEnd w:id="59"/>
    </w:p>
    <w:p>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8.1 对</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人的纪律要求</w:t>
      </w:r>
    </w:p>
    <w:p>
      <w:pPr>
        <w:adjustRightInd w:val="0"/>
        <w:snapToGrid w:val="0"/>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w:t>
      </w:r>
      <w:r>
        <w:rPr>
          <w:rFonts w:hint="eastAsia" w:ascii="宋体" w:hAnsi="宋体" w:cs="宋体"/>
          <w:color w:val="auto"/>
          <w:sz w:val="21"/>
          <w:highlight w:val="none"/>
          <w:lang w:eastAsia="zh-CN"/>
        </w:rPr>
        <w:t>不得泄露</w:t>
      </w: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活动中应当保密的情况和资料，不得与</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人串通损害国家利益、社会公共利益或者他人合法权益。</w:t>
      </w:r>
    </w:p>
    <w:p>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8.2 对</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人的纪律要求</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人不得相互串通</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或者与</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人串通</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，不得向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人或者</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委员会成员行贿谋取中标，不得以他人名义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或者以其他方式弄虚作假骗取中标；</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人不得以任何方式干扰、影响</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工作。</w:t>
      </w:r>
    </w:p>
    <w:p>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8.3 对评审委员会成员的纪律要求</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委员会成员不得收受他人的财物或者其他好处，不得向他人</w:t>
      </w:r>
      <w:r>
        <w:rPr>
          <w:rFonts w:hint="eastAsia" w:ascii="宋体" w:hAnsi="宋体" w:cs="宋体"/>
          <w:color w:val="auto"/>
          <w:sz w:val="21"/>
          <w:highlight w:val="none"/>
          <w:lang w:eastAsia="zh-CN"/>
        </w:rPr>
        <w:t>透露</w:t>
      </w:r>
      <w:r>
        <w:rPr>
          <w:rFonts w:hint="eastAsia" w:ascii="宋体" w:hAnsi="宋体" w:eastAsia="宋体" w:cs="宋体"/>
          <w:color w:val="auto"/>
          <w:sz w:val="21"/>
          <w:highlight w:val="none"/>
        </w:rPr>
        <w:t>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文件的评审和比较、中标候选人的推荐情况以及</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有关的其他情况。在</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活动中，</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委员会成员应当客观、公正地履行职责，遵守职业道德，不得擅离职守，影响</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程序正常进行，不得使用第三章“</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办法”没有规定的评审因素和标准进行</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w:t>
      </w:r>
    </w:p>
    <w:p>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8.4 对与评</w:t>
      </w:r>
      <w:r>
        <w:rPr>
          <w:rFonts w:hint="eastAsia" w:ascii="宋体" w:hAnsi="宋体" w:eastAsia="宋体" w:cs="宋体"/>
          <w:b/>
          <w:bCs/>
          <w:color w:val="auto"/>
          <w:sz w:val="24"/>
          <w:szCs w:val="22"/>
          <w:highlight w:val="none"/>
          <w:lang w:val="en-US" w:eastAsia="zh-CN"/>
        </w:rPr>
        <w:t>选</w:t>
      </w:r>
      <w:r>
        <w:rPr>
          <w:rFonts w:hint="eastAsia" w:ascii="宋体" w:hAnsi="宋体" w:eastAsia="宋体" w:cs="宋体"/>
          <w:b/>
          <w:bCs/>
          <w:color w:val="auto"/>
          <w:sz w:val="24"/>
          <w:szCs w:val="22"/>
          <w:highlight w:val="none"/>
        </w:rPr>
        <w:t>活动有关的工作人员的纪律要求</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与评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活动有关的工作人员不得收受他人的财物或者其他好处，不得向他人</w:t>
      </w:r>
      <w:r>
        <w:rPr>
          <w:rFonts w:hint="eastAsia" w:ascii="宋体" w:hAnsi="宋体" w:cs="宋体"/>
          <w:color w:val="auto"/>
          <w:sz w:val="21"/>
          <w:highlight w:val="none"/>
          <w:lang w:eastAsia="zh-CN"/>
        </w:rPr>
        <w:t>透露</w:t>
      </w:r>
      <w:r>
        <w:rPr>
          <w:rFonts w:hint="eastAsia" w:ascii="宋体" w:hAnsi="宋体" w:eastAsia="宋体" w:cs="宋体"/>
          <w:color w:val="auto"/>
          <w:sz w:val="21"/>
          <w:highlight w:val="none"/>
        </w:rPr>
        <w:t>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文件的评审和比较、中</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候选人的推荐情况以及</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有关的其他情况。在</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活动中，与评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活动有关的工作人员不得擅离职守，影响</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程序正常进行。</w:t>
      </w:r>
    </w:p>
    <w:p>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8.5 投诉</w:t>
      </w:r>
    </w:p>
    <w:p>
      <w:pPr>
        <w:adjustRightInd w:val="0"/>
        <w:snapToGrid w:val="0"/>
        <w:spacing w:line="360" w:lineRule="auto"/>
        <w:ind w:firstLine="420" w:firstLineChars="200"/>
        <w:rPr>
          <w:rFonts w:hint="eastAsia" w:ascii="宋体" w:hAnsi="宋体" w:eastAsia="宋体" w:cs="宋体"/>
          <w:color w:val="auto"/>
          <w:sz w:val="21"/>
          <w:highlight w:val="none"/>
        </w:rPr>
      </w:pPr>
      <w:bookmarkStart w:id="60" w:name="_Toc15939"/>
      <w:r>
        <w:rPr>
          <w:rFonts w:hint="eastAsia" w:ascii="宋体" w:hAnsi="宋体" w:eastAsia="宋体" w:cs="宋体"/>
          <w:color w:val="auto"/>
          <w:sz w:val="21"/>
          <w:highlight w:val="none"/>
        </w:rPr>
        <w:t xml:space="preserve">8.5.1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人或者其他利害关系人认为</w:t>
      </w: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活动不符合法律、行政法规规定的，可以自</w:t>
      </w:r>
      <w:bookmarkEnd w:id="60"/>
      <w:r>
        <w:rPr>
          <w:rFonts w:hint="eastAsia" w:ascii="宋体" w:hAnsi="宋体" w:eastAsia="宋体" w:cs="宋体"/>
          <w:color w:val="auto"/>
          <w:sz w:val="21"/>
          <w:highlight w:val="none"/>
        </w:rPr>
        <w:t>知道或者应当知道之日起 10 日内向有关行政监督部门投诉。投诉应当有明确的请求和必要的证明材料。</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8.5.2</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人或者其他利害关系人对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文件、开标和</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结果提出投诉的，应当按照</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人须知第 2.4 款、第 5.3 款和第 7.2 款的规定先向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人提出异议。异议答复期间不计算在第 8.5.1项规定的期限内。</w:t>
      </w:r>
    </w:p>
    <w:p>
      <w:pPr>
        <w:keepNext/>
        <w:keepLines/>
        <w:snapToGrid w:val="0"/>
        <w:spacing w:after="156" w:afterLines="50" w:line="400" w:lineRule="exact"/>
        <w:rPr>
          <w:rFonts w:hint="eastAsia" w:ascii="宋体" w:hAnsi="宋体" w:eastAsia="宋体" w:cs="宋体"/>
          <w:b/>
          <w:bCs/>
          <w:color w:val="auto"/>
          <w:sz w:val="24"/>
          <w:szCs w:val="22"/>
          <w:highlight w:val="none"/>
        </w:rPr>
      </w:pPr>
    </w:p>
    <w:p>
      <w:pPr>
        <w:keepNext/>
        <w:keepLines/>
        <w:snapToGrid w:val="0"/>
        <w:spacing w:after="156" w:afterLines="50" w:line="400" w:lineRule="exact"/>
        <w:rPr>
          <w:rFonts w:hint="eastAsia" w:ascii="宋体" w:hAnsi="宋体" w:eastAsia="宋体" w:cs="宋体"/>
          <w:b/>
          <w:bCs/>
          <w:color w:val="auto"/>
          <w:sz w:val="24"/>
          <w:szCs w:val="22"/>
          <w:highlight w:val="none"/>
          <w:lang w:eastAsia="zh-CN"/>
        </w:rPr>
      </w:pPr>
      <w:bookmarkStart w:id="61" w:name="_Toc12231"/>
      <w:bookmarkStart w:id="62" w:name="_Toc1183"/>
      <w:bookmarkStart w:id="63" w:name="_Toc23541"/>
      <w:bookmarkStart w:id="64" w:name="_Toc32369"/>
      <w:bookmarkStart w:id="65" w:name="_Toc1276"/>
      <w:r>
        <w:rPr>
          <w:rFonts w:hint="eastAsia" w:ascii="宋体" w:hAnsi="宋体" w:eastAsia="宋体" w:cs="宋体"/>
          <w:b/>
          <w:bCs/>
          <w:color w:val="auto"/>
          <w:sz w:val="24"/>
          <w:szCs w:val="22"/>
          <w:highlight w:val="none"/>
        </w:rPr>
        <w:t>9</w:t>
      </w:r>
      <w:r>
        <w:rPr>
          <w:rFonts w:hint="eastAsia" w:ascii="宋体" w:hAnsi="宋体" w:eastAsia="宋体" w:cs="宋体"/>
          <w:b/>
          <w:bCs/>
          <w:color w:val="auto"/>
          <w:sz w:val="24"/>
          <w:szCs w:val="22"/>
          <w:highlight w:val="none"/>
          <w:lang w:val="en-US" w:eastAsia="zh-CN"/>
        </w:rPr>
        <w:t xml:space="preserve"> </w:t>
      </w:r>
      <w:r>
        <w:rPr>
          <w:rFonts w:hint="eastAsia" w:ascii="宋体" w:hAnsi="宋体" w:eastAsia="宋体" w:cs="宋体"/>
          <w:b/>
          <w:bCs/>
          <w:color w:val="auto"/>
          <w:sz w:val="24"/>
          <w:szCs w:val="22"/>
          <w:highlight w:val="none"/>
        </w:rPr>
        <w:t>是否采用电子</w:t>
      </w:r>
      <w:r>
        <w:rPr>
          <w:rFonts w:hint="eastAsia" w:ascii="宋体" w:hAnsi="宋体" w:eastAsia="宋体" w:cs="宋体"/>
          <w:b/>
          <w:bCs/>
          <w:color w:val="auto"/>
          <w:sz w:val="24"/>
          <w:szCs w:val="22"/>
          <w:highlight w:val="none"/>
          <w:lang w:eastAsia="zh-CN"/>
        </w:rPr>
        <w:t>比选</w:t>
      </w:r>
      <w:bookmarkEnd w:id="61"/>
      <w:bookmarkEnd w:id="62"/>
      <w:bookmarkEnd w:id="63"/>
      <w:r>
        <w:rPr>
          <w:rFonts w:hint="eastAsia" w:ascii="宋体" w:hAnsi="宋体" w:eastAsia="宋体" w:cs="宋体"/>
          <w:b/>
          <w:bCs/>
          <w:color w:val="auto"/>
          <w:sz w:val="24"/>
          <w:szCs w:val="22"/>
          <w:highlight w:val="none"/>
          <w:lang w:eastAsia="zh-CN"/>
        </w:rPr>
        <w:t>参选</w:t>
      </w:r>
      <w:bookmarkEnd w:id="64"/>
      <w:bookmarkEnd w:id="65"/>
    </w:p>
    <w:p>
      <w:pPr>
        <w:adjustRightInd w:val="0"/>
        <w:snapToGrid w:val="0"/>
        <w:spacing w:line="360" w:lineRule="auto"/>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本</w:t>
      </w:r>
      <w:r>
        <w:rPr>
          <w:rFonts w:hint="eastAsia" w:ascii="宋体" w:hAnsi="宋体" w:eastAsia="宋体" w:cs="宋体"/>
          <w:color w:val="auto"/>
          <w:sz w:val="21"/>
          <w:szCs w:val="22"/>
          <w:highlight w:val="none"/>
          <w:lang w:eastAsia="zh-CN"/>
        </w:rPr>
        <w:t>比选</w:t>
      </w:r>
      <w:r>
        <w:rPr>
          <w:rFonts w:hint="eastAsia" w:ascii="宋体" w:hAnsi="宋体" w:eastAsia="宋体" w:cs="宋体"/>
          <w:color w:val="auto"/>
          <w:sz w:val="21"/>
          <w:szCs w:val="22"/>
          <w:highlight w:val="none"/>
        </w:rPr>
        <w:t>项目是否采用电子</w:t>
      </w:r>
      <w:r>
        <w:rPr>
          <w:rFonts w:hint="eastAsia" w:ascii="宋体" w:hAnsi="宋体" w:eastAsia="宋体" w:cs="宋体"/>
          <w:color w:val="auto"/>
          <w:sz w:val="21"/>
          <w:szCs w:val="22"/>
          <w:highlight w:val="none"/>
          <w:lang w:eastAsia="zh-CN"/>
        </w:rPr>
        <w:t>比选参选</w:t>
      </w:r>
      <w:r>
        <w:rPr>
          <w:rFonts w:hint="eastAsia" w:ascii="宋体" w:hAnsi="宋体" w:eastAsia="宋体" w:cs="宋体"/>
          <w:color w:val="auto"/>
          <w:sz w:val="21"/>
          <w:szCs w:val="22"/>
          <w:highlight w:val="none"/>
        </w:rPr>
        <w:t>方式，见</w:t>
      </w:r>
      <w:r>
        <w:rPr>
          <w:rFonts w:hint="eastAsia" w:ascii="宋体" w:hAnsi="宋体" w:eastAsia="宋体" w:cs="宋体"/>
          <w:color w:val="auto"/>
          <w:sz w:val="21"/>
          <w:szCs w:val="22"/>
          <w:highlight w:val="none"/>
          <w:lang w:eastAsia="zh-CN"/>
        </w:rPr>
        <w:t>参选</w:t>
      </w:r>
      <w:r>
        <w:rPr>
          <w:rFonts w:hint="eastAsia" w:ascii="宋体" w:hAnsi="宋体" w:eastAsia="宋体" w:cs="宋体"/>
          <w:color w:val="auto"/>
          <w:sz w:val="21"/>
          <w:szCs w:val="22"/>
          <w:highlight w:val="none"/>
        </w:rPr>
        <w:t>人须知前附表。</w:t>
      </w:r>
    </w:p>
    <w:p>
      <w:pPr>
        <w:keepNext/>
        <w:keepLines/>
        <w:snapToGrid w:val="0"/>
        <w:spacing w:after="156" w:afterLines="50" w:line="400" w:lineRule="exact"/>
        <w:rPr>
          <w:rFonts w:hint="eastAsia" w:ascii="宋体" w:hAnsi="宋体" w:eastAsia="宋体" w:cs="宋体"/>
          <w:b/>
          <w:bCs/>
          <w:color w:val="auto"/>
          <w:sz w:val="24"/>
          <w:szCs w:val="22"/>
          <w:highlight w:val="none"/>
          <w:lang w:eastAsia="zh-CN"/>
        </w:rPr>
      </w:pPr>
      <w:bookmarkStart w:id="66" w:name="_Toc27384"/>
      <w:bookmarkStart w:id="67" w:name="_Toc8476"/>
      <w:bookmarkStart w:id="68" w:name="_Toc10470"/>
      <w:bookmarkStart w:id="69" w:name="_Toc5455"/>
      <w:bookmarkStart w:id="70" w:name="_Toc32154"/>
      <w:r>
        <w:rPr>
          <w:rFonts w:hint="eastAsia" w:ascii="宋体" w:hAnsi="宋体" w:eastAsia="宋体" w:cs="宋体"/>
          <w:b/>
          <w:bCs/>
          <w:color w:val="auto"/>
          <w:sz w:val="24"/>
          <w:szCs w:val="22"/>
          <w:highlight w:val="none"/>
          <w:lang w:eastAsia="zh-CN"/>
        </w:rPr>
        <w:t>10</w:t>
      </w:r>
      <w:r>
        <w:rPr>
          <w:rFonts w:hint="eastAsia" w:ascii="宋体" w:hAnsi="宋体" w:eastAsia="宋体" w:cs="宋体"/>
          <w:b/>
          <w:bCs/>
          <w:color w:val="auto"/>
          <w:sz w:val="24"/>
          <w:szCs w:val="22"/>
          <w:highlight w:val="none"/>
          <w:lang w:val="en-US" w:eastAsia="zh-CN"/>
        </w:rPr>
        <w:t xml:space="preserve"> </w:t>
      </w:r>
      <w:r>
        <w:rPr>
          <w:rFonts w:hint="eastAsia" w:ascii="宋体" w:hAnsi="宋体" w:eastAsia="宋体" w:cs="宋体"/>
          <w:b/>
          <w:bCs/>
          <w:color w:val="auto"/>
          <w:sz w:val="24"/>
          <w:szCs w:val="22"/>
          <w:highlight w:val="none"/>
          <w:lang w:eastAsia="zh-CN"/>
        </w:rPr>
        <w:t>需要补充的其他内容</w:t>
      </w:r>
      <w:bookmarkEnd w:id="66"/>
      <w:bookmarkEnd w:id="67"/>
      <w:bookmarkEnd w:id="68"/>
      <w:bookmarkEnd w:id="69"/>
      <w:bookmarkEnd w:id="70"/>
    </w:p>
    <w:p>
      <w:pPr>
        <w:tabs>
          <w:tab w:val="left" w:pos="1213"/>
        </w:tabs>
        <w:snapToGrid w:val="0"/>
        <w:spacing w:line="360" w:lineRule="auto"/>
        <w:ind w:firstLine="482"/>
        <w:rPr>
          <w:rFonts w:hint="eastAsia" w:ascii="宋体" w:hAnsi="宋体" w:eastAsia="宋体" w:cs="宋体"/>
          <w:color w:val="auto"/>
          <w:sz w:val="44"/>
          <w:highlight w:val="none"/>
        </w:rPr>
      </w:pPr>
      <w:r>
        <w:rPr>
          <w:rFonts w:hint="eastAsia" w:ascii="宋体" w:hAnsi="宋体" w:eastAsia="宋体" w:cs="宋体"/>
          <w:color w:val="auto"/>
          <w:sz w:val="21"/>
          <w:szCs w:val="22"/>
          <w:highlight w:val="none"/>
        </w:rPr>
        <w:t>需要补充的其他内容：见</w:t>
      </w:r>
      <w:r>
        <w:rPr>
          <w:rFonts w:hint="eastAsia" w:ascii="宋体" w:hAnsi="宋体" w:eastAsia="宋体" w:cs="宋体"/>
          <w:color w:val="auto"/>
          <w:sz w:val="21"/>
          <w:szCs w:val="22"/>
          <w:highlight w:val="none"/>
          <w:lang w:eastAsia="zh-CN"/>
        </w:rPr>
        <w:t>参选</w:t>
      </w:r>
      <w:r>
        <w:rPr>
          <w:rFonts w:hint="eastAsia" w:ascii="宋体" w:hAnsi="宋体" w:eastAsia="宋体" w:cs="宋体"/>
          <w:color w:val="auto"/>
          <w:sz w:val="21"/>
          <w:szCs w:val="22"/>
          <w:highlight w:val="none"/>
        </w:rPr>
        <w:t>人须知前附表。</w:t>
      </w:r>
      <w:r>
        <w:rPr>
          <w:rFonts w:hint="eastAsia" w:ascii="宋体" w:hAnsi="宋体" w:eastAsia="宋体" w:cs="宋体"/>
          <w:color w:val="auto"/>
          <w:sz w:val="21"/>
          <w:szCs w:val="22"/>
          <w:highlight w:val="none"/>
        </w:rPr>
        <w:br w:type="page"/>
      </w:r>
      <w:r>
        <w:rPr>
          <w:rFonts w:hint="eastAsia" w:ascii="宋体" w:hAnsi="宋体" w:eastAsia="宋体" w:cs="宋体"/>
          <w:color w:val="auto"/>
          <w:sz w:val="28"/>
          <w:highlight w:val="none"/>
        </w:rPr>
        <w:t>附件</w:t>
      </w:r>
      <w:r>
        <w:rPr>
          <w:rFonts w:hint="eastAsia" w:ascii="宋体" w:hAnsi="宋体" w:eastAsia="宋体" w:cs="宋体"/>
          <w:color w:val="auto"/>
          <w:sz w:val="28"/>
          <w:highlight w:val="none"/>
          <w:lang w:val="en-US" w:eastAsia="zh-CN"/>
        </w:rPr>
        <w:t>一</w:t>
      </w:r>
      <w:r>
        <w:rPr>
          <w:rFonts w:hint="eastAsia" w:ascii="宋体" w:hAnsi="宋体" w:eastAsia="宋体" w:cs="宋体"/>
          <w:color w:val="auto"/>
          <w:sz w:val="28"/>
          <w:highlight w:val="none"/>
        </w:rPr>
        <w:t xml:space="preserve"> ：问题澄清通知（格式）</w:t>
      </w:r>
    </w:p>
    <w:p>
      <w:pPr>
        <w:autoSpaceDE w:val="0"/>
        <w:autoSpaceDN w:val="0"/>
        <w:snapToGrid w:val="0"/>
        <w:spacing w:line="360" w:lineRule="auto"/>
        <w:ind w:firstLine="482"/>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问题澄清通知</w:t>
      </w:r>
    </w:p>
    <w:p>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编号：</w:t>
      </w:r>
    </w:p>
    <w:p>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参选</w:t>
      </w:r>
      <w:r>
        <w:rPr>
          <w:rFonts w:hint="eastAsia" w:ascii="宋体" w:hAnsi="宋体" w:eastAsia="宋体" w:cs="宋体"/>
          <w:color w:val="auto"/>
          <w:sz w:val="24"/>
          <w:highlight w:val="none"/>
        </w:rPr>
        <w:t>人名称）：</w:t>
      </w:r>
    </w:p>
    <w:p>
      <w:pPr>
        <w:autoSpaceDE w:val="0"/>
        <w:autoSpaceDN w:val="0"/>
        <w:snapToGrid w:val="0"/>
        <w:spacing w:line="360" w:lineRule="auto"/>
        <w:ind w:firstLine="1056" w:firstLineChars="44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评审</w:t>
      </w:r>
      <w:r>
        <w:rPr>
          <w:rFonts w:hint="eastAsia" w:ascii="宋体" w:hAnsi="宋体" w:eastAsia="宋体" w:cs="宋体"/>
          <w:color w:val="auto"/>
          <w:sz w:val="24"/>
          <w:highlight w:val="none"/>
        </w:rPr>
        <w:t>委员会，对你方的</w:t>
      </w:r>
      <w:r>
        <w:rPr>
          <w:rFonts w:hint="eastAsia" w:ascii="宋体" w:hAnsi="宋体" w:eastAsia="宋体" w:cs="宋体"/>
          <w:color w:val="auto"/>
          <w:sz w:val="24"/>
          <w:highlight w:val="none"/>
          <w:lang w:eastAsia="zh-CN"/>
        </w:rPr>
        <w:t>参选</w:t>
      </w:r>
      <w:r>
        <w:rPr>
          <w:rFonts w:hint="eastAsia" w:ascii="宋体" w:hAnsi="宋体" w:eastAsia="宋体" w:cs="宋体"/>
          <w:color w:val="auto"/>
          <w:sz w:val="24"/>
          <w:highlight w:val="none"/>
        </w:rPr>
        <w:t>文件进行了仔细的审查，现需你方对下列问题以书面形式予以澄清、说明或补正：</w:t>
      </w:r>
    </w:p>
    <w:p>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p>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p>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pPr>
        <w:autoSpaceDE w:val="0"/>
        <w:autoSpaceDN w:val="0"/>
        <w:snapToGrid w:val="0"/>
        <w:spacing w:line="360" w:lineRule="auto"/>
        <w:ind w:firstLine="482"/>
        <w:rPr>
          <w:rFonts w:hint="eastAsia" w:ascii="宋体" w:hAnsi="宋体" w:eastAsia="宋体" w:cs="宋体"/>
          <w:color w:val="auto"/>
          <w:sz w:val="24"/>
          <w:highlight w:val="none"/>
        </w:rPr>
      </w:pPr>
    </w:p>
    <w:p>
      <w:pPr>
        <w:autoSpaceDE w:val="0"/>
        <w:autoSpaceDN w:val="0"/>
        <w:snapToGrid w:val="0"/>
        <w:spacing w:line="360" w:lineRule="auto"/>
        <w:ind w:firstLine="482"/>
        <w:rPr>
          <w:rFonts w:hint="eastAsia" w:ascii="宋体" w:hAnsi="宋体" w:eastAsia="宋体" w:cs="宋体"/>
          <w:color w:val="auto"/>
          <w:sz w:val="24"/>
          <w:highlight w:val="none"/>
        </w:rPr>
      </w:pPr>
    </w:p>
    <w:p>
      <w:pPr>
        <w:pStyle w:val="19"/>
        <w:widowControl/>
        <w:autoSpaceDE w:val="0"/>
        <w:autoSpaceDN w:val="0"/>
        <w:snapToGrid w:val="0"/>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请将上述问题的澄清、说明或补正于＿＿＿＿年＿＿月＿＿日＿＿时前递交至＿＿＿＿＿＿＿＿＿＿＿＿ （详细地址）或传真至＿＿＿＿＿＿（传真号码）。采用传真方式的，应在＿＿＿＿年＿＿月＿＿日＿＿时前将原件递交至                      （详细地址）。</w:t>
      </w:r>
    </w:p>
    <w:p>
      <w:pPr>
        <w:autoSpaceDE w:val="0"/>
        <w:autoSpaceDN w:val="0"/>
        <w:snapToGrid w:val="0"/>
        <w:spacing w:line="360" w:lineRule="auto"/>
        <w:ind w:firstLine="482"/>
        <w:rPr>
          <w:rFonts w:hint="eastAsia" w:ascii="宋体" w:hAnsi="宋体" w:eastAsia="宋体" w:cs="宋体"/>
          <w:color w:val="auto"/>
          <w:sz w:val="24"/>
          <w:highlight w:val="none"/>
        </w:rPr>
      </w:pPr>
    </w:p>
    <w:p>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评审</w:t>
      </w:r>
      <w:r>
        <w:rPr>
          <w:rFonts w:hint="eastAsia" w:ascii="宋体" w:hAnsi="宋体" w:eastAsia="宋体" w:cs="宋体"/>
          <w:color w:val="auto"/>
          <w:sz w:val="24"/>
          <w:highlight w:val="none"/>
        </w:rPr>
        <w:t>委员会授权的</w:t>
      </w:r>
      <w:r>
        <w:rPr>
          <w:rFonts w:hint="eastAsia" w:ascii="宋体" w:hAnsi="宋体" w:eastAsia="宋体" w:cs="宋体"/>
          <w:color w:val="auto"/>
          <w:sz w:val="24"/>
          <w:highlight w:val="none"/>
          <w:lang w:eastAsia="zh-CN"/>
        </w:rPr>
        <w:t>比选</w:t>
      </w:r>
      <w:r>
        <w:rPr>
          <w:rFonts w:hint="eastAsia" w:ascii="宋体" w:hAnsi="宋体" w:eastAsia="宋体" w:cs="宋体"/>
          <w:color w:val="auto"/>
          <w:sz w:val="24"/>
          <w:highlight w:val="none"/>
        </w:rPr>
        <w:t>人或</w:t>
      </w:r>
      <w:r>
        <w:rPr>
          <w:rFonts w:hint="eastAsia" w:ascii="宋体" w:hAnsi="宋体" w:eastAsia="宋体" w:cs="宋体"/>
          <w:color w:val="auto"/>
          <w:sz w:val="24"/>
          <w:highlight w:val="none"/>
          <w:lang w:eastAsia="zh-CN"/>
        </w:rPr>
        <w:t>比选</w:t>
      </w:r>
      <w:r>
        <w:rPr>
          <w:rFonts w:hint="eastAsia" w:ascii="宋体" w:hAnsi="宋体" w:eastAsia="宋体" w:cs="宋体"/>
          <w:color w:val="auto"/>
          <w:sz w:val="24"/>
          <w:highlight w:val="none"/>
        </w:rPr>
        <w:t>代理机构： （签字或盖章）</w:t>
      </w:r>
    </w:p>
    <w:p>
      <w:pPr>
        <w:autoSpaceDE w:val="0"/>
        <w:autoSpaceDN w:val="0"/>
        <w:snapToGrid w:val="0"/>
        <w:spacing w:line="360" w:lineRule="auto"/>
        <w:ind w:firstLine="2733" w:firstLineChars="1139"/>
        <w:rPr>
          <w:rFonts w:hint="eastAsia" w:ascii="宋体" w:hAnsi="宋体" w:eastAsia="宋体" w:cs="宋体"/>
          <w:color w:val="auto"/>
          <w:sz w:val="24"/>
          <w:highlight w:val="none"/>
        </w:rPr>
      </w:pPr>
      <w:r>
        <w:rPr>
          <w:rFonts w:hint="eastAsia" w:ascii="宋体" w:hAnsi="宋体" w:eastAsia="宋体" w:cs="宋体"/>
          <w:color w:val="auto"/>
          <w:sz w:val="24"/>
          <w:highlight w:val="none"/>
        </w:rPr>
        <w:t>＿＿＿＿年＿＿月＿＿日</w:t>
      </w:r>
    </w:p>
    <w:p>
      <w:pPr>
        <w:autoSpaceDE w:val="0"/>
        <w:autoSpaceDN w:val="0"/>
        <w:snapToGrid w:val="0"/>
        <w:spacing w:line="360" w:lineRule="auto"/>
        <w:ind w:firstLine="482"/>
        <w:rPr>
          <w:rFonts w:hint="eastAsia" w:ascii="宋体" w:hAnsi="宋体" w:eastAsia="宋体" w:cs="宋体"/>
          <w:color w:val="auto"/>
          <w:sz w:val="28"/>
          <w:highlight w:val="none"/>
        </w:rPr>
      </w:pPr>
      <w:r>
        <w:rPr>
          <w:rFonts w:hint="eastAsia" w:ascii="宋体" w:hAnsi="宋体" w:eastAsia="宋体" w:cs="宋体"/>
          <w:color w:val="auto"/>
          <w:highlight w:val="none"/>
        </w:rPr>
        <w:br w:type="page"/>
      </w:r>
      <w:r>
        <w:rPr>
          <w:rFonts w:hint="eastAsia" w:ascii="宋体" w:hAnsi="宋体" w:eastAsia="宋体" w:cs="宋体"/>
          <w:color w:val="auto"/>
          <w:sz w:val="28"/>
          <w:highlight w:val="none"/>
          <w:lang w:eastAsia="zh-CN"/>
        </w:rPr>
        <w:t>比选</w:t>
      </w:r>
      <w:r>
        <w:rPr>
          <w:rFonts w:hint="eastAsia" w:ascii="宋体" w:hAnsi="宋体" w:eastAsia="宋体" w:cs="宋体"/>
          <w:color w:val="auto"/>
          <w:sz w:val="28"/>
          <w:highlight w:val="none"/>
        </w:rPr>
        <w:t xml:space="preserve">文件附件2  </w:t>
      </w:r>
      <w:r>
        <w:rPr>
          <w:rFonts w:hint="eastAsia" w:ascii="宋体" w:hAnsi="宋体" w:eastAsia="宋体" w:cs="宋体"/>
          <w:b/>
          <w:color w:val="auto"/>
          <w:sz w:val="28"/>
          <w:highlight w:val="none"/>
        </w:rPr>
        <w:t>问题的澄清（格式）</w:t>
      </w:r>
    </w:p>
    <w:p>
      <w:pPr>
        <w:autoSpaceDE w:val="0"/>
        <w:autoSpaceDN w:val="0"/>
        <w:snapToGrid w:val="0"/>
        <w:spacing w:line="360" w:lineRule="auto"/>
        <w:ind w:firstLine="482"/>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问题的澄清</w:t>
      </w:r>
    </w:p>
    <w:p>
      <w:pPr>
        <w:autoSpaceDE w:val="0"/>
        <w:autoSpaceDN w:val="0"/>
        <w:snapToGrid w:val="0"/>
        <w:spacing w:line="360" w:lineRule="auto"/>
        <w:ind w:firstLine="482"/>
        <w:rPr>
          <w:rFonts w:hint="eastAsia" w:ascii="宋体" w:hAnsi="宋体" w:eastAsia="宋体" w:cs="宋体"/>
          <w:color w:val="auto"/>
          <w:sz w:val="28"/>
          <w:highlight w:val="none"/>
        </w:rPr>
      </w:pPr>
    </w:p>
    <w:p>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编号：</w:t>
      </w:r>
    </w:p>
    <w:p>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比选评审</w:t>
      </w:r>
      <w:r>
        <w:rPr>
          <w:rFonts w:hint="eastAsia" w:ascii="宋体" w:hAnsi="宋体" w:eastAsia="宋体" w:cs="宋体"/>
          <w:color w:val="auto"/>
          <w:sz w:val="24"/>
          <w:highlight w:val="none"/>
        </w:rPr>
        <w:t>委员会：</w:t>
      </w:r>
    </w:p>
    <w:p>
      <w:pPr>
        <w:autoSpaceDE w:val="0"/>
        <w:autoSpaceDN w:val="0"/>
        <w:snapToGrid w:val="0"/>
        <w:spacing w:line="360" w:lineRule="auto"/>
        <w:ind w:firstLine="482"/>
        <w:rPr>
          <w:rFonts w:hint="eastAsia" w:ascii="宋体" w:hAnsi="宋体" w:eastAsia="宋体" w:cs="宋体"/>
          <w:color w:val="auto"/>
          <w:sz w:val="24"/>
          <w:highlight w:val="none"/>
        </w:rPr>
      </w:pPr>
    </w:p>
    <w:p>
      <w:pPr>
        <w:autoSpaceDE w:val="0"/>
        <w:autoSpaceDN w:val="0"/>
        <w:snapToGrid w:val="0"/>
        <w:spacing w:line="360" w:lineRule="auto"/>
        <w:ind w:firstLine="1056" w:firstLineChars="440"/>
        <w:rPr>
          <w:rFonts w:hint="eastAsia" w:ascii="宋体" w:hAnsi="宋体" w:eastAsia="宋体" w:cs="宋体"/>
          <w:color w:val="auto"/>
          <w:sz w:val="24"/>
          <w:highlight w:val="none"/>
        </w:rPr>
      </w:pPr>
      <w:r>
        <w:rPr>
          <w:rFonts w:hint="eastAsia" w:ascii="宋体" w:hAnsi="宋体" w:eastAsia="宋体" w:cs="宋体"/>
          <w:color w:val="auto"/>
          <w:sz w:val="24"/>
          <w:highlight w:val="none"/>
        </w:rPr>
        <w:t>问题澄清通知（编号：＿＿＿ ）已收悉，现澄清、说明或补正如下：</w:t>
      </w:r>
    </w:p>
    <w:p>
      <w:pPr>
        <w:autoSpaceDE w:val="0"/>
        <w:autoSpaceDN w:val="0"/>
        <w:snapToGrid w:val="0"/>
        <w:spacing w:line="360" w:lineRule="auto"/>
        <w:ind w:firstLine="14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p>
      <w:pPr>
        <w:autoSpaceDE w:val="0"/>
        <w:autoSpaceDN w:val="0"/>
        <w:snapToGrid w:val="0"/>
        <w:spacing w:line="360" w:lineRule="auto"/>
        <w:ind w:firstLine="14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p>
      <w:pPr>
        <w:autoSpaceDE w:val="0"/>
        <w:autoSpaceDN w:val="0"/>
        <w:snapToGrid w:val="0"/>
        <w:spacing w:line="360" w:lineRule="auto"/>
        <w:ind w:firstLine="14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pPr>
        <w:autoSpaceDE w:val="0"/>
        <w:autoSpaceDN w:val="0"/>
        <w:snapToGrid w:val="0"/>
        <w:spacing w:line="360" w:lineRule="auto"/>
        <w:ind w:firstLine="482"/>
        <w:rPr>
          <w:rFonts w:hint="eastAsia" w:ascii="宋体" w:hAnsi="宋体" w:eastAsia="宋体" w:cs="宋体"/>
          <w:color w:val="auto"/>
          <w:sz w:val="24"/>
          <w:highlight w:val="none"/>
        </w:rPr>
      </w:pPr>
    </w:p>
    <w:p>
      <w:pPr>
        <w:pStyle w:val="19"/>
        <w:widowControl/>
        <w:rPr>
          <w:rFonts w:hint="eastAsia" w:ascii="宋体" w:hAnsi="宋体" w:eastAsia="宋体" w:cs="宋体"/>
          <w:color w:val="auto"/>
          <w:szCs w:val="24"/>
          <w:highlight w:val="none"/>
        </w:rPr>
      </w:pPr>
      <w:r>
        <w:rPr>
          <w:rFonts w:hint="eastAsia" w:ascii="宋体" w:hAnsi="宋体" w:eastAsia="宋体" w:cs="宋体"/>
          <w:color w:val="auto"/>
          <w:szCs w:val="24"/>
          <w:highlight w:val="none"/>
        </w:rPr>
        <w:t>上述问题澄清、说明或补正，不改变我方</w:t>
      </w:r>
      <w:r>
        <w:rPr>
          <w:rFonts w:hint="eastAsia" w:ascii="宋体" w:hAnsi="宋体" w:eastAsia="宋体" w:cs="宋体"/>
          <w:color w:val="auto"/>
          <w:szCs w:val="24"/>
          <w:highlight w:val="none"/>
          <w:lang w:eastAsia="zh-CN"/>
        </w:rPr>
        <w:t>参选</w:t>
      </w:r>
      <w:r>
        <w:rPr>
          <w:rFonts w:hint="eastAsia" w:ascii="宋体" w:hAnsi="宋体" w:eastAsia="宋体" w:cs="宋体"/>
          <w:color w:val="auto"/>
          <w:szCs w:val="24"/>
          <w:highlight w:val="none"/>
        </w:rPr>
        <w:t>文件的实质性内容，构成我方</w:t>
      </w:r>
      <w:r>
        <w:rPr>
          <w:rFonts w:hint="eastAsia" w:ascii="宋体" w:hAnsi="宋体" w:eastAsia="宋体" w:cs="宋体"/>
          <w:color w:val="auto"/>
          <w:szCs w:val="24"/>
          <w:highlight w:val="none"/>
          <w:lang w:eastAsia="zh-CN"/>
        </w:rPr>
        <w:t>参选</w:t>
      </w:r>
      <w:r>
        <w:rPr>
          <w:rFonts w:hint="eastAsia" w:ascii="宋体" w:hAnsi="宋体" w:eastAsia="宋体" w:cs="宋体"/>
          <w:color w:val="auto"/>
          <w:szCs w:val="24"/>
          <w:highlight w:val="none"/>
        </w:rPr>
        <w:t>文件的组成部分。</w:t>
      </w:r>
    </w:p>
    <w:p>
      <w:pPr>
        <w:autoSpaceDE w:val="0"/>
        <w:autoSpaceDN w:val="0"/>
        <w:snapToGrid w:val="0"/>
        <w:spacing w:line="360" w:lineRule="auto"/>
        <w:ind w:firstLine="482"/>
        <w:rPr>
          <w:rFonts w:hint="eastAsia" w:ascii="宋体" w:hAnsi="宋体" w:eastAsia="宋体" w:cs="宋体"/>
          <w:color w:val="auto"/>
          <w:sz w:val="24"/>
          <w:highlight w:val="none"/>
        </w:rPr>
      </w:pPr>
    </w:p>
    <w:p>
      <w:pPr>
        <w:autoSpaceDE w:val="0"/>
        <w:autoSpaceDN w:val="0"/>
        <w:snapToGrid w:val="0"/>
        <w:spacing w:line="360" w:lineRule="auto"/>
        <w:ind w:firstLine="482"/>
        <w:rPr>
          <w:rFonts w:hint="eastAsia" w:ascii="宋体" w:hAnsi="宋体" w:eastAsia="宋体" w:cs="宋体"/>
          <w:color w:val="auto"/>
          <w:sz w:val="24"/>
          <w:highlight w:val="none"/>
        </w:rPr>
      </w:pPr>
    </w:p>
    <w:p>
      <w:pPr>
        <w:autoSpaceDE w:val="0"/>
        <w:autoSpaceDN w:val="0"/>
        <w:snapToGrid w:val="0"/>
        <w:spacing w:line="360" w:lineRule="auto"/>
        <w:ind w:firstLine="2798" w:firstLineChars="1166"/>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w:t>
      </w:r>
      <w:r>
        <w:rPr>
          <w:rFonts w:hint="eastAsia" w:ascii="宋体" w:hAnsi="宋体" w:eastAsia="宋体" w:cs="宋体"/>
          <w:color w:val="auto"/>
          <w:sz w:val="24"/>
          <w:highlight w:val="none"/>
        </w:rPr>
        <w:t>人：＿＿＿＿＿＿＿＿＿＿＿ （盖单位公章）</w:t>
      </w:r>
    </w:p>
    <w:p>
      <w:pPr>
        <w:pStyle w:val="19"/>
        <w:widowControl/>
        <w:autoSpaceDE w:val="0"/>
        <w:autoSpaceDN w:val="0"/>
        <w:snapToGrid w:val="0"/>
        <w:spacing w:line="360" w:lineRule="auto"/>
        <w:ind w:firstLine="2798" w:firstLineChars="1166"/>
        <w:rPr>
          <w:rFonts w:hint="eastAsia" w:ascii="宋体" w:hAnsi="宋体" w:eastAsia="宋体" w:cs="宋体"/>
          <w:color w:val="auto"/>
          <w:highlight w:val="none"/>
        </w:rPr>
      </w:pPr>
      <w:r>
        <w:rPr>
          <w:rFonts w:hint="eastAsia" w:ascii="宋体" w:hAnsi="宋体" w:eastAsia="宋体" w:cs="宋体"/>
          <w:color w:val="auto"/>
          <w:szCs w:val="24"/>
          <w:highlight w:val="none"/>
        </w:rPr>
        <w:t>法定代表人（单位负责人）或其委托代理人：</w:t>
      </w:r>
      <w:r>
        <w:rPr>
          <w:rFonts w:hint="eastAsia" w:ascii="宋体" w:hAnsi="宋体" w:eastAsia="宋体" w:cs="宋体"/>
          <w:color w:val="auto"/>
          <w:highlight w:val="none"/>
        </w:rPr>
        <w:t>＿＿ （签字）</w:t>
      </w:r>
    </w:p>
    <w:p>
      <w:pPr>
        <w:autoSpaceDE w:val="0"/>
        <w:autoSpaceDN w:val="0"/>
        <w:snapToGrid w:val="0"/>
        <w:spacing w:line="360" w:lineRule="auto"/>
        <w:ind w:firstLine="4228" w:firstLineChars="1762"/>
        <w:rPr>
          <w:rFonts w:hint="eastAsia" w:ascii="宋体" w:hAnsi="宋体" w:eastAsia="宋体" w:cs="宋体"/>
          <w:color w:val="auto"/>
          <w:sz w:val="24"/>
          <w:highlight w:val="none"/>
        </w:rPr>
      </w:pPr>
      <w:r>
        <w:rPr>
          <w:rFonts w:hint="eastAsia" w:ascii="宋体" w:hAnsi="宋体" w:eastAsia="宋体" w:cs="宋体"/>
          <w:color w:val="auto"/>
          <w:sz w:val="24"/>
          <w:highlight w:val="none"/>
        </w:rPr>
        <w:t>＿＿＿年＿＿月＿＿日</w:t>
      </w:r>
    </w:p>
    <w:p>
      <w:pPr>
        <w:autoSpaceDE w:val="0"/>
        <w:autoSpaceDN w:val="0"/>
        <w:snapToGrid w:val="0"/>
        <w:spacing w:line="360" w:lineRule="auto"/>
        <w:ind w:firstLine="482"/>
        <w:rPr>
          <w:rFonts w:hint="eastAsia" w:ascii="宋体" w:hAnsi="宋体" w:eastAsia="宋体" w:cs="宋体"/>
          <w:color w:val="auto"/>
          <w:sz w:val="24"/>
          <w:highlight w:val="none"/>
        </w:rPr>
      </w:pPr>
    </w:p>
    <w:p>
      <w:pPr>
        <w:autoSpaceDE w:val="0"/>
        <w:autoSpaceDN w:val="0"/>
        <w:snapToGrid w:val="0"/>
        <w:spacing w:line="360" w:lineRule="auto"/>
        <w:ind w:firstLine="482"/>
        <w:rPr>
          <w:rFonts w:hint="eastAsia" w:ascii="宋体" w:hAnsi="宋体" w:eastAsia="宋体" w:cs="宋体"/>
          <w:color w:val="auto"/>
          <w:sz w:val="24"/>
          <w:highlight w:val="none"/>
        </w:rPr>
      </w:pPr>
    </w:p>
    <w:p>
      <w:pPr>
        <w:autoSpaceDE w:val="0"/>
        <w:autoSpaceDN w:val="0"/>
        <w:snapToGrid w:val="0"/>
        <w:spacing w:line="360" w:lineRule="auto"/>
        <w:ind w:firstLine="482"/>
        <w:rPr>
          <w:rFonts w:hint="eastAsia" w:ascii="宋体" w:hAnsi="宋体" w:eastAsia="宋体" w:cs="宋体"/>
          <w:color w:val="auto"/>
          <w:sz w:val="24"/>
          <w:highlight w:val="none"/>
        </w:rPr>
      </w:pPr>
    </w:p>
    <w:p>
      <w:pPr>
        <w:autoSpaceDE w:val="0"/>
        <w:autoSpaceDN w:val="0"/>
        <w:snapToGrid w:val="0"/>
        <w:spacing w:line="360" w:lineRule="auto"/>
        <w:ind w:firstLine="482"/>
        <w:rPr>
          <w:rFonts w:hint="eastAsia" w:ascii="宋体" w:hAnsi="宋体" w:eastAsia="宋体" w:cs="宋体"/>
          <w:color w:val="auto"/>
          <w:sz w:val="24"/>
          <w:highlight w:val="none"/>
        </w:rPr>
      </w:pPr>
    </w:p>
    <w:p>
      <w:pPr>
        <w:autoSpaceDE w:val="0"/>
        <w:autoSpaceDN w:val="0"/>
        <w:snapToGrid w:val="0"/>
        <w:spacing w:line="360" w:lineRule="auto"/>
        <w:ind w:firstLine="482"/>
        <w:rPr>
          <w:rFonts w:hint="eastAsia" w:ascii="宋体" w:hAnsi="宋体" w:eastAsia="宋体" w:cs="宋体"/>
          <w:color w:val="auto"/>
          <w:sz w:val="24"/>
          <w:highlight w:val="none"/>
        </w:rPr>
      </w:pPr>
    </w:p>
    <w:p>
      <w:pPr>
        <w:autoSpaceDE w:val="0"/>
        <w:autoSpaceDN w:val="0"/>
        <w:snapToGrid w:val="0"/>
        <w:spacing w:line="360" w:lineRule="auto"/>
        <w:ind w:firstLine="482"/>
        <w:rPr>
          <w:rFonts w:hint="eastAsia" w:ascii="宋体" w:hAnsi="宋体" w:eastAsia="宋体" w:cs="宋体"/>
          <w:color w:val="auto"/>
          <w:sz w:val="24"/>
          <w:highlight w:val="none"/>
        </w:rPr>
      </w:pPr>
    </w:p>
    <w:p>
      <w:pPr>
        <w:autoSpaceDE w:val="0"/>
        <w:autoSpaceDN w:val="0"/>
        <w:snapToGrid w:val="0"/>
        <w:spacing w:line="360" w:lineRule="auto"/>
        <w:ind w:firstLine="482"/>
        <w:rPr>
          <w:rFonts w:hint="eastAsia" w:ascii="宋体" w:hAnsi="宋体" w:eastAsia="宋体" w:cs="宋体"/>
          <w:color w:val="auto"/>
          <w:sz w:val="24"/>
          <w:highlight w:val="none"/>
        </w:rPr>
      </w:pPr>
    </w:p>
    <w:p>
      <w:pPr>
        <w:autoSpaceDE w:val="0"/>
        <w:autoSpaceDN w:val="0"/>
        <w:snapToGrid w:val="0"/>
        <w:spacing w:line="360" w:lineRule="auto"/>
        <w:ind w:firstLine="482"/>
        <w:rPr>
          <w:rFonts w:hint="eastAsia" w:ascii="宋体" w:hAnsi="宋体" w:eastAsia="宋体" w:cs="宋体"/>
          <w:color w:val="auto"/>
          <w:sz w:val="24"/>
          <w:highlight w:val="none"/>
        </w:rPr>
      </w:pPr>
    </w:p>
    <w:p>
      <w:pPr>
        <w:autoSpaceDE w:val="0"/>
        <w:autoSpaceDN w:val="0"/>
        <w:snapToGrid w:val="0"/>
        <w:spacing w:line="360" w:lineRule="auto"/>
        <w:ind w:firstLine="482"/>
        <w:rPr>
          <w:rFonts w:hint="eastAsia" w:ascii="宋体" w:hAnsi="宋体" w:eastAsia="宋体" w:cs="宋体"/>
          <w:color w:val="auto"/>
          <w:sz w:val="24"/>
          <w:highlight w:val="none"/>
        </w:rPr>
      </w:pPr>
    </w:p>
    <w:p>
      <w:pPr>
        <w:autoSpaceDE w:val="0"/>
        <w:autoSpaceDN w:val="0"/>
        <w:snapToGrid w:val="0"/>
        <w:spacing w:line="360" w:lineRule="auto"/>
        <w:ind w:firstLine="482"/>
        <w:rPr>
          <w:rFonts w:hint="eastAsia" w:ascii="宋体" w:hAnsi="宋体" w:eastAsia="宋体" w:cs="宋体"/>
          <w:color w:val="auto"/>
          <w:sz w:val="24"/>
          <w:highlight w:val="none"/>
        </w:rPr>
      </w:pPr>
    </w:p>
    <w:p>
      <w:pPr>
        <w:pStyle w:val="5"/>
        <w:numPr>
          <w:ilvl w:val="0"/>
          <w:numId w:val="0"/>
        </w:numPr>
        <w:tabs>
          <w:tab w:val="clear" w:pos="600"/>
        </w:tabs>
        <w:ind w:left="240" w:firstLine="0"/>
        <w:jc w:val="center"/>
        <w:rPr>
          <w:rFonts w:hint="eastAsia" w:ascii="宋体" w:hAnsi="宋体" w:eastAsia="宋体" w:cs="宋体"/>
          <w:bCs w:val="0"/>
          <w:color w:val="auto"/>
          <w:sz w:val="30"/>
          <w:szCs w:val="30"/>
          <w:highlight w:val="none"/>
        </w:rPr>
      </w:pPr>
      <w:bookmarkStart w:id="71" w:name="_Toc7362"/>
      <w:bookmarkStart w:id="72" w:name="_Toc505868062"/>
      <w:bookmarkStart w:id="73" w:name="_Toc26467"/>
      <w:bookmarkStart w:id="74" w:name="_Toc9901"/>
      <w:bookmarkStart w:id="75" w:name="_Toc31657_WPSOffice_Level1"/>
      <w:bookmarkStart w:id="76" w:name="_Toc2110"/>
      <w:bookmarkStart w:id="77" w:name="_Toc26273"/>
      <w:bookmarkStart w:id="78" w:name="_Toc27321"/>
      <w:bookmarkStart w:id="79" w:name="_Toc29031"/>
      <w:bookmarkStart w:id="80" w:name="_Toc5630"/>
      <w:bookmarkStart w:id="81" w:name="_Toc12775_WPSOffice_Level1"/>
      <w:r>
        <w:rPr>
          <w:rFonts w:hint="eastAsia" w:ascii="宋体" w:hAnsi="宋体" w:eastAsia="宋体" w:cs="宋体"/>
          <w:bCs w:val="0"/>
          <w:color w:val="auto"/>
          <w:sz w:val="30"/>
          <w:szCs w:val="30"/>
          <w:highlight w:val="none"/>
        </w:rPr>
        <w:t xml:space="preserve">第三章 </w:t>
      </w:r>
      <w:r>
        <w:rPr>
          <w:rFonts w:hint="eastAsia" w:ascii="宋体" w:hAnsi="宋体" w:eastAsia="宋体" w:cs="宋体"/>
          <w:bCs w:val="0"/>
          <w:color w:val="auto"/>
          <w:sz w:val="30"/>
          <w:szCs w:val="30"/>
          <w:highlight w:val="none"/>
          <w:lang w:val="en-US" w:eastAsia="zh-CN"/>
        </w:rPr>
        <w:t>评审</w:t>
      </w:r>
      <w:r>
        <w:rPr>
          <w:rFonts w:hint="eastAsia" w:ascii="宋体" w:hAnsi="宋体" w:eastAsia="宋体" w:cs="宋体"/>
          <w:bCs w:val="0"/>
          <w:color w:val="auto"/>
          <w:sz w:val="30"/>
          <w:szCs w:val="30"/>
          <w:highlight w:val="none"/>
        </w:rPr>
        <w:t>办法（最低投标价法）</w:t>
      </w:r>
      <w:bookmarkEnd w:id="71"/>
      <w:bookmarkEnd w:id="72"/>
      <w:bookmarkEnd w:id="73"/>
      <w:bookmarkEnd w:id="74"/>
      <w:bookmarkEnd w:id="75"/>
      <w:bookmarkEnd w:id="76"/>
      <w:bookmarkEnd w:id="77"/>
      <w:bookmarkEnd w:id="78"/>
      <w:bookmarkEnd w:id="79"/>
      <w:bookmarkEnd w:id="80"/>
      <w:bookmarkEnd w:id="81"/>
    </w:p>
    <w:p>
      <w:pPr>
        <w:pStyle w:val="6"/>
        <w:adjustRightInd w:val="0"/>
        <w:snapToGrid w:val="0"/>
        <w:spacing w:before="0" w:after="0" w:line="360" w:lineRule="auto"/>
        <w:rPr>
          <w:rFonts w:hint="eastAsia" w:ascii="宋体" w:hAnsi="宋体" w:eastAsia="宋体" w:cs="宋体"/>
          <w:color w:val="auto"/>
          <w:sz w:val="21"/>
          <w:szCs w:val="21"/>
          <w:highlight w:val="none"/>
        </w:rPr>
      </w:pPr>
      <w:bookmarkStart w:id="82" w:name="_Toc1347"/>
      <w:bookmarkStart w:id="83" w:name="_Toc428439631"/>
      <w:bookmarkStart w:id="84" w:name="_Toc408317835"/>
      <w:bookmarkStart w:id="85" w:name="_Toc16617"/>
      <w:bookmarkStart w:id="86" w:name="_Toc1952_WPSOffice_Level2"/>
      <w:bookmarkStart w:id="87" w:name="_Toc505868063"/>
      <w:bookmarkStart w:id="88" w:name="_Toc3015"/>
      <w:bookmarkStart w:id="89" w:name="_Toc18609"/>
      <w:bookmarkStart w:id="90" w:name="_Toc15147"/>
      <w:bookmarkStart w:id="91" w:name="_Toc31508_WPSOffice_Level2"/>
      <w:r>
        <w:rPr>
          <w:rFonts w:hint="eastAsia" w:ascii="宋体" w:hAnsi="宋体" w:eastAsia="宋体" w:cs="宋体"/>
          <w:color w:val="auto"/>
          <w:sz w:val="21"/>
          <w:szCs w:val="21"/>
          <w:highlight w:val="none"/>
        </w:rPr>
        <w:t>评审办法前附表</w:t>
      </w:r>
      <w:bookmarkEnd w:id="82"/>
      <w:bookmarkEnd w:id="83"/>
      <w:bookmarkEnd w:id="84"/>
      <w:bookmarkEnd w:id="85"/>
      <w:bookmarkEnd w:id="86"/>
      <w:bookmarkEnd w:id="87"/>
      <w:bookmarkEnd w:id="88"/>
      <w:bookmarkEnd w:id="89"/>
      <w:bookmarkEnd w:id="90"/>
      <w:bookmarkEnd w:id="91"/>
    </w:p>
    <w:tbl>
      <w:tblPr>
        <w:tblStyle w:val="23"/>
        <w:tblW w:w="9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882"/>
        <w:gridCol w:w="1657"/>
        <w:gridCol w:w="6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623" w:type="dxa"/>
            <w:gridSpan w:val="2"/>
            <w:noWrap w:val="0"/>
            <w:vAlign w:val="center"/>
          </w:tcPr>
          <w:p>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1657" w:type="dxa"/>
            <w:noWrap w:val="0"/>
            <w:vAlign w:val="center"/>
          </w:tcPr>
          <w:p>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6489" w:type="dxa"/>
            <w:noWrap w:val="0"/>
            <w:vAlign w:val="center"/>
          </w:tcPr>
          <w:p>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41" w:type="dxa"/>
            <w:noWrap w:val="0"/>
            <w:vAlign w:val="center"/>
          </w:tcPr>
          <w:p>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82" w:type="dxa"/>
            <w:noWrap w:val="0"/>
            <w:textDirection w:val="tbRlV"/>
            <w:vAlign w:val="center"/>
          </w:tcPr>
          <w:p>
            <w:pPr>
              <w:adjustRightInd/>
              <w:snapToGrid/>
              <w:spacing w:beforeLines="0" w:afterLines="0" w:line="400" w:lineRule="exact"/>
              <w:rPr>
                <w:rFonts w:hint="eastAsia" w:ascii="宋体" w:hAnsi="宋体" w:eastAsia="宋体" w:cs="宋体"/>
                <w:color w:val="auto"/>
                <w:sz w:val="21"/>
                <w:szCs w:val="21"/>
                <w:highlight w:val="none"/>
              </w:rPr>
            </w:pPr>
          </w:p>
          <w:p>
            <w:pPr>
              <w:adjustRightInd/>
              <w:snapToGrid/>
              <w:spacing w:beforeLines="0" w:afterLines="0" w:line="400" w:lineRule="exact"/>
              <w:rPr>
                <w:rFonts w:hint="eastAsia" w:ascii="宋体" w:hAnsi="宋体" w:eastAsia="宋体" w:cs="宋体"/>
                <w:color w:val="auto"/>
                <w:sz w:val="21"/>
                <w:szCs w:val="21"/>
                <w:highlight w:val="none"/>
              </w:rPr>
            </w:pPr>
          </w:p>
          <w:p>
            <w:pPr>
              <w:adjustRightInd/>
              <w:snapToGrid/>
              <w:spacing w:beforeLines="0" w:afterLines="0" w:line="400" w:lineRule="exact"/>
              <w:rPr>
                <w:rFonts w:hint="eastAsia" w:ascii="宋体" w:hAnsi="宋体" w:eastAsia="宋体" w:cs="宋体"/>
                <w:color w:val="auto"/>
                <w:sz w:val="21"/>
                <w:szCs w:val="21"/>
                <w:highlight w:val="none"/>
              </w:rPr>
            </w:pPr>
          </w:p>
          <w:p>
            <w:pPr>
              <w:adjustRightInd/>
              <w:snapToGrid/>
              <w:spacing w:beforeLines="0" w:afterLines="0" w:line="400" w:lineRule="exact"/>
              <w:ind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方法</w:t>
            </w:r>
          </w:p>
          <w:p>
            <w:pPr>
              <w:adjustRightInd/>
              <w:snapToGrid/>
              <w:spacing w:beforeLines="0" w:afterLines="0" w:line="400" w:lineRule="exact"/>
              <w:rPr>
                <w:rFonts w:hint="eastAsia" w:ascii="宋体" w:hAnsi="宋体" w:eastAsia="宋体" w:cs="宋体"/>
                <w:color w:val="auto"/>
                <w:sz w:val="21"/>
                <w:szCs w:val="21"/>
                <w:highlight w:val="none"/>
              </w:rPr>
            </w:pPr>
          </w:p>
          <w:p>
            <w:pPr>
              <w:adjustRightInd/>
              <w:snapToGrid/>
              <w:spacing w:beforeLines="0" w:afterLines="0" w:line="400" w:lineRule="exact"/>
              <w:rPr>
                <w:rFonts w:hint="eastAsia" w:ascii="宋体" w:hAnsi="宋体" w:eastAsia="宋体" w:cs="宋体"/>
                <w:color w:val="auto"/>
                <w:sz w:val="21"/>
                <w:szCs w:val="21"/>
                <w:highlight w:val="none"/>
              </w:rPr>
            </w:pPr>
          </w:p>
          <w:p>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pPr>
              <w:adjustRightInd/>
              <w:snapToGrid/>
              <w:spacing w:beforeLines="0" w:afterLines="0"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中选候选人排序方法</w:t>
            </w:r>
          </w:p>
        </w:tc>
        <w:tc>
          <w:tcPr>
            <w:tcW w:w="6489" w:type="dxa"/>
            <w:noWrap w:val="0"/>
            <w:vAlign w:val="center"/>
          </w:tcPr>
          <w:p>
            <w:pPr>
              <w:keepNext w:val="0"/>
              <w:keepLines w:val="0"/>
              <w:pageBreakBefore w:val="0"/>
              <w:numPr>
                <w:ilvl w:val="-1"/>
                <w:numId w:val="0"/>
              </w:numPr>
              <w:kinsoku/>
              <w:wordWrap/>
              <w:overflowPunct/>
              <w:topLinePunct w:val="0"/>
              <w:autoSpaceDE/>
              <w:autoSpaceDN/>
              <w:bidi w:val="0"/>
              <w:adjustRightInd/>
              <w:snapToGrid/>
              <w:spacing w:line="48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本次评审采用</w:t>
            </w:r>
            <w:r>
              <w:rPr>
                <w:rFonts w:hint="eastAsia" w:ascii="宋体" w:hAnsi="宋体" w:eastAsia="宋体" w:cs="宋体"/>
                <w:color w:val="auto"/>
                <w:sz w:val="21"/>
                <w:szCs w:val="21"/>
                <w:highlight w:val="none"/>
                <w:lang w:val="en-US" w:eastAsia="zh-CN"/>
              </w:rPr>
              <w:t>经评审的最低投标价法</w:t>
            </w:r>
            <w:r>
              <w:rPr>
                <w:rFonts w:hint="eastAsia" w:ascii="宋体" w:hAnsi="宋体" w:eastAsia="宋体" w:cs="宋体"/>
                <w:color w:val="auto"/>
                <w:sz w:val="21"/>
                <w:szCs w:val="21"/>
                <w:highlight w:val="none"/>
              </w:rPr>
              <w:t>。</w:t>
            </w:r>
          </w:p>
          <w:p>
            <w:pPr>
              <w:keepNext w:val="0"/>
              <w:keepLines w:val="0"/>
              <w:pageBreakBefore w:val="0"/>
              <w:numPr>
                <w:ilvl w:val="-1"/>
                <w:numId w:val="0"/>
              </w:numPr>
              <w:kinsoku/>
              <w:wordWrap/>
              <w:overflowPunct/>
              <w:topLinePunct w:val="0"/>
              <w:autoSpaceDE/>
              <w:autoSpaceDN/>
              <w:bidi w:val="0"/>
              <w:adjustRightInd/>
              <w:snapToGrid/>
              <w:spacing w:line="480" w:lineRule="exact"/>
              <w:ind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不含税总价评标基准价计算方法：所有通过初步评审的比选单位的不含税总价的算术平均值作为不含税总价的评标基准价。在评标基准价计算完成后（除计算错误外），在后续的评审过程中不得再对其做出调整。</w:t>
            </w:r>
          </w:p>
          <w:p>
            <w:pPr>
              <w:keepNext w:val="0"/>
              <w:keepLines w:val="0"/>
              <w:pageBreakBefore w:val="0"/>
              <w:numPr>
                <w:ilvl w:val="-1"/>
                <w:numId w:val="0"/>
              </w:numPr>
              <w:kinsoku/>
              <w:wordWrap/>
              <w:overflowPunct/>
              <w:topLinePunct w:val="0"/>
              <w:autoSpaceDE/>
              <w:autoSpaceDN/>
              <w:bidi w:val="0"/>
              <w:adjustRightInd/>
              <w:snapToGrid/>
              <w:spacing w:line="480" w:lineRule="exact"/>
              <w:ind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（2）不合理低价判定：不含税总价比评标基准价低10%以上的，不参与后续报价排序，不被推荐为中选候选人。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0" w:firstLine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（3）含税总价排序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0" w:firstLine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①按照剩余合格比选单位的含税总价由低到高依次排序推荐中选候选人，在合格评标基准价范围内，推荐含税总价最低的比选单位作为第一候选人，以此类推。</w:t>
            </w:r>
          </w:p>
          <w:p>
            <w:pPr>
              <w:numPr>
                <w:ilvl w:val="0"/>
                <w:numId w:val="0"/>
              </w:numPr>
              <w:adjustRightInd/>
              <w:snapToGrid/>
              <w:spacing w:beforeLines="-2147483648" w:afterLines="-2147483648" w:line="480" w:lineRule="exac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②若出现两家及以上比选单位含税总价相同且最低的情况，须现场进行二次报价，直至出现价差为止，对未中选情况不做解释</w:t>
            </w:r>
            <w:r>
              <w:rPr>
                <w:rFonts w:hint="eastAsia" w:ascii="宋体" w:hAnsi="宋体" w:eastAsia="宋体" w:cs="宋体"/>
                <w:color w:val="auto"/>
                <w:spacing w:val="0"/>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41" w:type="dxa"/>
            <w:noWrap w:val="0"/>
            <w:vAlign w:val="center"/>
          </w:tcPr>
          <w:p>
            <w:pPr>
              <w:adjustRightInd/>
              <w:snapToGrid/>
              <w:spacing w:beforeLines="0" w:afterLines="0" w:line="40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w:t>
            </w:r>
          </w:p>
        </w:tc>
        <w:tc>
          <w:tcPr>
            <w:tcW w:w="882" w:type="dxa"/>
            <w:noWrap w:val="0"/>
            <w:textDirection w:val="tbRlV"/>
            <w:vAlign w:val="center"/>
          </w:tcPr>
          <w:p>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shd w:val="clear" w:color="auto" w:fill="auto"/>
            <w:noWrap w:val="0"/>
            <w:vAlign w:val="center"/>
          </w:tcPr>
          <w:p>
            <w:pPr>
              <w:spacing w:line="400" w:lineRule="exact"/>
              <w:jc w:val="center"/>
              <w:rPr>
                <w:rFonts w:hint="eastAsia" w:ascii="宋体" w:hAnsi="宋体" w:eastAsia="宋体" w:cs="Times New Roman"/>
                <w:color w:val="auto"/>
                <w:kern w:val="0"/>
                <w:highlight w:val="none"/>
                <w:lang w:val="en-US" w:eastAsia="zh-CN" w:bidi="ar-SA"/>
              </w:rPr>
            </w:pPr>
            <w:r>
              <w:rPr>
                <w:rFonts w:hint="eastAsia" w:ascii="宋体" w:hAnsi="宋体"/>
                <w:color w:val="auto"/>
                <w:kern w:val="0"/>
                <w:highlight w:val="none"/>
              </w:rPr>
              <w:t>符合性审查</w:t>
            </w:r>
          </w:p>
        </w:tc>
        <w:tc>
          <w:tcPr>
            <w:tcW w:w="6489" w:type="dxa"/>
            <w:shd w:val="clear" w:color="auto" w:fill="auto"/>
            <w:noWrap w:val="0"/>
            <w:vAlign w:val="center"/>
          </w:tcPr>
          <w:p>
            <w:pPr>
              <w:spacing w:line="400" w:lineRule="exact"/>
              <w:ind w:firstLine="420" w:firstLineChars="200"/>
              <w:jc w:val="left"/>
              <w:rPr>
                <w:rFonts w:hint="eastAsia" w:ascii="宋体" w:hAnsi="宋体" w:eastAsia="宋体" w:cs="Times New Roman"/>
                <w:color w:val="auto"/>
                <w:kern w:val="0"/>
                <w:highlight w:val="none"/>
                <w:lang w:val="en-US" w:eastAsia="zh-CN" w:bidi="ar-SA"/>
              </w:rPr>
            </w:pPr>
            <w:r>
              <w:rPr>
                <w:rFonts w:hint="eastAsia" w:ascii="宋体" w:hAnsi="宋体" w:cs="宋体"/>
                <w:color w:val="auto"/>
                <w:kern w:val="0"/>
                <w:sz w:val="21"/>
                <w:szCs w:val="21"/>
                <w:highlight w:val="none"/>
                <w:lang w:val="en-US" w:eastAsia="zh-CN"/>
              </w:rPr>
              <w:t>对参选人</w:t>
            </w:r>
            <w:r>
              <w:rPr>
                <w:rFonts w:hint="eastAsia" w:ascii="宋体" w:hAnsi="宋体" w:cs="宋体"/>
                <w:color w:val="auto"/>
                <w:spacing w:val="0"/>
                <w:kern w:val="0"/>
                <w:sz w:val="21"/>
                <w:szCs w:val="21"/>
                <w:highlight w:val="none"/>
              </w:rPr>
              <w:t>进行符合性审查。符合性审查内容：形式评审、资格评审、响应性评审、投标函部分及经济部分评审。</w:t>
            </w:r>
            <w:r>
              <w:rPr>
                <w:rFonts w:hint="eastAsia" w:ascii="宋体" w:hAnsi="宋体" w:eastAsia="宋体" w:cs="宋体"/>
                <w:color w:val="auto"/>
                <w:sz w:val="21"/>
                <w:szCs w:val="21"/>
                <w:highlight w:val="none"/>
              </w:rPr>
              <w:t>按照合格比选单位的</w:t>
            </w:r>
            <w:r>
              <w:rPr>
                <w:rFonts w:hint="eastAsia" w:ascii="宋体" w:hAnsi="宋体" w:cs="宋体"/>
                <w:color w:val="auto"/>
                <w:sz w:val="21"/>
                <w:szCs w:val="21"/>
                <w:highlight w:val="none"/>
                <w:lang w:val="en-US" w:eastAsia="zh-CN"/>
              </w:rPr>
              <w:t>不</w:t>
            </w:r>
            <w:r>
              <w:rPr>
                <w:rFonts w:hint="eastAsia" w:ascii="宋体" w:hAnsi="宋体" w:eastAsia="宋体" w:cs="宋体"/>
                <w:color w:val="auto"/>
                <w:sz w:val="21"/>
                <w:szCs w:val="21"/>
                <w:highlight w:val="none"/>
              </w:rPr>
              <w:t>含税总价由低到高依次排序推荐中选候选人，推荐</w:t>
            </w:r>
            <w:r>
              <w:rPr>
                <w:rFonts w:hint="eastAsia" w:ascii="宋体" w:hAnsi="宋体" w:cs="宋体"/>
                <w:color w:val="auto"/>
                <w:sz w:val="21"/>
                <w:szCs w:val="21"/>
                <w:highlight w:val="none"/>
                <w:lang w:val="en-US" w:eastAsia="zh-CN"/>
              </w:rPr>
              <w:t>不</w:t>
            </w:r>
            <w:r>
              <w:rPr>
                <w:rFonts w:hint="eastAsia" w:ascii="宋体" w:hAnsi="宋体" w:eastAsia="宋体" w:cs="宋体"/>
                <w:color w:val="auto"/>
                <w:sz w:val="21"/>
                <w:szCs w:val="21"/>
                <w:highlight w:val="none"/>
              </w:rPr>
              <w:t>含税总价最低的比选单位作为第一候选人，以此类推。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restart"/>
            <w:noWrap w:val="0"/>
            <w:vAlign w:val="center"/>
          </w:tcPr>
          <w:p>
            <w:pPr>
              <w:adjustRightInd/>
              <w:snapToGrid/>
              <w:spacing w:beforeLines="0" w:afterLines="0"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2.1.</w:t>
            </w:r>
            <w:r>
              <w:rPr>
                <w:rFonts w:hint="eastAsia" w:ascii="宋体" w:hAnsi="宋体" w:cs="宋体"/>
                <w:color w:val="auto"/>
                <w:sz w:val="21"/>
                <w:szCs w:val="21"/>
                <w:highlight w:val="none"/>
                <w:lang w:val="en-US" w:eastAsia="zh-CN"/>
              </w:rPr>
              <w:t>1</w:t>
            </w:r>
          </w:p>
        </w:tc>
        <w:tc>
          <w:tcPr>
            <w:tcW w:w="882" w:type="dxa"/>
            <w:vMerge w:val="restart"/>
            <w:noWrap w:val="0"/>
            <w:textDirection w:val="tbRlV"/>
            <w:vAlign w:val="center"/>
          </w:tcPr>
          <w:p>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1657" w:type="dxa"/>
            <w:noWrap w:val="0"/>
            <w:vAlign w:val="center"/>
          </w:tcPr>
          <w:p>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人名称</w:t>
            </w:r>
          </w:p>
        </w:tc>
        <w:tc>
          <w:tcPr>
            <w:tcW w:w="6489" w:type="dxa"/>
            <w:noWrap w:val="0"/>
            <w:vAlign w:val="center"/>
          </w:tcPr>
          <w:p>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函签字盖章</w:t>
            </w:r>
          </w:p>
        </w:tc>
        <w:tc>
          <w:tcPr>
            <w:tcW w:w="6489" w:type="dxa"/>
            <w:noWrap w:val="0"/>
            <w:vAlign w:val="center"/>
          </w:tcPr>
          <w:p>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eastAsia="zh-CN"/>
              </w:rPr>
              <w:t>由</w:t>
            </w:r>
            <w:r>
              <w:rPr>
                <w:rFonts w:hint="eastAsia" w:ascii="宋体" w:hAnsi="宋体" w:eastAsia="宋体" w:cs="宋体"/>
                <w:bCs/>
                <w:color w:val="auto"/>
                <w:sz w:val="21"/>
                <w:szCs w:val="21"/>
                <w:highlight w:val="none"/>
              </w:rPr>
              <w:t>法定代表人（单位负责人）或其委托代理人签字或加盖单位章。由法定代表人（单位负责人）签字的，应附法定代表人（单位负责人）身份证明，由代理人签字的，应附授权委托书，身份证明或授权委托书应符合第六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文件格式”的规定</w:t>
            </w:r>
            <w:bookmarkStart w:id="92" w:name="_Toc289585069"/>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41" w:type="dxa"/>
            <w:vMerge w:val="continue"/>
            <w:noWrap w:val="0"/>
            <w:vAlign w:val="top"/>
          </w:tcPr>
          <w:p>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文件格式</w:t>
            </w:r>
          </w:p>
          <w:bookmarkEnd w:id="92"/>
        </w:tc>
        <w:tc>
          <w:tcPr>
            <w:tcW w:w="6489" w:type="dxa"/>
            <w:noWrap w:val="0"/>
            <w:vAlign w:val="center"/>
          </w:tcPr>
          <w:p>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符合第六章“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w:t>
            </w:r>
          </w:p>
        </w:tc>
        <w:tc>
          <w:tcPr>
            <w:tcW w:w="6489" w:type="dxa"/>
            <w:noWrap w:val="0"/>
            <w:vAlign w:val="center"/>
          </w:tcPr>
          <w:p>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w:t>
            </w:r>
          </w:p>
        </w:tc>
        <w:tc>
          <w:tcPr>
            <w:tcW w:w="6489" w:type="dxa"/>
            <w:noWrap w:val="0"/>
            <w:vAlign w:val="center"/>
          </w:tcPr>
          <w:p>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c>
          <w:tcPr>
            <w:tcW w:w="6489" w:type="dxa"/>
            <w:noWrap w:val="0"/>
            <w:vAlign w:val="center"/>
          </w:tcPr>
          <w:p>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人法定代表人的委托代理人有法定代表人签署的授权委托书，且其授权委托书符合</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restart"/>
            <w:noWrap w:val="0"/>
            <w:vAlign w:val="top"/>
          </w:tcPr>
          <w:p>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cs="宋体"/>
                <w:color w:val="auto"/>
                <w:sz w:val="21"/>
                <w:szCs w:val="21"/>
                <w:highlight w:val="none"/>
                <w:lang w:val="en-US" w:eastAsia="zh-CN"/>
              </w:rPr>
              <w:t>2</w:t>
            </w:r>
          </w:p>
        </w:tc>
        <w:tc>
          <w:tcPr>
            <w:tcW w:w="882" w:type="dxa"/>
            <w:vMerge w:val="restart"/>
            <w:noWrap w:val="0"/>
            <w:vAlign w:val="top"/>
          </w:tcPr>
          <w:p>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资格评审标准</w:t>
            </w:r>
          </w:p>
        </w:tc>
        <w:tc>
          <w:tcPr>
            <w:tcW w:w="1657" w:type="dxa"/>
            <w:noWrap w:val="0"/>
            <w:vAlign w:val="center"/>
          </w:tcPr>
          <w:p>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营业执照</w:t>
            </w:r>
          </w:p>
        </w:tc>
        <w:tc>
          <w:tcPr>
            <w:tcW w:w="6489" w:type="dxa"/>
            <w:noWrap w:val="0"/>
            <w:vAlign w:val="center"/>
          </w:tcPr>
          <w:p>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人须知前附表”第1.4.1项规定。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企业实力</w:t>
            </w:r>
          </w:p>
        </w:tc>
        <w:tc>
          <w:tcPr>
            <w:tcW w:w="6489" w:type="dxa"/>
            <w:noWrap w:val="0"/>
            <w:vAlign w:val="center"/>
          </w:tcPr>
          <w:p>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人须知前附表”第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备案登记</w:t>
            </w:r>
          </w:p>
        </w:tc>
        <w:tc>
          <w:tcPr>
            <w:tcW w:w="6489" w:type="dxa"/>
            <w:noWrap w:val="0"/>
            <w:vAlign w:val="center"/>
          </w:tcPr>
          <w:p>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人须知前附表”第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41" w:type="dxa"/>
            <w:vMerge w:val="continue"/>
            <w:noWrap w:val="0"/>
            <w:vAlign w:val="top"/>
          </w:tcPr>
          <w:p>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pPr>
              <w:adjustRightInd/>
              <w:snapToGrid/>
              <w:spacing w:beforeLines="0" w:afterLines="0" w:line="400" w:lineRule="exact"/>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纳税证明</w:t>
            </w:r>
          </w:p>
        </w:tc>
        <w:tc>
          <w:tcPr>
            <w:tcW w:w="6489" w:type="dxa"/>
            <w:noWrap w:val="0"/>
            <w:vAlign w:val="center"/>
          </w:tcPr>
          <w:p>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人须知前附表”第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41" w:type="dxa"/>
            <w:vMerge w:val="continue"/>
            <w:noWrap w:val="0"/>
            <w:vAlign w:val="top"/>
          </w:tcPr>
          <w:p>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pPr>
              <w:adjustRightInd/>
              <w:snapToGrid/>
              <w:spacing w:beforeLines="0" w:afterLines="0" w:line="400" w:lineRule="exact"/>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业绩证明</w:t>
            </w:r>
          </w:p>
        </w:tc>
        <w:tc>
          <w:tcPr>
            <w:tcW w:w="6489" w:type="dxa"/>
            <w:noWrap w:val="0"/>
            <w:vAlign w:val="center"/>
          </w:tcPr>
          <w:p>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人须知前附表”第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41" w:type="dxa"/>
            <w:vMerge w:val="continue"/>
            <w:noWrap w:val="0"/>
            <w:vAlign w:val="top"/>
          </w:tcPr>
          <w:p>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pPr>
              <w:adjustRightInd/>
              <w:snapToGrid/>
              <w:spacing w:beforeLines="0" w:afterLines="0" w:line="400" w:lineRule="exact"/>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人员要求</w:t>
            </w:r>
          </w:p>
        </w:tc>
        <w:tc>
          <w:tcPr>
            <w:tcW w:w="6489" w:type="dxa"/>
            <w:noWrap w:val="0"/>
            <w:vAlign w:val="center"/>
          </w:tcPr>
          <w:p>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人须知前附表”第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41" w:type="dxa"/>
            <w:vMerge w:val="continue"/>
            <w:noWrap w:val="0"/>
            <w:vAlign w:val="top"/>
          </w:tcPr>
          <w:p>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pPr>
              <w:adjustRightInd/>
              <w:snapToGrid/>
              <w:spacing w:beforeLines="0" w:afterLines="0" w:line="400" w:lineRule="exact"/>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信誉证明</w:t>
            </w:r>
          </w:p>
        </w:tc>
        <w:tc>
          <w:tcPr>
            <w:tcW w:w="6489" w:type="dxa"/>
            <w:noWrap w:val="0"/>
            <w:vAlign w:val="center"/>
          </w:tcPr>
          <w:p>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人须知前附表”第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41" w:type="dxa"/>
            <w:vMerge w:val="continue"/>
            <w:noWrap w:val="0"/>
            <w:vAlign w:val="top"/>
          </w:tcPr>
          <w:p>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pPr>
              <w:adjustRightInd/>
              <w:snapToGrid/>
              <w:spacing w:beforeLines="0" w:afterLines="0" w:line="400" w:lineRule="exact"/>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关联关系</w:t>
            </w:r>
          </w:p>
        </w:tc>
        <w:tc>
          <w:tcPr>
            <w:tcW w:w="6489" w:type="dxa"/>
            <w:noWrap w:val="0"/>
            <w:vAlign w:val="center"/>
          </w:tcPr>
          <w:p>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人须知前附表”第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41" w:type="dxa"/>
            <w:vMerge w:val="continue"/>
            <w:noWrap w:val="0"/>
            <w:vAlign w:val="top"/>
          </w:tcPr>
          <w:p>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联合体</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w:t>
            </w:r>
          </w:p>
        </w:tc>
        <w:tc>
          <w:tcPr>
            <w:tcW w:w="6489" w:type="dxa"/>
            <w:noWrap w:val="0"/>
            <w:vAlign w:val="center"/>
          </w:tcPr>
          <w:p>
            <w:pPr>
              <w:adjustRightInd/>
              <w:snapToGrid/>
              <w:spacing w:beforeLines="0" w:afterLines="0" w:line="400" w:lineRule="exact"/>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符合第二章“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人须知前附表”第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41" w:type="dxa"/>
            <w:vMerge w:val="continue"/>
            <w:noWrap w:val="0"/>
            <w:vAlign w:val="top"/>
          </w:tcPr>
          <w:p>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不存在禁止</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的情形</w:t>
            </w:r>
          </w:p>
        </w:tc>
        <w:tc>
          <w:tcPr>
            <w:tcW w:w="6489" w:type="dxa"/>
            <w:noWrap w:val="0"/>
            <w:vAlign w:val="center"/>
          </w:tcPr>
          <w:p>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不存在第二章“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人须知”第 1.4.3 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623" w:type="dxa"/>
            <w:gridSpan w:val="2"/>
            <w:noWrap w:val="0"/>
            <w:vAlign w:val="center"/>
          </w:tcPr>
          <w:p>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1657" w:type="dxa"/>
            <w:noWrap w:val="0"/>
            <w:vAlign w:val="center"/>
          </w:tcPr>
          <w:p>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6489" w:type="dxa"/>
            <w:noWrap w:val="0"/>
            <w:vAlign w:val="center"/>
          </w:tcPr>
          <w:p>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restart"/>
            <w:noWrap w:val="0"/>
            <w:vAlign w:val="bottom"/>
          </w:tcPr>
          <w:p>
            <w:pPr>
              <w:spacing w:beforeLines="0" w:afterLines="0" w:line="400" w:lineRule="exact"/>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w:t>
            </w:r>
          </w:p>
        </w:tc>
        <w:tc>
          <w:tcPr>
            <w:tcW w:w="882" w:type="dxa"/>
            <w:vMerge w:val="restart"/>
            <w:noWrap w:val="0"/>
            <w:vAlign w:val="center"/>
          </w:tcPr>
          <w:p>
            <w:pPr>
              <w:adjustRightInd/>
              <w:snapToGrid/>
              <w:spacing w:beforeLines="0" w:afterLines="0" w:line="400" w:lineRule="exact"/>
              <w:jc w:val="center"/>
              <w:rPr>
                <w:rFonts w:hint="eastAsia" w:ascii="宋体" w:hAnsi="宋体" w:eastAsia="宋体" w:cs="宋体"/>
                <w:color w:val="auto"/>
                <w:sz w:val="21"/>
                <w:szCs w:val="21"/>
                <w:highlight w:val="none"/>
              </w:rPr>
            </w:pPr>
          </w:p>
          <w:p>
            <w:pPr>
              <w:adjustRightInd/>
              <w:snapToGrid/>
              <w:spacing w:beforeLines="0" w:afterLines="0" w:line="400" w:lineRule="exact"/>
              <w:jc w:val="center"/>
              <w:rPr>
                <w:rFonts w:hint="eastAsia" w:ascii="宋体" w:hAnsi="宋体" w:eastAsia="宋体" w:cs="宋体"/>
                <w:color w:val="auto"/>
                <w:sz w:val="21"/>
                <w:szCs w:val="21"/>
                <w:highlight w:val="none"/>
              </w:rPr>
            </w:pPr>
          </w:p>
          <w:p>
            <w:pPr>
              <w:adjustRightInd/>
              <w:snapToGrid/>
              <w:spacing w:beforeLines="0" w:afterLines="0" w:line="400" w:lineRule="exact"/>
              <w:jc w:val="center"/>
              <w:rPr>
                <w:rFonts w:hint="eastAsia" w:ascii="宋体" w:hAnsi="宋体" w:eastAsia="宋体" w:cs="宋体"/>
                <w:color w:val="auto"/>
                <w:sz w:val="21"/>
                <w:szCs w:val="21"/>
                <w:highlight w:val="none"/>
              </w:rPr>
            </w:pPr>
          </w:p>
          <w:p>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响应性评审标准</w:t>
            </w:r>
          </w:p>
        </w:tc>
        <w:tc>
          <w:tcPr>
            <w:tcW w:w="1657" w:type="dxa"/>
            <w:noWrap w:val="0"/>
            <w:vAlign w:val="center"/>
          </w:tcPr>
          <w:p>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w:t>
            </w:r>
          </w:p>
        </w:tc>
        <w:tc>
          <w:tcPr>
            <w:tcW w:w="6489" w:type="dxa"/>
            <w:noWrap w:val="0"/>
            <w:vAlign w:val="top"/>
          </w:tcPr>
          <w:p>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人须知”第 3.2 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Merge w:val="continue"/>
            <w:noWrap w:val="0"/>
            <w:vAlign w:val="top"/>
          </w:tcPr>
          <w:p>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882" w:type="dxa"/>
            <w:vMerge w:val="continue"/>
            <w:noWrap w:val="0"/>
            <w:vAlign w:val="top"/>
          </w:tcPr>
          <w:p>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内容</w:t>
            </w:r>
          </w:p>
        </w:tc>
        <w:tc>
          <w:tcPr>
            <w:tcW w:w="6489" w:type="dxa"/>
            <w:noWrap w:val="0"/>
            <w:vAlign w:val="top"/>
          </w:tcPr>
          <w:p>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人须知”第 1.3.1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882" w:type="dxa"/>
            <w:vMerge w:val="continue"/>
            <w:noWrap w:val="0"/>
            <w:vAlign w:val="top"/>
          </w:tcPr>
          <w:p>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pPr>
              <w:adjustRightInd/>
              <w:snapToGrid/>
              <w:spacing w:beforeLines="0" w:afterLines="0"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服务期限</w:t>
            </w:r>
          </w:p>
        </w:tc>
        <w:tc>
          <w:tcPr>
            <w:tcW w:w="6489" w:type="dxa"/>
            <w:noWrap w:val="0"/>
            <w:vAlign w:val="top"/>
          </w:tcPr>
          <w:p>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人须知”第 1.3.2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882" w:type="dxa"/>
            <w:vMerge w:val="continue"/>
            <w:noWrap w:val="0"/>
            <w:vAlign w:val="top"/>
          </w:tcPr>
          <w:p>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pPr>
              <w:adjustRightInd/>
              <w:snapToGrid/>
              <w:spacing w:beforeLines="0" w:afterLines="0"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服务地点</w:t>
            </w:r>
          </w:p>
        </w:tc>
        <w:tc>
          <w:tcPr>
            <w:tcW w:w="6489" w:type="dxa"/>
            <w:noWrap w:val="0"/>
            <w:vAlign w:val="top"/>
          </w:tcPr>
          <w:p>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人须知”第 1.3.3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882" w:type="dxa"/>
            <w:vMerge w:val="continue"/>
            <w:noWrap w:val="0"/>
            <w:vAlign w:val="top"/>
          </w:tcPr>
          <w:p>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6489" w:type="dxa"/>
            <w:noWrap w:val="0"/>
            <w:vAlign w:val="top"/>
          </w:tcPr>
          <w:p>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人须知”第 1.3.4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41" w:type="dxa"/>
            <w:vMerge w:val="continue"/>
            <w:noWrap w:val="0"/>
            <w:vAlign w:val="top"/>
          </w:tcPr>
          <w:p>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882" w:type="dxa"/>
            <w:vMerge w:val="continue"/>
            <w:noWrap w:val="0"/>
            <w:vAlign w:val="top"/>
          </w:tcPr>
          <w:p>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有效期</w:t>
            </w:r>
          </w:p>
        </w:tc>
        <w:tc>
          <w:tcPr>
            <w:tcW w:w="6489" w:type="dxa"/>
            <w:noWrap w:val="0"/>
            <w:vAlign w:val="center"/>
          </w:tcPr>
          <w:p>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人须知”第 3.3.1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882" w:type="dxa"/>
            <w:vMerge w:val="continue"/>
            <w:noWrap w:val="0"/>
            <w:textDirection w:val="tbRlV"/>
            <w:vAlign w:val="top"/>
          </w:tcPr>
          <w:p>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w:t>
            </w:r>
          </w:p>
        </w:tc>
        <w:tc>
          <w:tcPr>
            <w:tcW w:w="6489" w:type="dxa"/>
            <w:noWrap w:val="0"/>
            <w:vAlign w:val="top"/>
          </w:tcPr>
          <w:p>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人须知”第 3.4.1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权利义务</w:t>
            </w:r>
          </w:p>
        </w:tc>
        <w:tc>
          <w:tcPr>
            <w:tcW w:w="6489" w:type="dxa"/>
            <w:noWrap w:val="0"/>
            <w:vAlign w:val="top"/>
          </w:tcPr>
          <w:p>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符合第四章“合同条款及格式”中的实质性要求和条件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相关服务</w:t>
            </w:r>
          </w:p>
        </w:tc>
        <w:tc>
          <w:tcPr>
            <w:tcW w:w="6489" w:type="dxa"/>
            <w:noWrap w:val="0"/>
            <w:vAlign w:val="top"/>
          </w:tcPr>
          <w:p>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符合第五章“</w:t>
            </w:r>
            <w:r>
              <w:rPr>
                <w:rFonts w:hint="eastAsia" w:ascii="宋体" w:hAnsi="宋体" w:eastAsia="宋体" w:cs="宋体"/>
                <w:color w:val="auto"/>
                <w:sz w:val="21"/>
                <w:szCs w:val="21"/>
                <w:highlight w:val="none"/>
                <w:lang w:val="en-US" w:eastAsia="zh-CN"/>
              </w:rPr>
              <w:t>发包人要求</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8146" w:type="dxa"/>
          <w:trHeight w:val="113" w:hRule="atLeast"/>
          <w:jc w:val="center"/>
        </w:trPr>
        <w:tc>
          <w:tcPr>
            <w:tcW w:w="1623" w:type="dxa"/>
            <w:gridSpan w:val="2"/>
            <w:noWrap w:val="0"/>
            <w:vAlign w:val="center"/>
          </w:tcPr>
          <w:p>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1623" w:type="dxa"/>
            <w:gridSpan w:val="2"/>
            <w:noWrap w:val="0"/>
            <w:vAlign w:val="center"/>
          </w:tcPr>
          <w:p>
            <w:pPr>
              <w:adjustRightInd/>
              <w:snapToGrid/>
              <w:spacing w:beforeLines="0" w:afterLines="0" w:line="40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2.2.1</w:t>
            </w:r>
          </w:p>
        </w:tc>
        <w:tc>
          <w:tcPr>
            <w:tcW w:w="1657" w:type="dxa"/>
            <w:noWrap w:val="0"/>
            <w:vAlign w:val="center"/>
          </w:tcPr>
          <w:p>
            <w:pPr>
              <w:tabs>
                <w:tab w:val="left" w:pos="1875"/>
              </w:tabs>
              <w:adjustRightInd/>
              <w:snapToGrid/>
              <w:spacing w:beforeLines="0" w:afterLines="0" w:line="40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rPr>
              <w:t>评</w:t>
            </w:r>
            <w:r>
              <w:rPr>
                <w:rFonts w:hint="eastAsia" w:ascii="宋体" w:hAnsi="宋体" w:eastAsia="宋体" w:cs="宋体"/>
                <w:bCs/>
                <w:color w:val="auto"/>
                <w:sz w:val="21"/>
                <w:szCs w:val="21"/>
                <w:highlight w:val="none"/>
                <w:lang w:val="en-US" w:eastAsia="zh-CN"/>
              </w:rPr>
              <w:t>选</w:t>
            </w:r>
            <w:r>
              <w:rPr>
                <w:rFonts w:hint="eastAsia" w:ascii="宋体" w:hAnsi="宋体" w:eastAsia="宋体" w:cs="宋体"/>
                <w:bCs/>
                <w:color w:val="auto"/>
                <w:sz w:val="21"/>
                <w:szCs w:val="21"/>
                <w:highlight w:val="none"/>
              </w:rPr>
              <w:t>基准价</w:t>
            </w:r>
          </w:p>
        </w:tc>
        <w:tc>
          <w:tcPr>
            <w:tcW w:w="6489" w:type="dxa"/>
            <w:noWrap w:val="0"/>
            <w:vAlign w:val="center"/>
          </w:tcPr>
          <w:p>
            <w:pPr>
              <w:keepNext w:val="0"/>
              <w:keepLines w:val="0"/>
              <w:pageBreakBefore w:val="0"/>
              <w:widowControl w:val="0"/>
              <w:tabs>
                <w:tab w:val="left" w:pos="1875"/>
              </w:tabs>
              <w:kinsoku/>
              <w:wordWrap/>
              <w:overflowPunct/>
              <w:topLinePunct w:val="0"/>
              <w:autoSpaceDE/>
              <w:autoSpaceDN/>
              <w:bidi w:val="0"/>
              <w:adjustRightInd/>
              <w:snapToGrid/>
              <w:spacing w:beforeLines="0" w:afterLines="0" w:line="400" w:lineRule="exact"/>
              <w:ind w:firstLine="420" w:firstLineChars="200"/>
              <w:jc w:val="left"/>
              <w:textAlignment w:val="auto"/>
              <w:rPr>
                <w:rFonts w:hint="default" w:ascii="宋体" w:hAnsi="宋体" w:eastAsia="宋体" w:cs="宋体"/>
                <w:bCs/>
                <w:strike w:val="0"/>
                <w:color w:val="auto"/>
                <w:sz w:val="21"/>
                <w:szCs w:val="21"/>
                <w:highlight w:val="none"/>
                <w:lang w:val="en-US" w:eastAsia="zh-CN"/>
              </w:rPr>
            </w:pPr>
            <w:r>
              <w:rPr>
                <w:rFonts w:hint="eastAsia" w:ascii="宋体" w:hAnsi="宋体" w:eastAsia="宋体" w:cs="宋体"/>
                <w:bCs/>
                <w:strike w:val="0"/>
                <w:color w:val="auto"/>
                <w:sz w:val="21"/>
                <w:szCs w:val="21"/>
                <w:highlight w:val="none"/>
                <w:lang w:val="en-US" w:eastAsia="zh-CN"/>
              </w:rPr>
              <w:t>所有通过初步评审的比选单位的不含税总价的算术平均值作为不含税总价的评标基准价。在评标基准价计算完成后（除计算错误外），在后续的评审过程中不得再对其做出调整</w:t>
            </w:r>
            <w:r>
              <w:rPr>
                <w:rFonts w:hint="eastAsia" w:ascii="宋体" w:hAnsi="宋体" w:cs="宋体"/>
                <w:bCs/>
                <w:strike w:val="0"/>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1623" w:type="dxa"/>
            <w:gridSpan w:val="2"/>
            <w:noWrap w:val="0"/>
            <w:vAlign w:val="center"/>
          </w:tcPr>
          <w:p>
            <w:pPr>
              <w:adjustRightInd/>
              <w:snapToGrid/>
              <w:spacing w:beforeLines="0" w:afterLines="0"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val="en-US" w:eastAsia="zh-CN"/>
              </w:rPr>
              <w:t>2</w:t>
            </w:r>
          </w:p>
        </w:tc>
        <w:tc>
          <w:tcPr>
            <w:tcW w:w="1657" w:type="dxa"/>
            <w:noWrap w:val="0"/>
            <w:vAlign w:val="center"/>
          </w:tcPr>
          <w:p>
            <w:pPr>
              <w:tabs>
                <w:tab w:val="left" w:pos="1875"/>
              </w:tabs>
              <w:adjustRightInd/>
              <w:snapToGrid/>
              <w:spacing w:beforeLines="0" w:afterLines="0" w:line="400" w:lineRule="exact"/>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不合理低价判定</w:t>
            </w:r>
          </w:p>
        </w:tc>
        <w:tc>
          <w:tcPr>
            <w:tcW w:w="6489" w:type="dxa"/>
            <w:noWrap w:val="0"/>
            <w:vAlign w:val="center"/>
          </w:tcPr>
          <w:p>
            <w:pPr>
              <w:keepNext w:val="0"/>
              <w:keepLines w:val="0"/>
              <w:pageBreakBefore w:val="0"/>
              <w:widowControl w:val="0"/>
              <w:tabs>
                <w:tab w:val="left" w:pos="1875"/>
              </w:tabs>
              <w:kinsoku/>
              <w:wordWrap/>
              <w:overflowPunct/>
              <w:topLinePunct w:val="0"/>
              <w:autoSpaceDE/>
              <w:autoSpaceDN/>
              <w:bidi w:val="0"/>
              <w:adjustRightInd/>
              <w:snapToGrid/>
              <w:spacing w:beforeLines="0" w:afterLines="0" w:line="400" w:lineRule="exact"/>
              <w:ind w:firstLine="420" w:firstLineChars="200"/>
              <w:jc w:val="left"/>
              <w:textAlignment w:val="auto"/>
              <w:rPr>
                <w:rFonts w:hint="eastAsia" w:ascii="宋体" w:hAnsi="宋体" w:eastAsia="宋体" w:cs="宋体"/>
                <w:bCs/>
                <w:strike w:val="0"/>
                <w:color w:val="auto"/>
                <w:sz w:val="21"/>
                <w:szCs w:val="21"/>
                <w:highlight w:val="none"/>
                <w:lang w:val="en-US" w:eastAsia="zh-CN"/>
              </w:rPr>
            </w:pPr>
            <w:r>
              <w:rPr>
                <w:rFonts w:hint="eastAsia" w:ascii="宋体" w:hAnsi="宋体" w:eastAsia="宋体" w:cs="宋体"/>
                <w:bCs/>
                <w:strike w:val="0"/>
                <w:color w:val="auto"/>
                <w:sz w:val="21"/>
                <w:szCs w:val="21"/>
                <w:highlight w:val="none"/>
                <w:lang w:val="en-US" w:eastAsia="zh-CN"/>
              </w:rPr>
              <w:t>不含税总价比评标基准价低10%以上的，不参与后续报价排序，不被推荐为中选候选人。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623" w:type="dxa"/>
            <w:gridSpan w:val="2"/>
            <w:noWrap w:val="0"/>
            <w:vAlign w:val="center"/>
          </w:tcPr>
          <w:p>
            <w:pPr>
              <w:adjustRightInd/>
              <w:snapToGrid/>
              <w:spacing w:beforeLines="0" w:afterLines="0"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1657" w:type="dxa"/>
            <w:noWrap w:val="0"/>
            <w:vAlign w:val="center"/>
          </w:tcPr>
          <w:p>
            <w:pPr>
              <w:adjustRightInd/>
              <w:snapToGrid/>
              <w:spacing w:beforeLines="0" w:afterLines="0" w:line="400" w:lineRule="exact"/>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评标程序</w:t>
            </w:r>
          </w:p>
        </w:tc>
        <w:tc>
          <w:tcPr>
            <w:tcW w:w="6489" w:type="dxa"/>
            <w:noWrap w:val="0"/>
            <w:vAlign w:val="center"/>
          </w:tcPr>
          <w:p>
            <w:pPr>
              <w:keepNext w:val="0"/>
              <w:keepLines w:val="0"/>
              <w:pageBreakBefore w:val="0"/>
              <w:numPr>
                <w:ilvl w:val="-1"/>
                <w:numId w:val="0"/>
              </w:numPr>
              <w:tabs>
                <w:tab w:val="left" w:pos="1875"/>
              </w:tabs>
              <w:kinsoku/>
              <w:wordWrap/>
              <w:overflowPunct/>
              <w:topLinePunct w:val="0"/>
              <w:autoSpaceDE/>
              <w:autoSpaceDN/>
              <w:bidi w:val="0"/>
              <w:adjustRightInd/>
              <w:snapToGrid/>
              <w:spacing w:beforeLines="0" w:afterLines="0" w:line="400" w:lineRule="exact"/>
              <w:ind w:firstLine="420" w:firstLineChars="20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比选各方人员在公司监督人员的见证下当众开启密封文件，查验投标文件。</w:t>
            </w:r>
          </w:p>
          <w:p>
            <w:pPr>
              <w:tabs>
                <w:tab w:val="left" w:pos="1875"/>
              </w:tabs>
              <w:spacing w:beforeLines="0" w:afterLines="0" w:line="4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（1）</w:t>
            </w:r>
            <w:r>
              <w:rPr>
                <w:rFonts w:hint="eastAsia" w:ascii="宋体" w:hAnsi="宋体" w:eastAsia="宋体" w:cs="宋体"/>
                <w:bCs/>
                <w:color w:val="auto"/>
                <w:sz w:val="21"/>
                <w:szCs w:val="21"/>
                <w:highlight w:val="none"/>
              </w:rPr>
              <w:t>查验资格文件是否符合比选邀请函要求，若未能完全响应比选邀请函要求，视为无效文件，否决比选。</w:t>
            </w:r>
          </w:p>
          <w:p>
            <w:pPr>
              <w:tabs>
                <w:tab w:val="left" w:pos="1875"/>
              </w:tabs>
              <w:spacing w:beforeLines="0" w:afterLines="0" w:line="400" w:lineRule="exact"/>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（2）</w:t>
            </w:r>
            <w:r>
              <w:rPr>
                <w:rFonts w:hint="eastAsia" w:ascii="宋体" w:hAnsi="宋体" w:eastAsia="宋体" w:cs="宋体"/>
                <w:bCs/>
                <w:color w:val="auto"/>
                <w:sz w:val="21"/>
                <w:szCs w:val="21"/>
                <w:highlight w:val="none"/>
              </w:rPr>
              <w:t>查验经济文件并宣读报价，委托代理人签字确认报价，若未能完全响应比选函，视为无效文件，否决比选。</w:t>
            </w:r>
          </w:p>
          <w:p>
            <w:pPr>
              <w:tabs>
                <w:tab w:val="left" w:pos="1875"/>
              </w:tabs>
              <w:adjustRightInd/>
              <w:snapToGrid/>
              <w:spacing w:beforeLines="0" w:afterLines="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eastAsia="zh-CN"/>
              </w:rPr>
              <w:t>（3）</w:t>
            </w:r>
            <w:r>
              <w:rPr>
                <w:rFonts w:hint="eastAsia" w:ascii="宋体" w:hAnsi="宋体" w:eastAsia="宋体" w:cs="宋体"/>
                <w:bCs/>
                <w:color w:val="auto"/>
                <w:sz w:val="21"/>
                <w:szCs w:val="21"/>
                <w:highlight w:val="none"/>
              </w:rPr>
              <w:t>评审结束后当众宣读评审结果。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noWrap w:val="0"/>
            <w:vAlign w:val="center"/>
          </w:tcPr>
          <w:p>
            <w:pPr>
              <w:snapToGrid/>
              <w:spacing w:beforeLines="0" w:afterLines="0" w:line="400" w:lineRule="exact"/>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3.1</w:t>
            </w:r>
          </w:p>
        </w:tc>
        <w:tc>
          <w:tcPr>
            <w:tcW w:w="882" w:type="dxa"/>
            <w:noWrap w:val="0"/>
            <w:vAlign w:val="center"/>
          </w:tcPr>
          <w:p>
            <w:pPr>
              <w:adjustRightInd/>
              <w:snapToGrid/>
              <w:spacing w:beforeLines="0" w:afterLines="0" w:line="400" w:lineRule="exac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评标结果</w:t>
            </w:r>
          </w:p>
        </w:tc>
        <w:tc>
          <w:tcPr>
            <w:tcW w:w="8146" w:type="dxa"/>
            <w:gridSpan w:val="2"/>
            <w:noWrap w:val="0"/>
            <w:vAlign w:val="top"/>
          </w:tcPr>
          <w:p>
            <w:pPr>
              <w:adjustRightInd/>
              <w:snapToGrid/>
              <w:spacing w:before="0" w:beforeLines="0" w:after="0" w:afterLines="0" w:line="400" w:lineRule="exact"/>
              <w:ind w:firstLine="420" w:firstLine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eastAsia="zh-CN"/>
              </w:rPr>
              <w:t>评审委员会</w:t>
            </w:r>
            <w:r>
              <w:rPr>
                <w:rFonts w:hint="eastAsia" w:ascii="宋体" w:hAnsi="宋体" w:eastAsia="宋体" w:cs="宋体"/>
                <w:color w:val="auto"/>
                <w:sz w:val="21"/>
                <w:szCs w:val="21"/>
                <w:highlight w:val="none"/>
              </w:rPr>
              <w:t>完成评标后，应当向</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人提交书面评标报告和中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rPr>
              <w:t>候选人名单。</w:t>
            </w:r>
          </w:p>
        </w:tc>
      </w:tr>
    </w:tbl>
    <w:p>
      <w:pPr>
        <w:pStyle w:val="6"/>
        <w:adjustRightInd w:val="0"/>
        <w:snapToGrid w:val="0"/>
        <w:spacing w:before="0" w:after="0" w:line="360" w:lineRule="auto"/>
        <w:ind w:firstLine="301" w:firstLineChars="150"/>
        <w:rPr>
          <w:rFonts w:hint="eastAsia" w:ascii="宋体" w:hAnsi="宋体" w:eastAsia="宋体" w:cs="宋体"/>
          <w:color w:val="auto"/>
          <w:sz w:val="21"/>
          <w:szCs w:val="21"/>
          <w:highlight w:val="none"/>
        </w:rPr>
      </w:pPr>
      <w:r>
        <w:rPr>
          <w:rFonts w:hint="eastAsia" w:ascii="宋体" w:hAnsi="宋体" w:eastAsia="宋体" w:cs="宋体"/>
          <w:color w:val="auto"/>
          <w:highlight w:val="none"/>
        </w:rPr>
        <w:br w:type="page"/>
      </w:r>
      <w:bookmarkStart w:id="93" w:name="_Toc9512"/>
      <w:bookmarkStart w:id="94" w:name="_Toc27384_WPSOffice_Level3"/>
      <w:bookmarkStart w:id="95" w:name="_Toc23188"/>
      <w:bookmarkStart w:id="96" w:name="_Toc5920"/>
      <w:bookmarkStart w:id="97" w:name="_Toc505868064"/>
      <w:bookmarkStart w:id="98" w:name="_Toc32066"/>
      <w:bookmarkStart w:id="99" w:name="_Toc18841"/>
      <w:r>
        <w:rPr>
          <w:rFonts w:hint="eastAsia" w:ascii="宋体" w:hAnsi="宋体" w:eastAsia="宋体" w:cs="宋体"/>
          <w:color w:val="auto"/>
          <w:sz w:val="21"/>
          <w:szCs w:val="21"/>
          <w:highlight w:val="none"/>
        </w:rPr>
        <w:t>1. 评审方法</w:t>
      </w:r>
      <w:bookmarkEnd w:id="93"/>
      <w:bookmarkEnd w:id="94"/>
      <w:bookmarkEnd w:id="95"/>
      <w:bookmarkEnd w:id="96"/>
      <w:bookmarkEnd w:id="97"/>
      <w:bookmarkEnd w:id="98"/>
      <w:bookmarkEnd w:id="99"/>
    </w:p>
    <w:p>
      <w:pPr>
        <w:keepNext w:val="0"/>
        <w:keepLines w:val="0"/>
        <w:pageBreakBefore w:val="0"/>
        <w:numPr>
          <w:ilvl w:val="-1"/>
          <w:numId w:val="0"/>
        </w:numPr>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szCs w:val="21"/>
          <w:highlight w:val="none"/>
        </w:rPr>
        <w:t>本次评审</w:t>
      </w:r>
      <w:r>
        <w:rPr>
          <w:rFonts w:hint="eastAsia" w:ascii="宋体" w:hAnsi="宋体" w:eastAsia="宋体" w:cs="宋体"/>
          <w:color w:val="auto"/>
          <w:sz w:val="21"/>
          <w:highlight w:val="none"/>
        </w:rPr>
        <w:t>采用</w:t>
      </w:r>
      <w:r>
        <w:rPr>
          <w:rFonts w:hint="eastAsia" w:ascii="宋体" w:hAnsi="宋体" w:eastAsia="宋体" w:cs="宋体"/>
          <w:color w:val="auto"/>
          <w:sz w:val="21"/>
          <w:highlight w:val="none"/>
          <w:lang w:val="en-US" w:eastAsia="zh-CN"/>
        </w:rPr>
        <w:t>经评审的最低投标价法</w:t>
      </w:r>
      <w:r>
        <w:rPr>
          <w:rFonts w:hint="eastAsia" w:ascii="宋体" w:hAnsi="宋体" w:eastAsia="宋体" w:cs="宋体"/>
          <w:color w:val="auto"/>
          <w:sz w:val="21"/>
          <w:highlight w:val="none"/>
        </w:rPr>
        <w:t>。</w:t>
      </w:r>
    </w:p>
    <w:p>
      <w:pPr>
        <w:keepNext w:val="0"/>
        <w:keepLines w:val="0"/>
        <w:pageBreakBefore w:val="0"/>
        <w:numPr>
          <w:ilvl w:val="-1"/>
          <w:numId w:val="0"/>
        </w:numPr>
        <w:kinsoku/>
        <w:wordWrap/>
        <w:overflowPunct/>
        <w:topLinePunct w:val="0"/>
        <w:autoSpaceDE/>
        <w:autoSpaceDN/>
        <w:bidi w:val="0"/>
        <w:adjustRightInd w:val="0"/>
        <w:snapToGrid w:val="0"/>
        <w:spacing w:line="360" w:lineRule="auto"/>
        <w:ind w:leftChars="0" w:firstLine="420" w:firstLineChars="200"/>
        <w:textAlignment w:val="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不含税总价评标基准价计算方法：所有通过初步评审的比选单位的不含税总价的算术平均值作为不含税总价的评标基准价。在评标基准价计算完成后（除计算错误外），在后续的评审过程中不得再对其做出调整。</w:t>
      </w:r>
    </w:p>
    <w:p>
      <w:pPr>
        <w:keepNext w:val="0"/>
        <w:keepLines w:val="0"/>
        <w:pageBreakBefore w:val="0"/>
        <w:numPr>
          <w:ilvl w:val="-1"/>
          <w:numId w:val="0"/>
        </w:numPr>
        <w:kinsoku/>
        <w:wordWrap/>
        <w:overflowPunct/>
        <w:topLinePunct w:val="0"/>
        <w:autoSpaceDE/>
        <w:autoSpaceDN/>
        <w:bidi w:val="0"/>
        <w:adjustRightInd w:val="0"/>
        <w:snapToGrid w:val="0"/>
        <w:spacing w:line="360" w:lineRule="auto"/>
        <w:ind w:leftChars="0" w:firstLine="420" w:firstLineChars="200"/>
        <w:textAlignment w:val="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（2）不合理低价判定：不含税总价比评标基准价低10%以上的，不参与后续报价排序，不被推荐为中选候选人。</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baseline"/>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（3）含税总价排序</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baseline"/>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①按照剩余合格比选单位的含税总价由低到高依次排序推荐中选候选人，在合格评标基准价范围内，推荐含税总价最低的比选单位作为第一候选人，以此类推。</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kern w:val="0"/>
          <w:sz w:val="21"/>
          <w:szCs w:val="20"/>
          <w:highlight w:val="none"/>
          <w:lang w:val="en-US" w:eastAsia="zh-CN" w:bidi="ar-SA"/>
        </w:rPr>
        <w:t>②若出现两家及以上比选单位含税总价相同且最低的情况，须现场进行二次报价，直至出现价差为止，对未中选情况不做解释</w:t>
      </w:r>
      <w:r>
        <w:rPr>
          <w:rFonts w:hint="eastAsia" w:ascii="宋体" w:hAnsi="宋体" w:eastAsia="宋体" w:cs="宋体"/>
          <w:color w:val="auto"/>
          <w:spacing w:val="0"/>
          <w:kern w:val="0"/>
          <w:sz w:val="21"/>
          <w:szCs w:val="20"/>
          <w:highlight w:val="none"/>
        </w:rPr>
        <w:t>。</w:t>
      </w:r>
    </w:p>
    <w:p>
      <w:pPr>
        <w:pStyle w:val="6"/>
        <w:adjustRightInd w:val="0"/>
        <w:snapToGrid w:val="0"/>
        <w:spacing w:before="0" w:after="0" w:line="360" w:lineRule="auto"/>
        <w:ind w:firstLine="422" w:firstLineChars="200"/>
        <w:rPr>
          <w:rFonts w:hint="eastAsia" w:ascii="宋体" w:hAnsi="宋体" w:eastAsia="宋体" w:cs="宋体"/>
          <w:color w:val="auto"/>
          <w:sz w:val="21"/>
          <w:szCs w:val="21"/>
          <w:highlight w:val="none"/>
        </w:rPr>
      </w:pPr>
      <w:bookmarkStart w:id="100" w:name="_Toc505868065"/>
      <w:bookmarkStart w:id="101" w:name="_Toc22311"/>
      <w:bookmarkStart w:id="102" w:name="_Toc25182"/>
      <w:bookmarkStart w:id="103" w:name="_Toc21716"/>
      <w:bookmarkStart w:id="104" w:name="_Toc18585"/>
      <w:bookmarkStart w:id="105" w:name="_Toc4822"/>
      <w:bookmarkStart w:id="106" w:name="_Toc21079_WPSOffice_Level3"/>
      <w:r>
        <w:rPr>
          <w:rFonts w:hint="eastAsia" w:ascii="宋体" w:hAnsi="宋体" w:eastAsia="宋体" w:cs="宋体"/>
          <w:color w:val="auto"/>
          <w:sz w:val="21"/>
          <w:szCs w:val="21"/>
          <w:highlight w:val="none"/>
        </w:rPr>
        <w:t>2. 评审标准</w:t>
      </w:r>
      <w:bookmarkEnd w:id="100"/>
      <w:bookmarkEnd w:id="101"/>
      <w:bookmarkEnd w:id="102"/>
      <w:bookmarkEnd w:id="103"/>
      <w:bookmarkEnd w:id="104"/>
      <w:bookmarkEnd w:id="105"/>
      <w:bookmarkEnd w:id="106"/>
    </w:p>
    <w:p>
      <w:pPr>
        <w:pStyle w:val="7"/>
        <w:adjustRightInd w:val="0"/>
        <w:snapToGrid w:val="0"/>
        <w:spacing w:before="0" w:after="0" w:line="360" w:lineRule="auto"/>
        <w:ind w:left="400" w:leftChars="200"/>
        <w:rPr>
          <w:rFonts w:hint="eastAsia" w:ascii="宋体" w:hAnsi="宋体" w:eastAsia="宋体" w:cs="宋体"/>
          <w:color w:val="auto"/>
          <w:sz w:val="21"/>
          <w:szCs w:val="21"/>
          <w:highlight w:val="none"/>
        </w:rPr>
      </w:pPr>
      <w:bookmarkStart w:id="107" w:name="_Toc7217"/>
      <w:bookmarkStart w:id="108" w:name="_Toc505868066"/>
      <w:bookmarkStart w:id="109" w:name="_Toc24431"/>
      <w:r>
        <w:rPr>
          <w:rFonts w:hint="eastAsia" w:ascii="宋体" w:hAnsi="宋体" w:eastAsia="宋体" w:cs="宋体"/>
          <w:color w:val="auto"/>
          <w:sz w:val="21"/>
          <w:szCs w:val="21"/>
          <w:highlight w:val="none"/>
        </w:rPr>
        <w:t>2.1 初步评审标准</w:t>
      </w:r>
      <w:bookmarkEnd w:id="107"/>
      <w:bookmarkEnd w:id="108"/>
      <w:bookmarkEnd w:id="109"/>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cs="宋体"/>
          <w:color w:val="auto"/>
          <w:sz w:val="21"/>
          <w:highlight w:val="none"/>
          <w:lang w:val="en-US" w:eastAsia="zh-CN"/>
        </w:rPr>
        <w:t>2.1.1</w:t>
      </w:r>
      <w:r>
        <w:rPr>
          <w:rFonts w:hint="eastAsia" w:ascii="宋体" w:hAnsi="宋体" w:eastAsia="宋体" w:cs="宋体"/>
          <w:color w:val="auto"/>
          <w:sz w:val="21"/>
          <w:highlight w:val="none"/>
        </w:rPr>
        <w:t>形式评审标准：见</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办法前附表。</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2.1.</w:t>
      </w:r>
      <w:r>
        <w:rPr>
          <w:rFonts w:hint="eastAsia" w:ascii="宋体" w:hAnsi="宋体" w:cs="宋体"/>
          <w:color w:val="auto"/>
          <w:sz w:val="21"/>
          <w:highlight w:val="none"/>
          <w:lang w:val="en-US" w:eastAsia="zh-CN"/>
        </w:rPr>
        <w:t>2</w:t>
      </w:r>
      <w:r>
        <w:rPr>
          <w:rFonts w:hint="eastAsia" w:ascii="宋体" w:hAnsi="宋体" w:eastAsia="宋体" w:cs="宋体"/>
          <w:color w:val="auto"/>
          <w:sz w:val="21"/>
          <w:highlight w:val="none"/>
        </w:rPr>
        <w:t>资格评审标准：见</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办法前附表。</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2.1.</w:t>
      </w:r>
      <w:r>
        <w:rPr>
          <w:rFonts w:hint="eastAsia" w:ascii="宋体" w:hAnsi="宋体" w:cs="宋体"/>
          <w:color w:val="auto"/>
          <w:sz w:val="21"/>
          <w:highlight w:val="none"/>
          <w:lang w:val="en-US" w:eastAsia="zh-CN"/>
        </w:rPr>
        <w:t>3</w:t>
      </w:r>
      <w:r>
        <w:rPr>
          <w:rFonts w:hint="eastAsia" w:ascii="宋体" w:hAnsi="宋体" w:eastAsia="宋体" w:cs="宋体"/>
          <w:color w:val="auto"/>
          <w:sz w:val="21"/>
          <w:highlight w:val="none"/>
        </w:rPr>
        <w:t xml:space="preserve"> 响应性评审标准：见</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办法前附表。</w:t>
      </w:r>
    </w:p>
    <w:p>
      <w:pPr>
        <w:pStyle w:val="7"/>
        <w:adjustRightInd w:val="0"/>
        <w:snapToGrid w:val="0"/>
        <w:spacing w:before="0" w:after="0" w:line="360" w:lineRule="auto"/>
        <w:ind w:left="400" w:leftChars="200"/>
        <w:rPr>
          <w:rFonts w:hint="eastAsia" w:ascii="宋体" w:hAnsi="宋体" w:eastAsia="宋体" w:cs="宋体"/>
          <w:color w:val="auto"/>
          <w:sz w:val="21"/>
          <w:szCs w:val="21"/>
          <w:highlight w:val="none"/>
        </w:rPr>
      </w:pPr>
      <w:bookmarkStart w:id="110" w:name="_Toc13835"/>
      <w:bookmarkStart w:id="111" w:name="_Toc22320"/>
      <w:bookmarkStart w:id="112" w:name="_Toc505868067"/>
      <w:r>
        <w:rPr>
          <w:rFonts w:hint="eastAsia" w:ascii="宋体" w:hAnsi="宋体" w:eastAsia="宋体" w:cs="宋体"/>
          <w:color w:val="auto"/>
          <w:sz w:val="21"/>
          <w:szCs w:val="21"/>
          <w:highlight w:val="none"/>
        </w:rPr>
        <w:t xml:space="preserve">2.2 </w:t>
      </w:r>
      <w:r>
        <w:rPr>
          <w:rFonts w:hint="eastAsia" w:ascii="宋体" w:hAnsi="宋体" w:eastAsia="宋体" w:cs="宋体"/>
          <w:color w:val="auto"/>
          <w:sz w:val="21"/>
          <w:szCs w:val="21"/>
          <w:highlight w:val="none"/>
          <w:lang w:val="en-US" w:eastAsia="zh-CN"/>
        </w:rPr>
        <w:t>价格评审</w:t>
      </w:r>
      <w:r>
        <w:rPr>
          <w:rFonts w:hint="eastAsia" w:ascii="宋体" w:hAnsi="宋体" w:eastAsia="宋体" w:cs="宋体"/>
          <w:color w:val="auto"/>
          <w:sz w:val="21"/>
          <w:szCs w:val="21"/>
          <w:highlight w:val="none"/>
        </w:rPr>
        <w:t>标准</w:t>
      </w:r>
      <w:bookmarkEnd w:id="110"/>
      <w:bookmarkEnd w:id="111"/>
      <w:bookmarkEnd w:id="112"/>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2.2.1 </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基准价计算</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基准价计算方法：见</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办法前附表。</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 xml:space="preserve"> 不合理低价判定</w:t>
      </w:r>
      <w:r>
        <w:rPr>
          <w:rFonts w:hint="eastAsia" w:ascii="宋体" w:hAnsi="宋体" w:eastAsia="宋体" w:cs="宋体"/>
          <w:color w:val="auto"/>
          <w:sz w:val="21"/>
          <w:highlight w:val="none"/>
          <w:lang w:val="en-US" w:eastAsia="zh-CN"/>
        </w:rPr>
        <w:t>(如有）：</w:t>
      </w:r>
      <w:r>
        <w:rPr>
          <w:rFonts w:hint="eastAsia" w:ascii="宋体" w:hAnsi="宋体" w:eastAsia="宋体" w:cs="宋体"/>
          <w:color w:val="auto"/>
          <w:sz w:val="21"/>
          <w:highlight w:val="none"/>
        </w:rPr>
        <w:t>见</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办法前附表。</w:t>
      </w:r>
    </w:p>
    <w:p>
      <w:pPr>
        <w:pStyle w:val="6"/>
        <w:adjustRightInd w:val="0"/>
        <w:snapToGrid w:val="0"/>
        <w:spacing w:before="0" w:after="0" w:line="360" w:lineRule="auto"/>
        <w:ind w:firstLine="422" w:firstLineChars="200"/>
        <w:rPr>
          <w:rFonts w:hint="eastAsia" w:ascii="宋体" w:hAnsi="宋体" w:eastAsia="宋体" w:cs="宋体"/>
          <w:color w:val="auto"/>
          <w:sz w:val="21"/>
          <w:szCs w:val="21"/>
          <w:highlight w:val="none"/>
        </w:rPr>
      </w:pPr>
      <w:bookmarkStart w:id="113" w:name="_Toc5071"/>
      <w:bookmarkStart w:id="114" w:name="_Toc692"/>
      <w:bookmarkStart w:id="115" w:name="_Toc20269"/>
      <w:bookmarkStart w:id="116" w:name="_Toc27446_WPSOffice_Level3"/>
      <w:bookmarkStart w:id="117" w:name="_Toc505868068"/>
      <w:bookmarkStart w:id="118" w:name="_Toc18992"/>
      <w:bookmarkStart w:id="119" w:name="_Toc12349"/>
      <w:r>
        <w:rPr>
          <w:rFonts w:hint="eastAsia" w:ascii="宋体" w:hAnsi="宋体" w:eastAsia="宋体" w:cs="宋体"/>
          <w:color w:val="auto"/>
          <w:sz w:val="21"/>
          <w:szCs w:val="21"/>
          <w:highlight w:val="none"/>
        </w:rPr>
        <w:t xml:space="preserve">3. </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程序</w:t>
      </w:r>
      <w:bookmarkEnd w:id="113"/>
      <w:bookmarkEnd w:id="114"/>
      <w:bookmarkEnd w:id="115"/>
      <w:bookmarkEnd w:id="116"/>
      <w:bookmarkEnd w:id="117"/>
      <w:bookmarkEnd w:id="118"/>
      <w:bookmarkEnd w:id="119"/>
    </w:p>
    <w:p>
      <w:pPr>
        <w:pStyle w:val="7"/>
        <w:adjustRightInd w:val="0"/>
        <w:snapToGrid w:val="0"/>
        <w:spacing w:before="0" w:after="0" w:line="360" w:lineRule="auto"/>
        <w:ind w:left="400" w:leftChars="200"/>
        <w:rPr>
          <w:rFonts w:hint="eastAsia" w:ascii="宋体" w:hAnsi="宋体" w:eastAsia="宋体" w:cs="宋体"/>
          <w:color w:val="auto"/>
          <w:sz w:val="21"/>
          <w:szCs w:val="21"/>
          <w:highlight w:val="none"/>
        </w:rPr>
      </w:pPr>
      <w:bookmarkStart w:id="120" w:name="_Toc7771"/>
      <w:bookmarkStart w:id="121" w:name="_Toc12601"/>
      <w:bookmarkStart w:id="122" w:name="_Toc505868069"/>
      <w:r>
        <w:rPr>
          <w:rFonts w:hint="eastAsia" w:ascii="宋体" w:hAnsi="宋体" w:eastAsia="宋体" w:cs="宋体"/>
          <w:color w:val="auto"/>
          <w:sz w:val="21"/>
          <w:szCs w:val="21"/>
          <w:highlight w:val="none"/>
        </w:rPr>
        <w:t>3.1 初步评审</w:t>
      </w:r>
      <w:bookmarkEnd w:id="120"/>
      <w:bookmarkEnd w:id="121"/>
      <w:bookmarkEnd w:id="122"/>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3.1.1 </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委员会可以要求</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人提交第二章“</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人须知”规定的有关证明和证件的原件，以便核验。</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委员会依据本章第2.1款规定的标准对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文件进行初步评审。有一项不符合评审标准的，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委员会应当否决其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3.1.2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人有以下情形之一的，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委员会应当否决其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文件没有对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文件的实质性要求和条件作出响应，或者对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文件的偏差超出</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文件规定的偏差范围或最高项数；</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（2）有串通</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、弄虚作假、行贿等违法行为。</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3.1.3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报价有算术错误及其他错误的，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委员会按以下原则要求</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报价进</w:t>
      </w:r>
      <w:bookmarkStart w:id="123" w:name="_Toc152045603"/>
      <w:bookmarkStart w:id="124" w:name="_Toc369531582"/>
      <w:bookmarkStart w:id="125" w:name="_Toc247527628"/>
      <w:bookmarkStart w:id="126" w:name="_Toc2907"/>
      <w:bookmarkStart w:id="127" w:name="_Toc300835013"/>
      <w:bookmarkStart w:id="128" w:name="_Toc247514027"/>
      <w:bookmarkStart w:id="129" w:name="_Toc361508651"/>
      <w:bookmarkStart w:id="130" w:name="_Toc152042380"/>
      <w:bookmarkStart w:id="131" w:name="_Toc144974570"/>
      <w:bookmarkStart w:id="132" w:name="_Toc384308277"/>
      <w:bookmarkStart w:id="133" w:name="_Toc352691538"/>
      <w:r>
        <w:rPr>
          <w:rFonts w:hint="eastAsia" w:ascii="宋体" w:hAnsi="宋体" w:eastAsia="宋体" w:cs="宋体"/>
          <w:color w:val="auto"/>
          <w:sz w:val="21"/>
          <w:highlight w:val="none"/>
        </w:rPr>
        <w:t>行修正，并要求</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人书面澄清确认。</w:t>
      </w:r>
      <w:bookmarkEnd w:id="123"/>
      <w:bookmarkEnd w:id="124"/>
      <w:bookmarkEnd w:id="125"/>
      <w:bookmarkEnd w:id="126"/>
      <w:bookmarkEnd w:id="127"/>
      <w:bookmarkEnd w:id="128"/>
      <w:bookmarkEnd w:id="129"/>
      <w:bookmarkEnd w:id="130"/>
      <w:bookmarkEnd w:id="131"/>
      <w:bookmarkEnd w:id="132"/>
      <w:bookmarkEnd w:id="133"/>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人拒不澄清确认的，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委员会应当否决其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文件中的大写金额与小写金额不一致的，以大写金额为准；</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（2）总价金额与单价金额不一致的，以单价金额为准，但单价金额小数点有明显错误的除外；</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报价为各分项报价金额之和，</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报价与分项报价的合价不一致的，应以各分项合价累计数为准，修正</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（4）如果分项报价中存在缺漏项，则视为缺漏项价格已包含在其他分项报价之中。</w:t>
      </w:r>
    </w:p>
    <w:p>
      <w:pPr>
        <w:pStyle w:val="7"/>
        <w:adjustRightInd w:val="0"/>
        <w:snapToGrid w:val="0"/>
        <w:spacing w:before="0" w:after="0" w:line="360" w:lineRule="auto"/>
        <w:ind w:left="400" w:leftChars="200"/>
        <w:rPr>
          <w:rFonts w:hint="eastAsia" w:ascii="宋体" w:hAnsi="宋体" w:eastAsia="宋体" w:cs="宋体"/>
          <w:color w:val="auto"/>
          <w:sz w:val="21"/>
          <w:szCs w:val="21"/>
          <w:highlight w:val="none"/>
        </w:rPr>
      </w:pPr>
      <w:bookmarkStart w:id="134" w:name="_Toc25175"/>
      <w:bookmarkStart w:id="135" w:name="_Toc505868070"/>
      <w:bookmarkStart w:id="136" w:name="_Toc3831"/>
      <w:r>
        <w:rPr>
          <w:rFonts w:hint="eastAsia" w:ascii="宋体" w:hAnsi="宋体" w:eastAsia="宋体" w:cs="宋体"/>
          <w:color w:val="auto"/>
          <w:sz w:val="21"/>
          <w:szCs w:val="21"/>
          <w:highlight w:val="none"/>
        </w:rPr>
        <w:t xml:space="preserve">3.2 </w:t>
      </w:r>
      <w:bookmarkEnd w:id="134"/>
      <w:bookmarkEnd w:id="135"/>
      <w:bookmarkEnd w:id="136"/>
      <w:bookmarkStart w:id="137" w:name="_Toc22775"/>
      <w:bookmarkStart w:id="138" w:name="_Toc505868071"/>
      <w:bookmarkStart w:id="139" w:name="_Toc26972"/>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文件的澄清</w:t>
      </w:r>
      <w:bookmarkEnd w:id="137"/>
      <w:bookmarkEnd w:id="138"/>
      <w:bookmarkEnd w:id="139"/>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.1 在评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过程中，评审委员会可以书面形式要求</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文件中含义不明确、对同类问题表述不一致或者有明显文字和计算错误的内容</w:t>
      </w:r>
      <w:r>
        <w:rPr>
          <w:rFonts w:hint="eastAsia" w:ascii="宋体" w:hAnsi="宋体" w:cs="宋体"/>
          <w:color w:val="auto"/>
          <w:sz w:val="21"/>
          <w:highlight w:val="none"/>
          <w:lang w:eastAsia="zh-CN"/>
        </w:rPr>
        <w:t>做必要</w:t>
      </w:r>
      <w:r>
        <w:rPr>
          <w:rFonts w:hint="eastAsia" w:ascii="宋体" w:hAnsi="宋体" w:eastAsia="宋体" w:cs="宋体"/>
          <w:color w:val="auto"/>
          <w:sz w:val="21"/>
          <w:highlight w:val="none"/>
        </w:rPr>
        <w:t>的澄清、说明或补正。澄清、说明或补正应以书面方式进行。</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委员会不接受</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人主动提出的澄清、说明或补正。</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.2 澄清、说明或补正不得超出</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文件的范围且不得改变</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文件的实质性内容，并构成</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文件的组成部分。</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.3 评审委员会对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人提交的澄清、说明或补正有疑问的，可以要求</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人进一步澄清、说明或补正，直至满足</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委员会的要求。</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3.3 评标结果</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3.3.1 除第二章“</w:t>
      </w:r>
      <w:r>
        <w:rPr>
          <w:rFonts w:hint="eastAsia" w:ascii="宋体" w:hAnsi="宋体" w:eastAsia="宋体" w:cs="宋体"/>
          <w:color w:val="auto"/>
          <w:sz w:val="21"/>
          <w:highlight w:val="none"/>
          <w:lang w:eastAsia="zh-CN"/>
        </w:rPr>
        <w:t>参选人</w:t>
      </w:r>
      <w:r>
        <w:rPr>
          <w:rFonts w:hint="eastAsia" w:ascii="宋体" w:hAnsi="宋体" w:eastAsia="宋体" w:cs="宋体"/>
          <w:color w:val="auto"/>
          <w:sz w:val="21"/>
          <w:highlight w:val="none"/>
        </w:rPr>
        <w:t>须知”前附表授权直接确定中标人外，</w:t>
      </w:r>
      <w:r>
        <w:rPr>
          <w:rFonts w:hint="eastAsia" w:ascii="宋体" w:hAnsi="宋体" w:eastAsia="宋体" w:cs="宋体"/>
          <w:color w:val="auto"/>
          <w:sz w:val="21"/>
          <w:highlight w:val="none"/>
          <w:lang w:eastAsia="zh-CN"/>
        </w:rPr>
        <w:t>评审委员会</w:t>
      </w:r>
      <w:r>
        <w:rPr>
          <w:rFonts w:hint="eastAsia" w:ascii="宋体" w:hAnsi="宋体" w:eastAsia="宋体" w:cs="宋体"/>
          <w:color w:val="auto"/>
          <w:sz w:val="21"/>
          <w:highlight w:val="none"/>
        </w:rPr>
        <w:t>按最低投标价法推荐</w:t>
      </w:r>
      <w:r>
        <w:rPr>
          <w:rFonts w:hint="eastAsia" w:ascii="宋体" w:hAnsi="宋体" w:eastAsia="宋体" w:cs="宋体"/>
          <w:color w:val="auto"/>
          <w:sz w:val="21"/>
          <w:highlight w:val="none"/>
          <w:lang w:eastAsia="zh-CN"/>
        </w:rPr>
        <w:t>中选候选人</w:t>
      </w:r>
      <w:r>
        <w:rPr>
          <w:rFonts w:hint="eastAsia" w:ascii="宋体" w:hAnsi="宋体" w:eastAsia="宋体" w:cs="宋体"/>
          <w:color w:val="auto"/>
          <w:sz w:val="21"/>
          <w:highlight w:val="none"/>
        </w:rPr>
        <w:t>。</w:t>
      </w:r>
    </w:p>
    <w:p>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3.3.2 </w:t>
      </w:r>
      <w:r>
        <w:rPr>
          <w:rFonts w:hint="eastAsia" w:ascii="宋体" w:hAnsi="宋体" w:eastAsia="宋体" w:cs="宋体"/>
          <w:color w:val="auto"/>
          <w:sz w:val="21"/>
          <w:highlight w:val="none"/>
          <w:lang w:eastAsia="zh-CN"/>
        </w:rPr>
        <w:t>评审委员会</w:t>
      </w:r>
      <w:r>
        <w:rPr>
          <w:rFonts w:hint="eastAsia" w:ascii="宋体" w:hAnsi="宋体" w:eastAsia="宋体" w:cs="宋体"/>
          <w:color w:val="auto"/>
          <w:sz w:val="21"/>
          <w:highlight w:val="none"/>
        </w:rPr>
        <w:t>完成评标后，应当向招标人提交书面评标报告和</w:t>
      </w:r>
      <w:r>
        <w:rPr>
          <w:rFonts w:hint="eastAsia" w:ascii="宋体" w:hAnsi="宋体" w:eastAsia="宋体" w:cs="宋体"/>
          <w:color w:val="auto"/>
          <w:sz w:val="21"/>
          <w:highlight w:val="none"/>
          <w:lang w:eastAsia="zh-CN"/>
        </w:rPr>
        <w:t>中选候选人</w:t>
      </w:r>
      <w:r>
        <w:rPr>
          <w:rFonts w:hint="eastAsia" w:ascii="宋体" w:hAnsi="宋体" w:eastAsia="宋体" w:cs="宋体"/>
          <w:color w:val="auto"/>
          <w:sz w:val="21"/>
          <w:highlight w:val="none"/>
        </w:rPr>
        <w:t>名单。</w:t>
      </w:r>
    </w:p>
    <w:p>
      <w:pPr>
        <w:adjustRightInd w:val="0"/>
        <w:snapToGrid w:val="0"/>
        <w:spacing w:line="360" w:lineRule="auto"/>
        <w:ind w:firstLine="420" w:firstLineChars="200"/>
        <w:rPr>
          <w:rFonts w:hint="eastAsia" w:ascii="宋体" w:hAnsi="宋体" w:eastAsia="宋体" w:cs="宋体"/>
          <w:color w:val="auto"/>
          <w:sz w:val="21"/>
          <w:highlight w:val="none"/>
        </w:rPr>
      </w:pPr>
    </w:p>
    <w:p>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p>
      <w:pPr>
        <w:pStyle w:val="10"/>
        <w:rPr>
          <w:rFonts w:hint="eastAsia" w:ascii="宋体" w:hAnsi="宋体" w:eastAsia="宋体" w:cs="宋体"/>
          <w:color w:val="auto"/>
          <w:highlight w:val="none"/>
        </w:rPr>
      </w:pPr>
    </w:p>
    <w:p>
      <w:pPr>
        <w:snapToGrid w:val="0"/>
        <w:spacing w:line="360" w:lineRule="auto"/>
        <w:outlineLvl w:val="0"/>
        <w:rPr>
          <w:rFonts w:hint="eastAsia" w:ascii="宋体" w:hAnsi="宋体" w:eastAsia="宋体" w:cs="宋体"/>
          <w:color w:val="auto"/>
          <w:sz w:val="30"/>
          <w:highlight w:val="none"/>
        </w:rPr>
      </w:pPr>
      <w:bookmarkStart w:id="140" w:name="_Toc24005"/>
      <w:bookmarkStart w:id="141" w:name="_Toc15334"/>
      <w:bookmarkStart w:id="142" w:name="_Toc3661"/>
      <w:bookmarkStart w:id="143" w:name="_Toc18945"/>
      <w:bookmarkStart w:id="144" w:name="_Toc10676"/>
      <w:r>
        <w:rPr>
          <w:rFonts w:hint="eastAsia" w:ascii="宋体" w:hAnsi="宋体" w:eastAsia="宋体" w:cs="宋体"/>
          <w:color w:val="auto"/>
          <w:sz w:val="30"/>
          <w:highlight w:val="none"/>
        </w:rPr>
        <w:t>附件A：否决</w:t>
      </w:r>
      <w:r>
        <w:rPr>
          <w:rFonts w:hint="eastAsia" w:ascii="宋体" w:hAnsi="宋体" w:eastAsia="宋体" w:cs="宋体"/>
          <w:color w:val="auto"/>
          <w:sz w:val="30"/>
          <w:highlight w:val="none"/>
          <w:lang w:eastAsia="zh-CN"/>
        </w:rPr>
        <w:t>参选</w:t>
      </w:r>
      <w:r>
        <w:rPr>
          <w:rFonts w:hint="eastAsia" w:ascii="宋体" w:hAnsi="宋体" w:eastAsia="宋体" w:cs="宋体"/>
          <w:color w:val="auto"/>
          <w:sz w:val="30"/>
          <w:highlight w:val="none"/>
        </w:rPr>
        <w:t>条件</w:t>
      </w:r>
      <w:bookmarkEnd w:id="140"/>
      <w:bookmarkEnd w:id="141"/>
      <w:bookmarkEnd w:id="142"/>
      <w:bookmarkEnd w:id="143"/>
      <w:bookmarkEnd w:id="144"/>
    </w:p>
    <w:p>
      <w:pPr>
        <w:snapToGrid w:val="0"/>
        <w:spacing w:line="36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最低投标价法否决</w:t>
      </w:r>
      <w:r>
        <w:rPr>
          <w:rFonts w:hint="eastAsia" w:ascii="宋体" w:hAnsi="宋体" w:eastAsia="宋体" w:cs="宋体"/>
          <w:b/>
          <w:color w:val="auto"/>
          <w:sz w:val="32"/>
          <w:highlight w:val="none"/>
          <w:lang w:eastAsia="zh-CN"/>
        </w:rPr>
        <w:t>参选</w:t>
      </w:r>
      <w:r>
        <w:rPr>
          <w:rFonts w:hint="eastAsia" w:ascii="宋体" w:hAnsi="宋体" w:eastAsia="宋体" w:cs="宋体"/>
          <w:b/>
          <w:color w:val="auto"/>
          <w:sz w:val="32"/>
          <w:highlight w:val="none"/>
        </w:rPr>
        <w:t>一览表</w:t>
      </w:r>
    </w:p>
    <w:p>
      <w:pPr>
        <w:snapToGrid w:val="0"/>
        <w:ind w:left="360" w:hanging="361" w:hangingChars="171"/>
        <w:jc w:val="left"/>
        <w:rPr>
          <w:rFonts w:hint="eastAsia" w:ascii="宋体" w:hAnsi="宋体" w:eastAsia="宋体" w:cs="宋体"/>
          <w:b/>
          <w:color w:val="auto"/>
          <w:sz w:val="21"/>
          <w:highlight w:val="none"/>
        </w:rPr>
      </w:pPr>
      <w:r>
        <w:rPr>
          <w:rFonts w:hint="eastAsia" w:ascii="宋体" w:hAnsi="宋体" w:eastAsia="宋体" w:cs="宋体"/>
          <w:b/>
          <w:color w:val="auto"/>
          <w:sz w:val="21"/>
          <w:highlight w:val="none"/>
        </w:rPr>
        <w:t>一览表否决</w:t>
      </w:r>
      <w:r>
        <w:rPr>
          <w:rFonts w:hint="eastAsia" w:ascii="宋体" w:hAnsi="宋体" w:eastAsia="宋体" w:cs="宋体"/>
          <w:b/>
          <w:color w:val="auto"/>
          <w:sz w:val="21"/>
          <w:highlight w:val="none"/>
          <w:lang w:eastAsia="zh-CN"/>
        </w:rPr>
        <w:t>参选</w:t>
      </w:r>
      <w:r>
        <w:rPr>
          <w:rFonts w:hint="eastAsia" w:ascii="宋体" w:hAnsi="宋体" w:eastAsia="宋体" w:cs="宋体"/>
          <w:b/>
          <w:color w:val="auto"/>
          <w:sz w:val="21"/>
          <w:highlight w:val="none"/>
        </w:rPr>
        <w:t>条件之外的</w:t>
      </w:r>
      <w:r>
        <w:rPr>
          <w:rFonts w:hint="eastAsia" w:ascii="宋体" w:hAnsi="宋体" w:eastAsia="宋体" w:cs="宋体"/>
          <w:b/>
          <w:color w:val="auto"/>
          <w:sz w:val="21"/>
          <w:highlight w:val="none"/>
          <w:lang w:eastAsia="zh-CN"/>
        </w:rPr>
        <w:t>评审</w:t>
      </w:r>
      <w:r>
        <w:rPr>
          <w:rFonts w:hint="eastAsia" w:ascii="宋体" w:hAnsi="宋体" w:eastAsia="宋体" w:cs="宋体"/>
          <w:b/>
          <w:color w:val="auto"/>
          <w:sz w:val="21"/>
          <w:highlight w:val="none"/>
        </w:rPr>
        <w:t>委员会不得判为重大偏差。</w:t>
      </w:r>
    </w:p>
    <w:tbl>
      <w:tblPr>
        <w:tblStyle w:val="23"/>
        <w:tblW w:w="9607" w:type="dxa"/>
        <w:jc w:val="center"/>
        <w:tblLayout w:type="fixed"/>
        <w:tblCellMar>
          <w:top w:w="0" w:type="dxa"/>
          <w:left w:w="0" w:type="dxa"/>
          <w:bottom w:w="0" w:type="dxa"/>
          <w:right w:w="0" w:type="dxa"/>
        </w:tblCellMar>
      </w:tblPr>
      <w:tblGrid>
        <w:gridCol w:w="1780"/>
        <w:gridCol w:w="1890"/>
        <w:gridCol w:w="5937"/>
      </w:tblGrid>
      <w:tr>
        <w:trPr>
          <w:trHeight w:val="918"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widowControl/>
              <w:snapToGrid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比选</w:t>
            </w:r>
            <w:r>
              <w:rPr>
                <w:rFonts w:hint="eastAsia" w:ascii="宋体" w:hAnsi="宋体" w:eastAsia="宋体" w:cs="宋体"/>
                <w:b/>
                <w:color w:val="auto"/>
                <w:sz w:val="21"/>
                <w:szCs w:val="21"/>
                <w:highlight w:val="none"/>
              </w:rPr>
              <w:t>文件</w:t>
            </w:r>
          </w:p>
          <w:p>
            <w:pPr>
              <w:widowControl/>
              <w:snapToGrid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章节号</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snapToGrid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条款名称</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snapToGrid w:val="0"/>
              <w:spacing w:line="400" w:lineRule="exact"/>
              <w:ind w:firstLine="482"/>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否决</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条件</w:t>
            </w:r>
          </w:p>
        </w:tc>
      </w:tr>
      <w:tr>
        <w:tblPrEx>
          <w:tblCellMar>
            <w:top w:w="0" w:type="dxa"/>
            <w:left w:w="0" w:type="dxa"/>
            <w:bottom w:w="0" w:type="dxa"/>
            <w:right w:w="0" w:type="dxa"/>
          </w:tblCellMar>
        </w:tblPrEx>
        <w:trPr>
          <w:trHeight w:val="293"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第二章1.4.1</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人资质条件、能力和信誉</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未按照</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人须知前附表1.4.1条要求提供资料，只要有一项不符合要求，其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文件作否决</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处理</w:t>
            </w:r>
          </w:p>
        </w:tc>
      </w:tr>
      <w:tr>
        <w:tblPrEx>
          <w:tblCellMar>
            <w:top w:w="0" w:type="dxa"/>
            <w:left w:w="0" w:type="dxa"/>
            <w:bottom w:w="0" w:type="dxa"/>
            <w:right w:w="0" w:type="dxa"/>
          </w:tblCellMar>
        </w:tblPrEx>
        <w:trPr>
          <w:trHeight w:val="902"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snapToGrid w:val="0"/>
              <w:spacing w:line="400" w:lineRule="exact"/>
              <w:ind w:firstLine="3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第二章3.2</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未按照</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人须知前附表3.2条要求进行</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报价，只要有一项不符合要求，其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文件作否决</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处理。</w:t>
            </w:r>
          </w:p>
        </w:tc>
      </w:tr>
      <w:tr>
        <w:tblPrEx>
          <w:tblCellMar>
            <w:top w:w="0" w:type="dxa"/>
            <w:left w:w="0" w:type="dxa"/>
            <w:bottom w:w="0" w:type="dxa"/>
            <w:right w:w="0" w:type="dxa"/>
          </w:tblCellMar>
        </w:tblPrEx>
        <w:trPr>
          <w:trHeight w:val="902"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第二章3.2.4</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限价</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1.限价：</w:t>
            </w:r>
            <w:r>
              <w:rPr>
                <w:rFonts w:hint="eastAsia" w:ascii="宋体" w:hAnsi="宋体" w:eastAsia="宋体" w:cs="宋体"/>
                <w:b/>
                <w:color w:val="auto"/>
                <w:kern w:val="0"/>
                <w:szCs w:val="21"/>
                <w:highlight w:val="none"/>
              </w:rPr>
              <w:t>本</w:t>
            </w:r>
            <w:r>
              <w:rPr>
                <w:rFonts w:hint="eastAsia" w:ascii="宋体" w:hAnsi="宋体" w:eastAsia="宋体" w:cs="宋体"/>
                <w:b/>
                <w:color w:val="auto"/>
                <w:kern w:val="0"/>
                <w:szCs w:val="21"/>
                <w:highlight w:val="none"/>
                <w:lang w:val="en-US" w:eastAsia="zh-CN"/>
              </w:rPr>
              <w:t>项目</w:t>
            </w:r>
            <w:r>
              <w:rPr>
                <w:rFonts w:hint="eastAsia" w:ascii="宋体" w:hAnsi="宋体" w:eastAsia="宋体" w:cs="宋体"/>
                <w:b/>
                <w:color w:val="auto"/>
                <w:kern w:val="0"/>
                <w:szCs w:val="21"/>
                <w:highlight w:val="none"/>
              </w:rPr>
              <w:t>将设置最高限价</w:t>
            </w:r>
            <w:r>
              <w:rPr>
                <w:rFonts w:hint="eastAsia" w:ascii="宋体" w:hAnsi="宋体" w:eastAsia="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不</w:t>
            </w:r>
            <w:r>
              <w:rPr>
                <w:rFonts w:hint="eastAsia" w:ascii="宋体" w:hAnsi="宋体" w:eastAsia="宋体" w:cs="宋体"/>
                <w:b/>
                <w:bCs w:val="0"/>
                <w:color w:val="auto"/>
                <w:sz w:val="20"/>
                <w:szCs w:val="21"/>
                <w:highlight w:val="none"/>
                <w:lang w:val="en-US" w:eastAsia="zh-CN"/>
              </w:rPr>
              <w:t>含税总价</w:t>
            </w:r>
            <w:r>
              <w:rPr>
                <w:rFonts w:hint="eastAsia" w:ascii="宋体" w:hAnsi="宋体" w:eastAsia="宋体" w:cs="宋体"/>
                <w:b/>
                <w:color w:val="auto"/>
                <w:kern w:val="0"/>
                <w:szCs w:val="21"/>
                <w:highlight w:val="none"/>
              </w:rPr>
              <w:t>最高限价</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sz w:val="20"/>
                <w:szCs w:val="21"/>
                <w:highlight w:val="none"/>
                <w:lang w:val="en-US" w:eastAsia="zh-CN"/>
              </w:rPr>
              <w:t>，报价超过限价的作否决比选处理</w:t>
            </w:r>
            <w:r>
              <w:rPr>
                <w:rFonts w:hint="eastAsia" w:ascii="宋体" w:hAnsi="宋体" w:cs="宋体"/>
                <w:b/>
                <w:color w:val="auto"/>
                <w:sz w:val="20"/>
                <w:szCs w:val="21"/>
                <w:highlight w:val="none"/>
                <w:lang w:val="en-US" w:eastAsia="zh-CN"/>
              </w:rPr>
              <w:t>。</w:t>
            </w:r>
          </w:p>
          <w:p>
            <w:pPr>
              <w:snapToGrid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2.请</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根据自身情况自主报价。</w:t>
            </w:r>
          </w:p>
        </w:tc>
      </w:tr>
      <w:tr>
        <w:tblPrEx>
          <w:tblCellMar>
            <w:top w:w="0" w:type="dxa"/>
            <w:left w:w="0" w:type="dxa"/>
            <w:bottom w:w="0" w:type="dxa"/>
            <w:right w:w="0" w:type="dxa"/>
          </w:tblCellMar>
        </w:tblPrEx>
        <w:trPr>
          <w:trHeight w:val="1018"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400" w:lineRule="exact"/>
              <w:ind w:firstLine="3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第二章3.4.2</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人不按本章第3.4.1项要求提交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委员会将否决其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w:t>
            </w:r>
          </w:p>
        </w:tc>
      </w:tr>
      <w:tr>
        <w:tblPrEx>
          <w:tblCellMar>
            <w:top w:w="0" w:type="dxa"/>
            <w:left w:w="0" w:type="dxa"/>
            <w:bottom w:w="0" w:type="dxa"/>
            <w:right w:w="0" w:type="dxa"/>
          </w:tblCellMar>
        </w:tblPrEx>
        <w:trPr>
          <w:trHeight w:val="1018"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400" w:lineRule="exact"/>
              <w:ind w:firstLine="3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第二章3.6.1</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备选</w:t>
            </w:r>
            <w:r>
              <w:rPr>
                <w:rFonts w:hint="eastAsia" w:ascii="宋体" w:hAnsi="宋体" w:eastAsia="宋体" w:cs="宋体"/>
                <w:b w:val="0"/>
                <w:bCs w:val="0"/>
                <w:color w:val="auto"/>
                <w:sz w:val="21"/>
                <w:szCs w:val="21"/>
                <w:highlight w:val="none"/>
                <w:lang w:eastAsia="zh-CN"/>
              </w:rPr>
              <w:t>参选</w:t>
            </w:r>
            <w:r>
              <w:rPr>
                <w:rFonts w:hint="eastAsia" w:ascii="宋体" w:hAnsi="宋体" w:eastAsia="宋体" w:cs="宋体"/>
                <w:b w:val="0"/>
                <w:bCs w:val="0"/>
                <w:color w:val="auto"/>
                <w:sz w:val="21"/>
                <w:szCs w:val="21"/>
                <w:highlight w:val="none"/>
              </w:rPr>
              <w:t>方案</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人须知前附表规定允许外，</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人不得递交备选</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方案，否则其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将被否决。</w:t>
            </w:r>
          </w:p>
        </w:tc>
      </w:tr>
      <w:tr>
        <w:tblPrEx>
          <w:tblCellMar>
            <w:top w:w="0" w:type="dxa"/>
            <w:left w:w="0" w:type="dxa"/>
            <w:bottom w:w="0" w:type="dxa"/>
            <w:right w:w="0" w:type="dxa"/>
          </w:tblCellMar>
        </w:tblPrEx>
        <w:trPr>
          <w:trHeight w:val="1163"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人须知前附表3.7.3</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参选</w:t>
            </w:r>
            <w:r>
              <w:rPr>
                <w:rFonts w:hint="eastAsia" w:ascii="宋体" w:hAnsi="宋体" w:eastAsia="宋体" w:cs="宋体"/>
                <w:b w:val="0"/>
                <w:bCs w:val="0"/>
                <w:color w:val="auto"/>
                <w:sz w:val="21"/>
                <w:szCs w:val="21"/>
                <w:highlight w:val="none"/>
              </w:rPr>
              <w:t>文件签字或盖章要求</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400" w:lineRule="exact"/>
              <w:ind w:firstLine="482"/>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文件的正本应由</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人的法定代表人或经正式授权并对</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人有约束力的代表签字。由授权代表签字时，须在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文件中提供法定代表人“授权委托书”；</w:t>
            </w:r>
          </w:p>
          <w:p>
            <w:pPr>
              <w:autoSpaceDE w:val="0"/>
              <w:autoSpaceDN w:val="0"/>
              <w:snapToGrid w:val="0"/>
              <w:spacing w:line="400" w:lineRule="exact"/>
              <w:ind w:firstLine="48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人对错漏之处做必要修改或补充外，</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文件中不得有随意的行间插字、涂改和增删。如确有错漏之处确需要手工修改或补充，</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文件的修改必须由</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人的法定代表人或其授权代表在修改或补充之处签字并盖章。</w:t>
            </w:r>
          </w:p>
          <w:p>
            <w:pPr>
              <w:snapToGrid w:val="0"/>
              <w:spacing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签字盖章不符合要求的评委会有权将其作否决</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处理。</w:t>
            </w:r>
          </w:p>
        </w:tc>
      </w:tr>
      <w:tr>
        <w:tblPrEx>
          <w:tblCellMar>
            <w:top w:w="0" w:type="dxa"/>
            <w:left w:w="0" w:type="dxa"/>
            <w:bottom w:w="0" w:type="dxa"/>
            <w:right w:w="0" w:type="dxa"/>
          </w:tblCellMar>
        </w:tblPrEx>
        <w:trPr>
          <w:trHeight w:val="172"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第三章3.1</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初步评审</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委员会可以要求</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人提交第二章“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人须知”规定的有关证明和证件的原件，以便核验。</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委员会依据本章第2.1款规定的标准对</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文件进行初步评审。有一项不符合评审标准的，</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委员会应当否决其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w:t>
            </w:r>
          </w:p>
          <w:p>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人有以下情形之一的，</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委员会应当否决其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w:t>
            </w:r>
          </w:p>
          <w:p>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文件没有对</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文件的实质性要求和条件作出响应，或者对</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文件的偏差超出</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文件规定的偏差范围或最高项数；</w:t>
            </w:r>
          </w:p>
          <w:p>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（2）有串通</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、弄虚作假、行贿等违法行为。</w:t>
            </w:r>
          </w:p>
          <w:p>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报价有算术错误及其他错误的，</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委员会按以下原则要求</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人对</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报价进行修正，并要求</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人书面澄清确认。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人拒不澄清确认的，</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委员会应当否决其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w:t>
            </w:r>
          </w:p>
        </w:tc>
      </w:tr>
      <w:tr>
        <w:tblPrEx>
          <w:tblCellMar>
            <w:top w:w="0" w:type="dxa"/>
            <w:left w:w="0" w:type="dxa"/>
            <w:bottom w:w="0" w:type="dxa"/>
            <w:right w:w="0" w:type="dxa"/>
          </w:tblCellMar>
        </w:tblPrEx>
        <w:trPr>
          <w:trHeight w:val="172"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widowControl/>
              <w:snapToGrid w:val="0"/>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第三章3.</w:t>
            </w:r>
            <w:r>
              <w:rPr>
                <w:rFonts w:hint="eastAsia" w:ascii="宋体" w:hAnsi="宋体" w:eastAsia="宋体" w:cs="宋体"/>
                <w:color w:val="auto"/>
                <w:sz w:val="21"/>
                <w:szCs w:val="21"/>
                <w:highlight w:val="none"/>
                <w:lang w:val="en-US" w:eastAsia="zh-CN"/>
              </w:rPr>
              <w:t>2</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不合理低价</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napToGrid w:val="0"/>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不含税总价比评标基准价低10%以上的，不参与后续报价排序，不被推荐为中选候选人。</w:t>
            </w:r>
          </w:p>
        </w:tc>
      </w:tr>
      <w:tr>
        <w:tblPrEx>
          <w:tblCellMar>
            <w:top w:w="0" w:type="dxa"/>
            <w:left w:w="0" w:type="dxa"/>
            <w:bottom w:w="0" w:type="dxa"/>
            <w:right w:w="0" w:type="dxa"/>
          </w:tblCellMar>
        </w:tblPrEx>
        <w:trPr>
          <w:trHeight w:val="850" w:hRule="atLeast"/>
          <w:jc w:val="center"/>
        </w:trPr>
        <w:tc>
          <w:tcPr>
            <w:tcW w:w="9607"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napToGrid w:val="0"/>
              <w:spacing w:line="4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一览表否决</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条件之外的评审委员会不得判为重大偏差，不得按</w:t>
            </w:r>
            <w:r>
              <w:rPr>
                <w:rFonts w:hint="eastAsia" w:ascii="宋体" w:hAnsi="宋体" w:eastAsia="宋体" w:cs="宋体"/>
                <w:b/>
                <w:color w:val="auto"/>
                <w:sz w:val="21"/>
                <w:szCs w:val="21"/>
                <w:highlight w:val="none"/>
              </w:rPr>
              <w:t>否决</w:t>
            </w:r>
            <w:r>
              <w:rPr>
                <w:rFonts w:hint="eastAsia" w:ascii="宋体" w:hAnsi="宋体" w:eastAsia="宋体" w:cs="宋体"/>
                <w:b/>
                <w:color w:val="auto"/>
                <w:sz w:val="21"/>
                <w:szCs w:val="21"/>
                <w:highlight w:val="none"/>
                <w:lang w:eastAsia="zh-CN"/>
              </w:rPr>
              <w:t>参选</w:t>
            </w:r>
            <w:r>
              <w:rPr>
                <w:rFonts w:hint="eastAsia" w:ascii="宋体" w:hAnsi="宋体" w:eastAsia="宋体" w:cs="宋体"/>
                <w:color w:val="auto"/>
                <w:sz w:val="21"/>
                <w:szCs w:val="21"/>
                <w:highlight w:val="none"/>
              </w:rPr>
              <w:t>处理。</w:t>
            </w:r>
          </w:p>
        </w:tc>
      </w:tr>
    </w:tbl>
    <w:p>
      <w:pPr>
        <w:snapToGrid w:val="0"/>
        <w:spacing w:line="360" w:lineRule="auto"/>
        <w:rPr>
          <w:rFonts w:hint="eastAsia" w:ascii="宋体" w:hAnsi="宋体" w:eastAsia="宋体" w:cs="宋体"/>
          <w:b/>
          <w:color w:val="auto"/>
          <w:sz w:val="21"/>
          <w:highlight w:val="none"/>
        </w:rPr>
      </w:pPr>
    </w:p>
    <w:p>
      <w:pPr>
        <w:rPr>
          <w:rFonts w:hint="eastAsia" w:ascii="宋体" w:hAnsi="宋体" w:eastAsia="宋体" w:cs="宋体"/>
          <w:b/>
          <w:color w:val="auto"/>
          <w:sz w:val="21"/>
          <w:highlight w:val="none"/>
        </w:rPr>
      </w:pPr>
      <w:r>
        <w:rPr>
          <w:rFonts w:hint="eastAsia" w:ascii="宋体" w:hAnsi="宋体" w:eastAsia="宋体" w:cs="宋体"/>
          <w:b/>
          <w:color w:val="auto"/>
          <w:sz w:val="21"/>
          <w:highlight w:val="none"/>
        </w:rPr>
        <w:br w:type="page"/>
      </w:r>
    </w:p>
    <w:p>
      <w:pPr>
        <w:snapToGrid w:val="0"/>
        <w:spacing w:line="360" w:lineRule="auto"/>
        <w:rPr>
          <w:rFonts w:hint="eastAsia" w:ascii="宋体" w:hAnsi="宋体" w:eastAsia="宋体" w:cs="宋体"/>
          <w:b/>
          <w:color w:val="auto"/>
          <w:sz w:val="21"/>
          <w:highlight w:val="none"/>
        </w:rPr>
      </w:pPr>
    </w:p>
    <w:p>
      <w:pPr>
        <w:snapToGrid w:val="0"/>
        <w:spacing w:line="360" w:lineRule="auto"/>
        <w:rPr>
          <w:rFonts w:hint="eastAsia" w:ascii="宋体" w:hAnsi="宋体" w:eastAsia="宋体" w:cs="宋体"/>
          <w:b/>
          <w:color w:val="auto"/>
          <w:sz w:val="21"/>
          <w:highlight w:val="none"/>
        </w:rPr>
      </w:pPr>
    </w:p>
    <w:p>
      <w:pPr>
        <w:snapToGrid w:val="0"/>
        <w:spacing w:line="360" w:lineRule="auto"/>
        <w:rPr>
          <w:rFonts w:hint="eastAsia" w:ascii="宋体" w:hAnsi="宋体" w:eastAsia="宋体" w:cs="宋体"/>
          <w:b/>
          <w:color w:val="auto"/>
          <w:sz w:val="21"/>
          <w:highlight w:val="none"/>
        </w:rPr>
      </w:pPr>
    </w:p>
    <w:p>
      <w:pPr>
        <w:snapToGrid w:val="0"/>
        <w:spacing w:line="360" w:lineRule="auto"/>
        <w:rPr>
          <w:rFonts w:hint="eastAsia" w:ascii="宋体" w:hAnsi="宋体" w:eastAsia="宋体" w:cs="宋体"/>
          <w:b/>
          <w:color w:val="auto"/>
          <w:sz w:val="21"/>
          <w:highlight w:val="none"/>
        </w:rPr>
      </w:pPr>
    </w:p>
    <w:p>
      <w:pPr>
        <w:snapToGrid w:val="0"/>
        <w:spacing w:line="360" w:lineRule="auto"/>
        <w:rPr>
          <w:rFonts w:hint="eastAsia" w:ascii="宋体" w:hAnsi="宋体" w:eastAsia="宋体" w:cs="宋体"/>
          <w:b/>
          <w:color w:val="auto"/>
          <w:sz w:val="21"/>
          <w:highlight w:val="none"/>
        </w:rPr>
      </w:pPr>
    </w:p>
    <w:p>
      <w:pPr>
        <w:snapToGrid w:val="0"/>
        <w:spacing w:line="360" w:lineRule="auto"/>
        <w:rPr>
          <w:rFonts w:hint="eastAsia" w:ascii="宋体" w:hAnsi="宋体" w:eastAsia="宋体" w:cs="宋体"/>
          <w:b/>
          <w:color w:val="auto"/>
          <w:sz w:val="21"/>
          <w:highlight w:val="none"/>
        </w:rPr>
      </w:pPr>
    </w:p>
    <w:p>
      <w:pPr>
        <w:snapToGrid w:val="0"/>
        <w:spacing w:line="360" w:lineRule="auto"/>
        <w:rPr>
          <w:rFonts w:hint="eastAsia" w:ascii="宋体" w:hAnsi="宋体" w:eastAsia="宋体" w:cs="宋体"/>
          <w:b/>
          <w:color w:val="auto"/>
          <w:sz w:val="21"/>
          <w:highlight w:val="none"/>
        </w:rPr>
      </w:pPr>
    </w:p>
    <w:p>
      <w:pPr>
        <w:snapToGrid w:val="0"/>
        <w:spacing w:line="360" w:lineRule="auto"/>
        <w:rPr>
          <w:rFonts w:hint="eastAsia" w:ascii="宋体" w:hAnsi="宋体" w:eastAsia="宋体" w:cs="宋体"/>
          <w:b/>
          <w:color w:val="auto"/>
          <w:sz w:val="21"/>
          <w:highlight w:val="none"/>
        </w:rPr>
      </w:pPr>
    </w:p>
    <w:p>
      <w:pPr>
        <w:snapToGrid w:val="0"/>
        <w:spacing w:line="360" w:lineRule="auto"/>
        <w:rPr>
          <w:rFonts w:hint="eastAsia" w:ascii="宋体" w:hAnsi="宋体" w:eastAsia="宋体" w:cs="宋体"/>
          <w:b/>
          <w:color w:val="auto"/>
          <w:sz w:val="21"/>
          <w:highlight w:val="none"/>
        </w:rPr>
      </w:pPr>
    </w:p>
    <w:p>
      <w:pPr>
        <w:pStyle w:val="5"/>
        <w:numPr>
          <w:ilvl w:val="0"/>
          <w:numId w:val="0"/>
        </w:numPr>
        <w:tabs>
          <w:tab w:val="clear" w:pos="600"/>
        </w:tabs>
        <w:ind w:left="240" w:firstLine="0"/>
        <w:jc w:val="center"/>
        <w:rPr>
          <w:rFonts w:hint="eastAsia" w:ascii="宋体" w:hAnsi="宋体" w:eastAsia="宋体" w:cs="宋体"/>
          <w:b w:val="0"/>
          <w:color w:val="auto"/>
          <w:sz w:val="44"/>
          <w:highlight w:val="none"/>
        </w:rPr>
      </w:pPr>
      <w:bookmarkStart w:id="145" w:name="_Toc7637"/>
      <w:bookmarkStart w:id="146" w:name="_Toc20034"/>
      <w:bookmarkStart w:id="147" w:name="_Toc18894"/>
      <w:bookmarkStart w:id="148" w:name="_Toc9669"/>
      <w:r>
        <w:rPr>
          <w:rFonts w:hint="eastAsia" w:ascii="宋体" w:hAnsi="宋体" w:eastAsia="宋体" w:cs="宋体"/>
          <w:b w:val="0"/>
          <w:color w:val="auto"/>
          <w:sz w:val="44"/>
          <w:highlight w:val="none"/>
        </w:rPr>
        <w:t>第四章　</w:t>
      </w:r>
      <w:r>
        <w:rPr>
          <w:rFonts w:hint="eastAsia" w:ascii="宋体" w:hAnsi="宋体" w:eastAsia="宋体" w:cs="宋体"/>
          <w:b w:val="0"/>
          <w:bCs/>
          <w:color w:val="auto"/>
          <w:sz w:val="44"/>
          <w:szCs w:val="44"/>
          <w:highlight w:val="none"/>
        </w:rPr>
        <w:t>合同</w:t>
      </w:r>
      <w:r>
        <w:rPr>
          <w:rFonts w:hint="eastAsia" w:ascii="宋体" w:hAnsi="宋体" w:eastAsia="宋体" w:cs="宋体"/>
          <w:b w:val="0"/>
          <w:bCs/>
          <w:color w:val="auto"/>
          <w:sz w:val="44"/>
          <w:szCs w:val="44"/>
          <w:highlight w:val="none"/>
          <w:lang w:val="en-US" w:eastAsia="zh-CN"/>
        </w:rPr>
        <w:t>条款</w:t>
      </w:r>
      <w:r>
        <w:rPr>
          <w:rFonts w:hint="eastAsia" w:ascii="宋体" w:hAnsi="宋体" w:eastAsia="宋体" w:cs="宋体"/>
          <w:b w:val="0"/>
          <w:bCs/>
          <w:color w:val="auto"/>
          <w:sz w:val="44"/>
          <w:szCs w:val="44"/>
          <w:highlight w:val="none"/>
        </w:rPr>
        <w:t>及格式</w:t>
      </w:r>
      <w:bookmarkEnd w:id="145"/>
      <w:bookmarkEnd w:id="146"/>
      <w:bookmarkEnd w:id="147"/>
      <w:bookmarkEnd w:id="148"/>
    </w:p>
    <w:p>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color w:val="auto"/>
          <w:sz w:val="24"/>
          <w:highlight w:val="none"/>
        </w:rPr>
        <w:br w:type="page"/>
      </w:r>
    </w:p>
    <w:p>
      <w:pPr>
        <w:adjustRightInd w:val="0"/>
        <w:spacing w:line="360" w:lineRule="auto"/>
        <w:jc w:val="center"/>
        <w:rPr>
          <w:rFonts w:hint="default" w:ascii="Times New Roman" w:hAnsi="Times New Roman" w:eastAsia="方正仿宋_GBK" w:cs="Times New Roman"/>
          <w:b/>
          <w:color w:val="000000"/>
          <w:kern w:val="0"/>
          <w:sz w:val="36"/>
          <w:szCs w:val="36"/>
          <w:highlight w:val="none"/>
        </w:rPr>
      </w:pPr>
      <w:bookmarkStart w:id="149" w:name="_Toc505868077"/>
      <w:bookmarkStart w:id="150" w:name="_Toc4841"/>
      <w:bookmarkStart w:id="151" w:name="_Toc8251"/>
      <w:bookmarkStart w:id="152" w:name="_Toc18089"/>
      <w:bookmarkStart w:id="153" w:name="_Toc31941"/>
      <w:bookmarkStart w:id="154" w:name="_Toc19202_WPSOffice_Level1"/>
      <w:bookmarkStart w:id="155" w:name="_Toc31947"/>
      <w:bookmarkStart w:id="156" w:name="_Toc23599"/>
      <w:bookmarkStart w:id="157" w:name="_Toc7750"/>
      <w:bookmarkStart w:id="158" w:name="_Toc9890"/>
      <w:bookmarkStart w:id="159" w:name="_Toc7481_WPSOffice_Level1"/>
      <w:bookmarkStart w:id="160" w:name="_Toc3892"/>
      <w:r>
        <w:rPr>
          <w:rFonts w:hint="eastAsia" w:ascii="宋体" w:hAnsi="宋体" w:eastAsia="宋体" w:cs="宋体"/>
          <w:color w:val="auto"/>
          <w:highlight w:val="none"/>
        </w:rPr>
        <w:br w:type="page"/>
      </w:r>
      <w:r>
        <w:rPr>
          <w:rFonts w:hint="eastAsia" w:ascii="Times New Roman" w:hAnsi="Times New Roman" w:eastAsia="方正仿宋_GBK" w:cs="Times New Roman"/>
          <w:b/>
          <w:color w:val="000000"/>
          <w:kern w:val="0"/>
          <w:sz w:val="36"/>
          <w:szCs w:val="36"/>
          <w:highlight w:val="none"/>
          <w:lang w:val="en-US" w:eastAsia="zh-CN"/>
        </w:rPr>
        <w:t>2026年度</w:t>
      </w:r>
      <w:r>
        <w:rPr>
          <w:rFonts w:hint="default" w:ascii="Times New Roman" w:hAnsi="Times New Roman" w:eastAsia="方正仿宋_GBK" w:cs="Times New Roman"/>
          <w:b/>
          <w:color w:val="000000"/>
          <w:kern w:val="0"/>
          <w:sz w:val="36"/>
          <w:szCs w:val="36"/>
          <w:highlight w:val="none"/>
        </w:rPr>
        <w:t>供配电设施设备</w:t>
      </w:r>
    </w:p>
    <w:p>
      <w:pPr>
        <w:adjustRightInd w:val="0"/>
        <w:spacing w:line="360" w:lineRule="auto"/>
        <w:jc w:val="center"/>
        <w:rPr>
          <w:rFonts w:hint="default" w:ascii="Times New Roman" w:hAnsi="Times New Roman" w:eastAsia="方正仿宋_GBK" w:cs="Times New Roman"/>
          <w:b/>
          <w:color w:val="000000"/>
          <w:kern w:val="0"/>
          <w:sz w:val="36"/>
          <w:szCs w:val="36"/>
          <w:highlight w:val="none"/>
        </w:rPr>
      </w:pPr>
      <w:r>
        <w:rPr>
          <w:rFonts w:hint="default" w:ascii="Times New Roman" w:hAnsi="Times New Roman" w:eastAsia="方正仿宋_GBK" w:cs="Times New Roman"/>
          <w:b/>
          <w:color w:val="000000"/>
          <w:kern w:val="0"/>
          <w:sz w:val="36"/>
          <w:szCs w:val="36"/>
          <w:highlight w:val="none"/>
        </w:rPr>
        <w:t>维修保养服务合同</w:t>
      </w:r>
    </w:p>
    <w:p>
      <w:pPr>
        <w:adjustRightInd w:val="0"/>
        <w:spacing w:line="600" w:lineRule="exact"/>
        <w:jc w:val="center"/>
        <w:rPr>
          <w:rFonts w:hint="default" w:ascii="Times New Roman" w:hAnsi="Times New Roman" w:eastAsia="方正仿宋_GBK" w:cs="Times New Roman"/>
          <w:b/>
          <w:color w:val="000000"/>
          <w:sz w:val="24"/>
          <w:highlight w:val="none"/>
        </w:rPr>
      </w:pPr>
      <w:r>
        <w:rPr>
          <w:rFonts w:hint="default" w:ascii="Times New Roman" w:hAnsi="Times New Roman" w:eastAsia="方正仿宋_GBK" w:cs="Times New Roman"/>
          <w:b/>
          <w:color w:val="000000"/>
          <w:sz w:val="32"/>
          <w:szCs w:val="32"/>
          <w:highlight w:val="none"/>
        </w:rPr>
        <w:t xml:space="preserve">            </w:t>
      </w:r>
      <w:r>
        <w:rPr>
          <w:rFonts w:hint="eastAsia" w:ascii="Times New Roman" w:hAnsi="Times New Roman" w:eastAsia="方正仿宋_GBK" w:cs="Times New Roman"/>
          <w:b/>
          <w:color w:val="000000"/>
          <w:sz w:val="32"/>
          <w:szCs w:val="32"/>
          <w:highlight w:val="none"/>
          <w:lang w:val="en-US" w:eastAsia="zh-CN"/>
        </w:rPr>
        <w:t xml:space="preserve">                   </w:t>
      </w:r>
      <w:r>
        <w:rPr>
          <w:rFonts w:hint="default" w:ascii="Times New Roman" w:hAnsi="Times New Roman" w:eastAsia="方正仿宋_GBK" w:cs="Times New Roman"/>
          <w:b/>
          <w:color w:val="000000"/>
          <w:sz w:val="32"/>
          <w:szCs w:val="32"/>
          <w:highlight w:val="none"/>
        </w:rPr>
        <w:t xml:space="preserve">   </w:t>
      </w:r>
      <w:r>
        <w:rPr>
          <w:rFonts w:eastAsia="方正仿宋_GBK"/>
          <w:sz w:val="28"/>
          <w:szCs w:val="28"/>
          <w:highlight w:val="none"/>
        </w:rPr>
        <w:t>【合同编号：</w:t>
      </w:r>
      <w:r>
        <w:rPr>
          <w:rFonts w:eastAsia="方正仿宋_GBK"/>
          <w:sz w:val="28"/>
          <w:szCs w:val="28"/>
          <w:highlight w:val="none"/>
          <w:u w:val="single"/>
        </w:rPr>
        <w:t xml:space="preserve">            </w:t>
      </w:r>
      <w:r>
        <w:rPr>
          <w:rFonts w:eastAsia="方正仿宋_GBK"/>
          <w:sz w:val="28"/>
          <w:szCs w:val="28"/>
          <w:highlight w:val="none"/>
        </w:rPr>
        <w:t>】</w:t>
      </w:r>
      <w:r>
        <w:rPr>
          <w:rFonts w:hint="default" w:ascii="Times New Roman" w:hAnsi="Times New Roman" w:eastAsia="方正仿宋_GBK" w:cs="Times New Roman"/>
          <w:b/>
          <w:color w:val="000000"/>
          <w:sz w:val="32"/>
          <w:szCs w:val="32"/>
          <w:highlight w:val="none"/>
        </w:rPr>
        <w:t xml:space="preserve">                 </w:t>
      </w:r>
    </w:p>
    <w:p>
      <w:pPr>
        <w:adjustRightInd w:val="0"/>
        <w:spacing w:line="600" w:lineRule="exact"/>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kern w:val="0"/>
          <w:sz w:val="28"/>
          <w:szCs w:val="28"/>
          <w:highlight w:val="none"/>
        </w:rPr>
        <w:t>委托方（以下简称甲方）：</w:t>
      </w:r>
      <w:r>
        <w:rPr>
          <w:rFonts w:hint="default" w:ascii="Times New Roman" w:hAnsi="Times New Roman" w:eastAsia="方正仿宋_GBK" w:cs="Times New Roman"/>
          <w:color w:val="000000"/>
          <w:kern w:val="0"/>
          <w:sz w:val="28"/>
          <w:szCs w:val="28"/>
          <w:highlight w:val="none"/>
          <w:u w:val="single"/>
        </w:rPr>
        <w:t xml:space="preserve"> </w:t>
      </w:r>
      <w:r>
        <w:rPr>
          <w:rFonts w:hint="eastAsia" w:ascii="Times New Roman" w:hAnsi="Times New Roman" w:eastAsia="方正仿宋_GBK" w:cs="Times New Roman"/>
          <w:color w:val="000000"/>
          <w:kern w:val="0"/>
          <w:sz w:val="28"/>
          <w:szCs w:val="28"/>
          <w:highlight w:val="none"/>
          <w:u w:val="single"/>
          <w:lang w:eastAsia="zh-CN"/>
        </w:rPr>
        <w:t>重庆通邑卫士智慧生活服务有限公司</w:t>
      </w:r>
      <w:r>
        <w:rPr>
          <w:rFonts w:hint="default" w:ascii="Times New Roman" w:hAnsi="Times New Roman" w:eastAsia="方正仿宋_GBK" w:cs="Times New Roman"/>
          <w:color w:val="000000"/>
          <w:kern w:val="0"/>
          <w:sz w:val="28"/>
          <w:szCs w:val="28"/>
          <w:highlight w:val="none"/>
          <w:u w:val="single"/>
        </w:rPr>
        <w:t xml:space="preserve"> </w:t>
      </w:r>
      <w:r>
        <w:rPr>
          <w:rFonts w:hint="default" w:ascii="Times New Roman" w:hAnsi="Times New Roman" w:eastAsia="方正仿宋_GBK" w:cs="Times New Roman"/>
          <w:color w:val="000000"/>
          <w:kern w:val="0"/>
          <w:sz w:val="28"/>
          <w:szCs w:val="28"/>
          <w:highlight w:val="none"/>
        </w:rPr>
        <w:t xml:space="preserve">  </w:t>
      </w:r>
    </w:p>
    <w:p>
      <w:pPr>
        <w:adjustRightInd w:val="0"/>
        <w:spacing w:line="600" w:lineRule="exact"/>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kern w:val="0"/>
          <w:sz w:val="28"/>
          <w:szCs w:val="28"/>
          <w:highlight w:val="none"/>
        </w:rPr>
        <w:t>地址：</w:t>
      </w:r>
      <w:r>
        <w:rPr>
          <w:rFonts w:hint="default" w:ascii="Times New Roman" w:hAnsi="Times New Roman" w:eastAsia="方正仿宋_GBK" w:cs="Times New Roman"/>
          <w:color w:val="000000"/>
          <w:kern w:val="0"/>
          <w:sz w:val="28"/>
          <w:szCs w:val="28"/>
          <w:highlight w:val="none"/>
          <w:u w:val="single"/>
        </w:rPr>
        <w:t xml:space="preserve"> 重庆市南岸区腾龙大道58号附25号           </w:t>
      </w:r>
      <w:r>
        <w:rPr>
          <w:rFonts w:hint="default" w:ascii="Times New Roman" w:hAnsi="Times New Roman" w:eastAsia="方正仿宋_GBK" w:cs="Times New Roman"/>
          <w:color w:val="000000"/>
          <w:sz w:val="28"/>
          <w:szCs w:val="28"/>
          <w:highlight w:val="none"/>
        </w:rPr>
        <w:t xml:space="preserve">                                      </w:t>
      </w:r>
    </w:p>
    <w:p>
      <w:pPr>
        <w:adjustRightInd w:val="0"/>
        <w:spacing w:line="600" w:lineRule="exact"/>
        <w:jc w:val="left"/>
        <w:rPr>
          <w:rFonts w:hint="default" w:ascii="Times New Roman" w:hAnsi="Times New Roman" w:eastAsia="方正仿宋_GBK" w:cs="Times New Roman"/>
          <w:color w:val="000000"/>
          <w:kern w:val="0"/>
          <w:sz w:val="28"/>
          <w:szCs w:val="28"/>
          <w:highlight w:val="none"/>
        </w:rPr>
      </w:pPr>
    </w:p>
    <w:p>
      <w:pPr>
        <w:adjustRightInd w:val="0"/>
        <w:spacing w:line="600" w:lineRule="exact"/>
        <w:jc w:val="left"/>
        <w:rPr>
          <w:rFonts w:hint="default" w:ascii="Times New Roman" w:hAnsi="Times New Roman" w:eastAsia="方正仿宋_GBK" w:cs="Times New Roman"/>
          <w:color w:val="000000"/>
          <w:kern w:val="0"/>
          <w:sz w:val="28"/>
          <w:szCs w:val="28"/>
          <w:highlight w:val="none"/>
          <w:u w:val="single"/>
        </w:rPr>
      </w:pPr>
      <w:r>
        <w:rPr>
          <w:rFonts w:hint="default" w:ascii="Times New Roman" w:hAnsi="Times New Roman" w:eastAsia="方正仿宋_GBK" w:cs="Times New Roman"/>
          <w:color w:val="000000"/>
          <w:kern w:val="0"/>
          <w:sz w:val="28"/>
          <w:szCs w:val="28"/>
          <w:highlight w:val="none"/>
        </w:rPr>
        <w:t>承包方（以下简称乙方）：</w:t>
      </w:r>
      <w:r>
        <w:rPr>
          <w:rFonts w:hint="default" w:ascii="Times New Roman" w:hAnsi="Times New Roman" w:eastAsia="方正仿宋_GBK" w:cs="Times New Roman"/>
          <w:color w:val="000000"/>
          <w:kern w:val="0"/>
          <w:sz w:val="28"/>
          <w:szCs w:val="28"/>
          <w:highlight w:val="none"/>
          <w:u w:val="single"/>
        </w:rPr>
        <w:t xml:space="preserve">                           </w:t>
      </w:r>
    </w:p>
    <w:p>
      <w:pPr>
        <w:adjustRightInd w:val="0"/>
        <w:spacing w:line="600" w:lineRule="exact"/>
        <w:jc w:val="left"/>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地址：</w:t>
      </w:r>
      <w:r>
        <w:rPr>
          <w:rFonts w:hint="default" w:ascii="Times New Roman" w:hAnsi="Times New Roman" w:eastAsia="方正仿宋_GBK" w:cs="Times New Roman"/>
          <w:color w:val="000000"/>
          <w:kern w:val="0"/>
          <w:sz w:val="28"/>
          <w:szCs w:val="28"/>
          <w:highlight w:val="none"/>
          <w:u w:val="single"/>
        </w:rPr>
        <w:t xml:space="preserve">                                             </w:t>
      </w:r>
      <w:r>
        <w:rPr>
          <w:rFonts w:hint="default" w:ascii="Times New Roman" w:hAnsi="Times New Roman" w:eastAsia="方正仿宋_GBK" w:cs="Times New Roman"/>
          <w:color w:val="000000"/>
          <w:kern w:val="0"/>
          <w:sz w:val="28"/>
          <w:szCs w:val="28"/>
          <w:highlight w:val="none"/>
        </w:rPr>
        <w:t xml:space="preserve">                            </w:t>
      </w:r>
    </w:p>
    <w:p>
      <w:pPr>
        <w:adjustRightInd w:val="0"/>
        <w:spacing w:line="600" w:lineRule="exact"/>
        <w:rPr>
          <w:rFonts w:hint="default" w:ascii="Times New Roman" w:hAnsi="Times New Roman" w:eastAsia="方正仿宋_GBK" w:cs="Times New Roman"/>
          <w:color w:val="000000"/>
          <w:sz w:val="28"/>
          <w:szCs w:val="28"/>
          <w:highlight w:val="none"/>
          <w:u w:val="single"/>
        </w:rPr>
      </w:pPr>
    </w:p>
    <w:p>
      <w:pPr>
        <w:adjustRightInd w:val="0"/>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kern w:val="0"/>
          <w:sz w:val="28"/>
          <w:szCs w:val="28"/>
          <w:highlight w:val="none"/>
        </w:rPr>
        <w:t>依照</w:t>
      </w:r>
      <w:r>
        <w:rPr>
          <w:rFonts w:hint="eastAsia" w:ascii="Times New Roman" w:hAnsi="Times New Roman" w:eastAsia="方正仿宋_GBK" w:cs="Times New Roman"/>
          <w:color w:val="000000"/>
          <w:kern w:val="0"/>
          <w:sz w:val="28"/>
          <w:szCs w:val="28"/>
          <w:highlight w:val="none"/>
          <w:lang w:eastAsia="zh-CN"/>
        </w:rPr>
        <w:t>《</w:t>
      </w:r>
      <w:r>
        <w:rPr>
          <w:rFonts w:hint="default" w:ascii="Times New Roman" w:hAnsi="Times New Roman" w:eastAsia="方正仿宋_GBK" w:cs="Times New Roman"/>
          <w:color w:val="000000"/>
          <w:kern w:val="0"/>
          <w:sz w:val="28"/>
          <w:szCs w:val="28"/>
          <w:highlight w:val="none"/>
        </w:rPr>
        <w:t>中华人民共和国民法典</w:t>
      </w:r>
      <w:r>
        <w:rPr>
          <w:rFonts w:hint="eastAsia" w:ascii="Times New Roman" w:hAnsi="Times New Roman" w:eastAsia="方正仿宋_GBK" w:cs="Times New Roman"/>
          <w:color w:val="000000"/>
          <w:kern w:val="0"/>
          <w:sz w:val="28"/>
          <w:szCs w:val="28"/>
          <w:highlight w:val="none"/>
          <w:lang w:eastAsia="zh-CN"/>
        </w:rPr>
        <w:t>》</w:t>
      </w:r>
      <w:r>
        <w:rPr>
          <w:rFonts w:hint="default" w:ascii="Times New Roman" w:hAnsi="Times New Roman" w:eastAsia="方正仿宋_GBK" w:cs="Times New Roman"/>
          <w:color w:val="000000"/>
          <w:kern w:val="0"/>
          <w:sz w:val="28"/>
          <w:szCs w:val="28"/>
          <w:highlight w:val="none"/>
        </w:rPr>
        <w:t>及有关法律，在双方平等、自愿、协商一致的基础上，就甲方供配电设备设施维修保养服务有关事宜，达成以下协议，以兹双方共同遵守。</w:t>
      </w:r>
    </w:p>
    <w:p>
      <w:pPr>
        <w:adjustRightInd w:val="0"/>
        <w:spacing w:line="600" w:lineRule="exact"/>
        <w:jc w:val="center"/>
        <w:rPr>
          <w:rFonts w:hint="default" w:ascii="Times New Roman" w:hAnsi="Times New Roman" w:eastAsia="方正仿宋_GBK" w:cs="Times New Roman"/>
          <w:b/>
          <w:color w:val="000000"/>
          <w:kern w:val="0"/>
          <w:sz w:val="28"/>
          <w:szCs w:val="28"/>
          <w:highlight w:val="none"/>
        </w:rPr>
      </w:pPr>
      <w:r>
        <w:rPr>
          <w:rFonts w:hint="default" w:ascii="Times New Roman" w:hAnsi="Times New Roman" w:eastAsia="方正仿宋_GBK" w:cs="Times New Roman"/>
          <w:b/>
          <w:color w:val="000000"/>
          <w:kern w:val="0"/>
          <w:sz w:val="28"/>
          <w:szCs w:val="28"/>
          <w:highlight w:val="none"/>
        </w:rPr>
        <w:t>第一条  维护保养项目与合同期</w:t>
      </w:r>
    </w:p>
    <w:p>
      <w:pPr>
        <w:adjustRightInd w:val="0"/>
        <w:spacing w:line="600" w:lineRule="exact"/>
        <w:ind w:firstLine="560" w:firstLineChars="200"/>
        <w:rPr>
          <w:rFonts w:hint="default" w:ascii="Times New Roman" w:hAnsi="Times New Roman" w:eastAsia="方正仿宋_GBK" w:cs="Times New Roman"/>
          <w:bCs/>
          <w:color w:val="000000"/>
          <w:kern w:val="0"/>
          <w:sz w:val="28"/>
          <w:szCs w:val="28"/>
          <w:highlight w:val="none"/>
          <w:u w:val="single"/>
        </w:rPr>
      </w:pPr>
      <w:r>
        <w:rPr>
          <w:rFonts w:hint="default" w:ascii="Times New Roman" w:hAnsi="Times New Roman" w:eastAsia="方正仿宋_GBK" w:cs="Times New Roman"/>
          <w:bCs/>
          <w:color w:val="000000"/>
          <w:kern w:val="0"/>
          <w:sz w:val="28"/>
          <w:szCs w:val="28"/>
          <w:highlight w:val="none"/>
        </w:rPr>
        <w:t xml:space="preserve">（一）工程项目地址： </w:t>
      </w:r>
      <w:r>
        <w:rPr>
          <w:rFonts w:hint="default" w:ascii="Times New Roman" w:hAnsi="Times New Roman" w:eastAsia="方正仿宋_GBK" w:cs="Times New Roman"/>
          <w:bCs/>
          <w:color w:val="000000"/>
          <w:kern w:val="0"/>
          <w:sz w:val="28"/>
          <w:szCs w:val="28"/>
          <w:highlight w:val="none"/>
          <w:u w:val="single"/>
        </w:rPr>
        <w:t>腾黄路公交站场、康庄公交枢纽站、</w:t>
      </w:r>
      <w:r>
        <w:rPr>
          <w:rFonts w:hint="eastAsia" w:ascii="Times New Roman" w:hAnsi="Times New Roman" w:eastAsia="方正仿宋_GBK" w:cs="Times New Roman"/>
          <w:bCs/>
          <w:color w:val="000000"/>
          <w:kern w:val="0"/>
          <w:sz w:val="28"/>
          <w:szCs w:val="28"/>
          <w:highlight w:val="none"/>
          <w:u w:val="single"/>
          <w:lang w:eastAsia="zh-CN"/>
        </w:rPr>
        <w:t>沙坪坝铁路枢纽社会停车场</w:t>
      </w:r>
      <w:r>
        <w:rPr>
          <w:rFonts w:hint="default" w:ascii="Times New Roman" w:hAnsi="Times New Roman" w:eastAsia="方正仿宋_GBK" w:cs="Times New Roman"/>
          <w:bCs/>
          <w:color w:val="000000"/>
          <w:kern w:val="0"/>
          <w:sz w:val="28"/>
          <w:szCs w:val="28"/>
          <w:highlight w:val="none"/>
          <w:u w:val="single"/>
        </w:rPr>
        <w:t>、盛德路公交站场、重庆西站场、白鹤公交站场、陈庹路公交站场及</w:t>
      </w:r>
      <w:r>
        <w:rPr>
          <w:rFonts w:hint="default" w:ascii="Times New Roman" w:hAnsi="Times New Roman" w:eastAsia="方正仿宋_GBK" w:cs="Times New Roman"/>
          <w:bCs/>
          <w:color w:val="000000"/>
          <w:kern w:val="0"/>
          <w:sz w:val="28"/>
          <w:szCs w:val="28"/>
          <w:highlight w:val="none"/>
          <w:u w:val="single"/>
          <w:lang w:eastAsia="zh-CN"/>
        </w:rPr>
        <w:t>重庆市交通运输委员会</w:t>
      </w:r>
      <w:r>
        <w:rPr>
          <w:rFonts w:hint="default" w:ascii="Times New Roman" w:hAnsi="Times New Roman" w:eastAsia="方正仿宋_GBK" w:cs="Times New Roman"/>
          <w:bCs/>
          <w:color w:val="000000"/>
          <w:kern w:val="0"/>
          <w:sz w:val="28"/>
          <w:szCs w:val="28"/>
          <w:highlight w:val="none"/>
          <w:u w:val="single"/>
        </w:rPr>
        <w:t>。</w:t>
      </w:r>
    </w:p>
    <w:p>
      <w:pPr>
        <w:adjustRightInd w:val="0"/>
        <w:spacing w:line="600" w:lineRule="exact"/>
        <w:ind w:firstLine="560" w:firstLineChars="200"/>
        <w:rPr>
          <w:rFonts w:hint="default" w:ascii="Times New Roman" w:hAnsi="Times New Roman" w:eastAsia="方正仿宋_GBK" w:cs="Times New Roman"/>
          <w:bCs/>
          <w:color w:val="000000"/>
          <w:kern w:val="0"/>
          <w:sz w:val="28"/>
          <w:szCs w:val="28"/>
          <w:highlight w:val="none"/>
        </w:rPr>
      </w:pPr>
      <w:r>
        <w:rPr>
          <w:rFonts w:hint="default" w:ascii="Times New Roman" w:hAnsi="Times New Roman" w:eastAsia="方正仿宋_GBK" w:cs="Times New Roman"/>
          <w:bCs/>
          <w:color w:val="000000"/>
          <w:kern w:val="0"/>
          <w:sz w:val="28"/>
          <w:szCs w:val="28"/>
          <w:highlight w:val="none"/>
        </w:rPr>
        <w:t>（二）服务期限</w:t>
      </w:r>
    </w:p>
    <w:p>
      <w:pPr>
        <w:adjustRightInd w:val="0"/>
        <w:spacing w:line="600" w:lineRule="exact"/>
        <w:ind w:firstLine="560" w:firstLineChars="200"/>
        <w:rPr>
          <w:rFonts w:eastAsia="方正仿宋_GBK"/>
          <w:bCs/>
          <w:kern w:val="0"/>
          <w:sz w:val="28"/>
          <w:szCs w:val="28"/>
          <w:highlight w:val="none"/>
        </w:rPr>
      </w:pPr>
      <w:r>
        <w:rPr>
          <w:rFonts w:hint="default" w:ascii="Times New Roman" w:hAnsi="Times New Roman" w:eastAsia="方正仿宋_GBK" w:cs="Times New Roman"/>
          <w:bCs/>
          <w:color w:val="000000"/>
          <w:kern w:val="0"/>
          <w:sz w:val="28"/>
          <w:szCs w:val="28"/>
          <w:highlight w:val="none"/>
        </w:rPr>
        <w:t>1合同期限为</w:t>
      </w:r>
      <w:r>
        <w:rPr>
          <w:rFonts w:hint="default" w:ascii="Times New Roman" w:hAnsi="Times New Roman" w:eastAsia="方正仿宋_GBK" w:cs="Times New Roman"/>
          <w:bCs/>
          <w:color w:val="000000"/>
          <w:kern w:val="0"/>
          <w:sz w:val="28"/>
          <w:szCs w:val="28"/>
          <w:highlight w:val="none"/>
          <w:u w:val="single"/>
        </w:rPr>
        <w:t>12</w:t>
      </w:r>
      <w:r>
        <w:rPr>
          <w:rFonts w:hint="default" w:ascii="Times New Roman" w:hAnsi="Times New Roman" w:eastAsia="方正仿宋_GBK" w:cs="Times New Roman"/>
          <w:bCs/>
          <w:color w:val="000000"/>
          <w:kern w:val="0"/>
          <w:sz w:val="28"/>
          <w:szCs w:val="28"/>
          <w:highlight w:val="none"/>
        </w:rPr>
        <w:t xml:space="preserve">个月，自 </w:t>
      </w:r>
      <w:r>
        <w:rPr>
          <w:rFonts w:hint="default" w:ascii="Times New Roman" w:hAnsi="Times New Roman" w:eastAsia="方正仿宋_GBK" w:cs="Times New Roman"/>
          <w:bCs/>
          <w:color w:val="000000"/>
          <w:kern w:val="0"/>
          <w:sz w:val="28"/>
          <w:szCs w:val="28"/>
          <w:highlight w:val="none"/>
          <w:u w:val="single"/>
        </w:rPr>
        <w:t>202</w:t>
      </w:r>
      <w:r>
        <w:rPr>
          <w:rFonts w:hint="eastAsia" w:ascii="Times New Roman" w:hAnsi="Times New Roman" w:eastAsia="方正仿宋_GBK" w:cs="Times New Roman"/>
          <w:bCs/>
          <w:color w:val="000000"/>
          <w:kern w:val="0"/>
          <w:sz w:val="28"/>
          <w:szCs w:val="28"/>
          <w:highlight w:val="none"/>
          <w:u w:val="single"/>
          <w:lang w:val="en-US" w:eastAsia="zh-CN"/>
        </w:rPr>
        <w:t>6</w:t>
      </w:r>
      <w:r>
        <w:rPr>
          <w:rFonts w:hint="default" w:ascii="Times New Roman" w:hAnsi="Times New Roman" w:eastAsia="方正仿宋_GBK" w:cs="Times New Roman"/>
          <w:bCs/>
          <w:color w:val="000000"/>
          <w:kern w:val="0"/>
          <w:sz w:val="28"/>
          <w:szCs w:val="28"/>
          <w:highlight w:val="none"/>
        </w:rPr>
        <w:t>年</w:t>
      </w:r>
      <w:r>
        <w:rPr>
          <w:rFonts w:hint="default" w:ascii="Times New Roman" w:hAnsi="Times New Roman" w:eastAsia="方正仿宋_GBK" w:cs="Times New Roman"/>
          <w:bCs/>
          <w:color w:val="000000"/>
          <w:kern w:val="0"/>
          <w:sz w:val="28"/>
          <w:szCs w:val="28"/>
          <w:highlight w:val="none"/>
          <w:u w:val="single"/>
        </w:rPr>
        <w:t>1</w:t>
      </w:r>
      <w:r>
        <w:rPr>
          <w:rFonts w:hint="default" w:ascii="Times New Roman" w:hAnsi="Times New Roman" w:eastAsia="方正仿宋_GBK" w:cs="Times New Roman"/>
          <w:bCs/>
          <w:color w:val="000000"/>
          <w:kern w:val="0"/>
          <w:sz w:val="28"/>
          <w:szCs w:val="28"/>
          <w:highlight w:val="none"/>
        </w:rPr>
        <w:t>月</w:t>
      </w:r>
      <w:r>
        <w:rPr>
          <w:rFonts w:hint="default" w:ascii="Times New Roman" w:hAnsi="Times New Roman" w:eastAsia="方正仿宋_GBK" w:cs="Times New Roman"/>
          <w:bCs/>
          <w:color w:val="000000"/>
          <w:kern w:val="0"/>
          <w:sz w:val="28"/>
          <w:szCs w:val="28"/>
          <w:highlight w:val="none"/>
          <w:u w:val="single"/>
        </w:rPr>
        <w:t>1</w:t>
      </w:r>
      <w:r>
        <w:rPr>
          <w:rFonts w:hint="default" w:ascii="Times New Roman" w:hAnsi="Times New Roman" w:eastAsia="方正仿宋_GBK" w:cs="Times New Roman"/>
          <w:bCs/>
          <w:color w:val="000000"/>
          <w:kern w:val="0"/>
          <w:sz w:val="28"/>
          <w:szCs w:val="28"/>
          <w:highlight w:val="none"/>
        </w:rPr>
        <w:t>日起至</w:t>
      </w:r>
      <w:r>
        <w:rPr>
          <w:rFonts w:hint="default" w:ascii="Times New Roman" w:hAnsi="Times New Roman" w:eastAsia="方正仿宋_GBK" w:cs="Times New Roman"/>
          <w:bCs/>
          <w:color w:val="000000"/>
          <w:kern w:val="0"/>
          <w:sz w:val="28"/>
          <w:szCs w:val="28"/>
          <w:highlight w:val="none"/>
          <w:u w:val="single"/>
        </w:rPr>
        <w:t>202</w:t>
      </w:r>
      <w:r>
        <w:rPr>
          <w:rFonts w:hint="eastAsia" w:ascii="Times New Roman" w:hAnsi="Times New Roman" w:eastAsia="方正仿宋_GBK" w:cs="Times New Roman"/>
          <w:bCs/>
          <w:color w:val="000000"/>
          <w:kern w:val="0"/>
          <w:sz w:val="28"/>
          <w:szCs w:val="28"/>
          <w:highlight w:val="none"/>
          <w:u w:val="single"/>
          <w:lang w:val="en-US" w:eastAsia="zh-CN"/>
        </w:rPr>
        <w:t>6</w:t>
      </w:r>
      <w:r>
        <w:rPr>
          <w:rFonts w:hint="default" w:ascii="Times New Roman" w:hAnsi="Times New Roman" w:eastAsia="方正仿宋_GBK" w:cs="Times New Roman"/>
          <w:bCs/>
          <w:color w:val="000000"/>
          <w:kern w:val="0"/>
          <w:sz w:val="28"/>
          <w:szCs w:val="28"/>
          <w:highlight w:val="none"/>
        </w:rPr>
        <w:t>年</w:t>
      </w:r>
      <w:r>
        <w:rPr>
          <w:rFonts w:hint="default" w:ascii="Times New Roman" w:hAnsi="Times New Roman" w:eastAsia="方正仿宋_GBK" w:cs="Times New Roman"/>
          <w:bCs/>
          <w:color w:val="000000"/>
          <w:kern w:val="0"/>
          <w:sz w:val="28"/>
          <w:szCs w:val="28"/>
          <w:highlight w:val="none"/>
          <w:u w:val="single"/>
        </w:rPr>
        <w:t>12</w:t>
      </w:r>
      <w:r>
        <w:rPr>
          <w:rFonts w:hint="default" w:ascii="Times New Roman" w:hAnsi="Times New Roman" w:eastAsia="方正仿宋_GBK" w:cs="Times New Roman"/>
          <w:bCs/>
          <w:color w:val="000000"/>
          <w:kern w:val="0"/>
          <w:sz w:val="28"/>
          <w:szCs w:val="28"/>
          <w:highlight w:val="none"/>
        </w:rPr>
        <w:t>月</w:t>
      </w:r>
      <w:r>
        <w:rPr>
          <w:rFonts w:hint="default" w:ascii="Times New Roman" w:hAnsi="Times New Roman" w:eastAsia="方正仿宋_GBK" w:cs="Times New Roman"/>
          <w:bCs/>
          <w:color w:val="000000"/>
          <w:kern w:val="0"/>
          <w:sz w:val="28"/>
          <w:szCs w:val="28"/>
          <w:highlight w:val="none"/>
          <w:u w:val="single"/>
        </w:rPr>
        <w:t>31</w:t>
      </w:r>
      <w:r>
        <w:rPr>
          <w:rFonts w:hint="default" w:ascii="Times New Roman" w:hAnsi="Times New Roman" w:eastAsia="方正仿宋_GBK" w:cs="Times New Roman"/>
          <w:bCs/>
          <w:color w:val="000000"/>
          <w:kern w:val="0"/>
          <w:sz w:val="28"/>
          <w:szCs w:val="28"/>
          <w:highlight w:val="none"/>
        </w:rPr>
        <w:t>日止。</w:t>
      </w:r>
      <w:r>
        <w:rPr>
          <w:rFonts w:eastAsia="方正仿宋_GBK"/>
          <w:bCs/>
          <w:kern w:val="0"/>
          <w:sz w:val="28"/>
          <w:szCs w:val="28"/>
          <w:highlight w:val="none"/>
        </w:rPr>
        <w:t>首年合同到期后，经评审合格可续签合同，续签期限为</w:t>
      </w:r>
      <w:r>
        <w:rPr>
          <w:rFonts w:hint="eastAsia" w:eastAsia="方正仿宋_GBK"/>
          <w:bCs/>
          <w:kern w:val="0"/>
          <w:sz w:val="28"/>
          <w:szCs w:val="28"/>
          <w:highlight w:val="none"/>
          <w:u w:val="single"/>
        </w:rPr>
        <w:t>壹</w:t>
      </w:r>
      <w:r>
        <w:rPr>
          <w:rFonts w:eastAsia="方正仿宋_GBK"/>
          <w:bCs/>
          <w:kern w:val="0"/>
          <w:sz w:val="28"/>
          <w:szCs w:val="28"/>
          <w:highlight w:val="none"/>
        </w:rPr>
        <w:t>年</w:t>
      </w:r>
      <w:r>
        <w:rPr>
          <w:rFonts w:hint="eastAsia" w:eastAsia="方正仿宋_GBK"/>
          <w:bCs/>
          <w:kern w:val="0"/>
          <w:sz w:val="28"/>
          <w:szCs w:val="28"/>
          <w:highlight w:val="none"/>
        </w:rPr>
        <w:t>。</w:t>
      </w:r>
    </w:p>
    <w:p>
      <w:pPr>
        <w:adjustRightInd w:val="0"/>
        <w:spacing w:line="600" w:lineRule="exact"/>
        <w:ind w:firstLine="560" w:firstLineChars="200"/>
        <w:rPr>
          <w:rFonts w:hint="default" w:ascii="Times New Roman" w:hAnsi="Times New Roman" w:eastAsia="方正仿宋_GBK" w:cs="Times New Roman"/>
          <w:bCs/>
          <w:color w:val="000000"/>
          <w:kern w:val="0"/>
          <w:sz w:val="28"/>
          <w:szCs w:val="28"/>
          <w:highlight w:val="none"/>
        </w:rPr>
      </w:pPr>
      <w:r>
        <w:rPr>
          <w:rFonts w:hint="default" w:ascii="Times New Roman" w:hAnsi="Times New Roman" w:eastAsia="方正仿宋_GBK" w:cs="Times New Roman"/>
          <w:bCs/>
          <w:color w:val="000000"/>
          <w:kern w:val="0"/>
          <w:sz w:val="28"/>
          <w:szCs w:val="28"/>
          <w:highlight w:val="none"/>
          <w:lang w:val="en-US" w:eastAsia="zh-CN"/>
        </w:rPr>
        <w:t>2</w:t>
      </w:r>
      <w:r>
        <w:rPr>
          <w:rFonts w:hint="default" w:ascii="Times New Roman" w:hAnsi="Times New Roman" w:eastAsia="方正仿宋_GBK" w:cs="Times New Roman"/>
          <w:bCs/>
          <w:color w:val="000000"/>
          <w:kern w:val="0"/>
          <w:sz w:val="28"/>
          <w:szCs w:val="28"/>
          <w:highlight w:val="none"/>
        </w:rPr>
        <w:t>.</w:t>
      </w:r>
      <w:r>
        <w:rPr>
          <w:rFonts w:eastAsia="方正仿宋_GBK"/>
          <w:bCs/>
          <w:kern w:val="0"/>
          <w:sz w:val="28"/>
          <w:szCs w:val="28"/>
          <w:highlight w:val="none"/>
        </w:rPr>
        <w:t>项目具体进场时间以我司书面进场通知函为准并按该时间作为服务费用起算时间。</w:t>
      </w:r>
      <w:r>
        <w:rPr>
          <w:rFonts w:hint="eastAsia" w:eastAsia="方正仿宋_GBK"/>
          <w:sz w:val="28"/>
          <w:szCs w:val="28"/>
          <w:highlight w:val="none"/>
        </w:rPr>
        <w:t>合同期内，如业主方与</w:t>
      </w:r>
      <w:r>
        <w:rPr>
          <w:rFonts w:hint="eastAsia" w:eastAsia="方正仿宋_GBK"/>
          <w:sz w:val="28"/>
          <w:szCs w:val="28"/>
          <w:highlight w:val="none"/>
          <w:lang w:eastAsia="zh-CN"/>
        </w:rPr>
        <w:t>甲方</w:t>
      </w:r>
      <w:r>
        <w:rPr>
          <w:rFonts w:hint="eastAsia" w:eastAsia="方正仿宋_GBK"/>
          <w:sz w:val="28"/>
          <w:szCs w:val="28"/>
          <w:highlight w:val="none"/>
        </w:rPr>
        <w:t>合同提前终止，则本合同同步终止且甲方不承担违约责任</w:t>
      </w:r>
      <w:r>
        <w:rPr>
          <w:rFonts w:hint="eastAsia" w:eastAsia="方正仿宋_GBK"/>
          <w:bCs/>
          <w:kern w:val="0"/>
          <w:sz w:val="28"/>
          <w:szCs w:val="28"/>
          <w:highlight w:val="none"/>
        </w:rPr>
        <w:t>。</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baseline"/>
        <w:rPr>
          <w:rFonts w:ascii="Times New Roman" w:hAnsi="Times New Roman" w:eastAsia="方正仿宋_GBK" w:cs="Times New Roman"/>
          <w:bCs/>
          <w:kern w:val="0"/>
          <w:sz w:val="28"/>
          <w:szCs w:val="28"/>
          <w:highlight w:val="none"/>
          <w:lang w:val="en-US" w:eastAsia="zh-CN" w:bidi="ar-SA"/>
        </w:rPr>
      </w:pPr>
      <w:r>
        <w:rPr>
          <w:rFonts w:hint="eastAsia" w:ascii="Times New Roman" w:hAnsi="Times New Roman" w:eastAsia="方正仿宋_GBK" w:cs="Times New Roman"/>
          <w:bCs/>
          <w:kern w:val="0"/>
          <w:sz w:val="28"/>
          <w:szCs w:val="28"/>
          <w:highlight w:val="none"/>
          <w:lang w:val="en-US" w:eastAsia="zh-CN" w:bidi="ar-SA"/>
        </w:rPr>
        <w:t>3.</w:t>
      </w:r>
      <w:r>
        <w:rPr>
          <w:rFonts w:ascii="Times New Roman" w:hAnsi="Times New Roman" w:eastAsia="方正仿宋_GBK" w:cs="Times New Roman"/>
          <w:bCs/>
          <w:kern w:val="0"/>
          <w:sz w:val="28"/>
          <w:szCs w:val="28"/>
          <w:highlight w:val="none"/>
          <w:lang w:val="en-US" w:eastAsia="zh-CN" w:bidi="ar-SA"/>
        </w:rPr>
        <w:t>履约保证金</w:t>
      </w:r>
      <w:r>
        <w:rPr>
          <w:rFonts w:hint="eastAsia" w:ascii="Times New Roman" w:hAnsi="Times New Roman" w:eastAsia="方正仿宋_GBK" w:cs="Times New Roman"/>
          <w:bCs/>
          <w:kern w:val="0"/>
          <w:sz w:val="28"/>
          <w:szCs w:val="28"/>
          <w:highlight w:val="none"/>
          <w:lang w:val="en-US" w:eastAsia="zh-CN" w:bidi="ar-SA"/>
        </w:rPr>
        <w:t>金额：¥</w:t>
      </w:r>
      <w:r>
        <w:rPr>
          <w:rFonts w:hint="eastAsia" w:ascii="Times New Roman" w:hAnsi="Times New Roman" w:eastAsia="方正仿宋_GBK" w:cs="Times New Roman"/>
          <w:bCs/>
          <w:kern w:val="0"/>
          <w:sz w:val="28"/>
          <w:szCs w:val="28"/>
          <w:highlight w:val="none"/>
          <w:u w:val="single"/>
          <w:lang w:val="en-US" w:eastAsia="zh-CN" w:bidi="ar-SA"/>
        </w:rPr>
        <w:t xml:space="preserve">         </w:t>
      </w:r>
      <w:r>
        <w:rPr>
          <w:rFonts w:hint="eastAsia" w:ascii="Times New Roman" w:hAnsi="Times New Roman" w:eastAsia="方正仿宋_GBK" w:cs="Times New Roman"/>
          <w:bCs/>
          <w:kern w:val="0"/>
          <w:sz w:val="28"/>
          <w:szCs w:val="28"/>
          <w:highlight w:val="none"/>
          <w:lang w:val="en-US" w:eastAsia="zh-CN" w:bidi="ar-SA"/>
        </w:rPr>
        <w:t>元（大写：</w:t>
      </w:r>
      <w:r>
        <w:rPr>
          <w:rFonts w:hint="eastAsia" w:ascii="Times New Roman" w:hAnsi="Times New Roman" w:eastAsia="方正仿宋_GBK" w:cs="Times New Roman"/>
          <w:bCs/>
          <w:kern w:val="0"/>
          <w:sz w:val="28"/>
          <w:szCs w:val="28"/>
          <w:highlight w:val="none"/>
          <w:u w:val="single"/>
          <w:lang w:val="en-US" w:eastAsia="zh-CN" w:bidi="ar-SA"/>
        </w:rPr>
        <w:t xml:space="preserve">         </w:t>
      </w:r>
      <w:r>
        <w:rPr>
          <w:rFonts w:hint="eastAsia" w:ascii="Times New Roman" w:hAnsi="Times New Roman" w:eastAsia="方正仿宋_GBK" w:cs="Times New Roman"/>
          <w:bCs/>
          <w:kern w:val="0"/>
          <w:sz w:val="28"/>
          <w:szCs w:val="28"/>
          <w:highlight w:val="none"/>
          <w:lang w:val="en-US" w:eastAsia="zh-CN" w:bidi="ar-SA"/>
        </w:rPr>
        <w:t>），合同履约期满，且经甲方确认无违约情况后，甲方收到乙方履约保证金缴纳收据原件后15个工作日内无息退还。甲方有权因乙方违约、服务不达标、未完成移交等原因扣减或不予退还履约保证金。</w:t>
      </w:r>
    </w:p>
    <w:p>
      <w:pPr>
        <w:tabs>
          <w:tab w:val="left" w:pos="326"/>
        </w:tabs>
        <w:adjustRightInd w:val="0"/>
        <w:spacing w:line="600" w:lineRule="exact"/>
        <w:ind w:firstLine="560" w:firstLineChars="200"/>
        <w:rPr>
          <w:rFonts w:hint="default" w:ascii="Times New Roman" w:hAnsi="Times New Roman" w:eastAsia="方正仿宋_GBK" w:cs="Times New Roman"/>
          <w:bCs/>
          <w:color w:val="000000"/>
          <w:sz w:val="28"/>
          <w:szCs w:val="28"/>
          <w:highlight w:val="none"/>
        </w:rPr>
      </w:pPr>
      <w:r>
        <w:rPr>
          <w:rFonts w:hint="default" w:ascii="Times New Roman" w:hAnsi="Times New Roman" w:eastAsia="方正仿宋_GBK" w:cs="Times New Roman"/>
          <w:bCs/>
          <w:color w:val="000000"/>
          <w:sz w:val="28"/>
          <w:szCs w:val="28"/>
          <w:highlight w:val="none"/>
        </w:rPr>
        <w:t>（三）承包方式</w:t>
      </w:r>
    </w:p>
    <w:p>
      <w:pPr>
        <w:adjustRightInd w:val="0"/>
        <w:spacing w:line="600" w:lineRule="exact"/>
        <w:ind w:firstLine="560" w:firstLineChars="200"/>
        <w:jc w:val="left"/>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kern w:val="0"/>
          <w:sz w:val="28"/>
          <w:szCs w:val="28"/>
          <w:highlight w:val="none"/>
        </w:rPr>
        <w:t>合同以总承包方式承包，即乙方负责本合同内各款服务所含人工（含劳动法相关规定之福利）、税金、安全要求、文明施工、设备材料（</w:t>
      </w:r>
      <w:r>
        <w:rPr>
          <w:rFonts w:hint="default" w:ascii="Times New Roman" w:hAnsi="Times New Roman" w:eastAsia="方正仿宋_GBK" w:cs="Times New Roman"/>
          <w:bCs/>
          <w:color w:val="000000"/>
          <w:kern w:val="0"/>
          <w:sz w:val="28"/>
          <w:szCs w:val="28"/>
          <w:highlight w:val="none"/>
        </w:rPr>
        <w:t>单件</w:t>
      </w:r>
      <w:r>
        <w:rPr>
          <w:rFonts w:hint="default" w:ascii="Times New Roman" w:hAnsi="Times New Roman" w:eastAsia="方正仿宋_GBK" w:cs="Times New Roman"/>
          <w:color w:val="000000"/>
          <w:kern w:val="0"/>
          <w:sz w:val="28"/>
          <w:szCs w:val="28"/>
          <w:highlight w:val="none"/>
        </w:rPr>
        <w:t>材料¥</w:t>
      </w:r>
      <w:r>
        <w:rPr>
          <w:rFonts w:hint="default" w:ascii="Times New Roman" w:hAnsi="Times New Roman" w:eastAsia="方正仿宋_GBK" w:cs="Times New Roman"/>
          <w:color w:val="000000"/>
          <w:kern w:val="0"/>
          <w:sz w:val="28"/>
          <w:szCs w:val="28"/>
          <w:highlight w:val="none"/>
          <w:u w:val="single"/>
        </w:rPr>
        <w:t xml:space="preserve"> 300 </w:t>
      </w:r>
      <w:r>
        <w:rPr>
          <w:rFonts w:hint="default" w:ascii="Times New Roman" w:hAnsi="Times New Roman" w:eastAsia="方正仿宋_GBK" w:cs="Times New Roman"/>
          <w:color w:val="000000"/>
          <w:kern w:val="0"/>
          <w:sz w:val="28"/>
          <w:szCs w:val="28"/>
          <w:highlight w:val="none"/>
        </w:rPr>
        <w:t>元及</w:t>
      </w:r>
      <w:r>
        <w:rPr>
          <w:rFonts w:hint="eastAsia" w:ascii="Times New Roman" w:hAnsi="Times New Roman" w:eastAsia="方正仿宋_GBK" w:cs="Times New Roman"/>
          <w:color w:val="000000"/>
          <w:kern w:val="0"/>
          <w:sz w:val="28"/>
          <w:szCs w:val="28"/>
          <w:highlight w:val="none"/>
          <w:lang w:val="en-US" w:eastAsia="zh-CN"/>
        </w:rPr>
        <w:t>300元</w:t>
      </w:r>
      <w:r>
        <w:rPr>
          <w:rFonts w:hint="default" w:ascii="Times New Roman" w:hAnsi="Times New Roman" w:eastAsia="方正仿宋_GBK" w:cs="Times New Roman"/>
          <w:color w:val="000000"/>
          <w:kern w:val="0"/>
          <w:sz w:val="28"/>
          <w:szCs w:val="28"/>
          <w:highlight w:val="none"/>
        </w:rPr>
        <w:t>以</w:t>
      </w:r>
      <w:r>
        <w:rPr>
          <w:rFonts w:hint="eastAsia" w:ascii="Times New Roman" w:hAnsi="Times New Roman" w:eastAsia="方正仿宋_GBK" w:cs="Times New Roman"/>
          <w:color w:val="000000"/>
          <w:kern w:val="0"/>
          <w:sz w:val="28"/>
          <w:szCs w:val="28"/>
          <w:highlight w:val="none"/>
          <w:lang w:val="en-US" w:eastAsia="zh-CN"/>
        </w:rPr>
        <w:t>内</w:t>
      </w:r>
      <w:r>
        <w:rPr>
          <w:rFonts w:hint="default" w:ascii="Times New Roman" w:hAnsi="Times New Roman" w:eastAsia="方正仿宋_GBK" w:cs="Times New Roman"/>
          <w:color w:val="000000"/>
          <w:kern w:val="0"/>
          <w:sz w:val="28"/>
          <w:szCs w:val="28"/>
          <w:highlight w:val="none"/>
        </w:rPr>
        <w:t>）等为完成维保所需的全部工作及费用。乙方不得将合同项内工作进行转包、分包。</w:t>
      </w:r>
    </w:p>
    <w:p>
      <w:pPr>
        <w:adjustRightInd w:val="0"/>
        <w:spacing w:line="600" w:lineRule="exact"/>
        <w:ind w:firstLine="560" w:firstLineChars="200"/>
        <w:rPr>
          <w:rFonts w:hint="default" w:ascii="Times New Roman" w:hAnsi="Times New Roman" w:eastAsia="方正仿宋_GBK" w:cs="Times New Roman"/>
          <w:bCs/>
          <w:color w:val="000000"/>
          <w:sz w:val="28"/>
          <w:szCs w:val="28"/>
          <w:highlight w:val="none"/>
        </w:rPr>
      </w:pPr>
      <w:r>
        <w:rPr>
          <w:rFonts w:hint="default" w:ascii="Times New Roman" w:hAnsi="Times New Roman" w:eastAsia="方正仿宋_GBK" w:cs="Times New Roman"/>
          <w:bCs/>
          <w:color w:val="000000"/>
          <w:kern w:val="0"/>
          <w:sz w:val="28"/>
          <w:szCs w:val="28"/>
          <w:highlight w:val="none"/>
        </w:rPr>
        <w:t>（四）维修保养服务范围</w:t>
      </w:r>
    </w:p>
    <w:p>
      <w:pPr>
        <w:spacing w:line="600" w:lineRule="exact"/>
        <w:ind w:firstLine="560" w:firstLineChars="200"/>
        <w:jc w:val="left"/>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kern w:val="0"/>
          <w:sz w:val="28"/>
          <w:szCs w:val="28"/>
          <w:highlight w:val="none"/>
        </w:rPr>
        <w:t>甲乙双</w:t>
      </w:r>
      <w:r>
        <w:rPr>
          <w:rFonts w:hint="default" w:ascii="Times New Roman" w:hAnsi="Times New Roman" w:eastAsia="方正仿宋_GBK" w:cs="Times New Roman"/>
          <w:color w:val="000000"/>
          <w:sz w:val="28"/>
          <w:szCs w:val="28"/>
          <w:highlight w:val="none"/>
        </w:rPr>
        <w:t>方约定，由乙方对甲方所辖项目配电房的安全、正常运行负责，主要服务内容包括提供配电房设施设备日常维护、检修、保养和应急抢修；包括高压柜、真空断路器、避雷器、变压器、两段高低压母线及系统</w:t>
      </w:r>
      <w:r>
        <w:rPr>
          <w:rFonts w:hint="eastAsia" w:ascii="Times New Roman" w:hAnsi="Times New Roman" w:eastAsia="方正仿宋_GBK" w:cs="Times New Roman"/>
          <w:color w:val="000000"/>
          <w:sz w:val="28"/>
          <w:szCs w:val="28"/>
          <w:highlight w:val="none"/>
          <w:lang w:eastAsia="zh-CN"/>
        </w:rPr>
        <w:t>其他</w:t>
      </w:r>
      <w:r>
        <w:rPr>
          <w:rFonts w:hint="default" w:ascii="Times New Roman" w:hAnsi="Times New Roman" w:eastAsia="方正仿宋_GBK" w:cs="Times New Roman"/>
          <w:color w:val="000000"/>
          <w:sz w:val="28"/>
          <w:szCs w:val="28"/>
          <w:highlight w:val="none"/>
        </w:rPr>
        <w:t>相关设备检测、检修、保养维护、接地检测、安全工器具检测、设备运行安全维护等工作。</w:t>
      </w:r>
    </w:p>
    <w:p>
      <w:pPr>
        <w:tabs>
          <w:tab w:val="left" w:pos="480"/>
        </w:tabs>
        <w:adjustRightInd w:val="0"/>
        <w:spacing w:line="600" w:lineRule="exact"/>
        <w:ind w:firstLine="560" w:firstLineChars="200"/>
        <w:rPr>
          <w:rFonts w:hint="default" w:ascii="Times New Roman" w:hAnsi="Times New Roman" w:eastAsia="方正仿宋_GBK" w:cs="Times New Roman"/>
          <w:bCs/>
          <w:color w:val="000000"/>
          <w:sz w:val="28"/>
          <w:szCs w:val="28"/>
          <w:highlight w:val="none"/>
        </w:rPr>
      </w:pPr>
      <w:r>
        <w:rPr>
          <w:rFonts w:hint="default" w:ascii="Times New Roman" w:hAnsi="Times New Roman" w:eastAsia="方正仿宋_GBK" w:cs="Times New Roman"/>
          <w:bCs/>
          <w:color w:val="000000"/>
          <w:kern w:val="0"/>
          <w:sz w:val="28"/>
          <w:szCs w:val="28"/>
          <w:highlight w:val="none"/>
        </w:rPr>
        <w:t>（五）维修保养内容</w:t>
      </w:r>
    </w:p>
    <w:p>
      <w:pPr>
        <w:spacing w:line="600" w:lineRule="exact"/>
        <w:ind w:firstLine="560" w:firstLineChars="200"/>
        <w:jc w:val="left"/>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1.故障排除：包括但不限于故障发生原因确认、故障的处理过程、更换零件的报价、更换故障的零件、未排除故障的跟进、填写有关记录表格。</w:t>
      </w:r>
    </w:p>
    <w:p>
      <w:pPr>
        <w:spacing w:line="600" w:lineRule="exact"/>
        <w:ind w:firstLine="560" w:firstLineChars="200"/>
        <w:jc w:val="left"/>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2.检查测试：包括但不限于通过对供配电设备设施的检查测试，以评定供配电设备设施运行的正常情况，发现设施设备隐藏的故障，并</w:t>
      </w:r>
      <w:r>
        <w:rPr>
          <w:rFonts w:hint="eastAsia" w:ascii="Times New Roman" w:hAnsi="Times New Roman" w:eastAsia="方正仿宋_GBK" w:cs="Times New Roman"/>
          <w:color w:val="000000"/>
          <w:sz w:val="28"/>
          <w:szCs w:val="28"/>
          <w:highlight w:val="none"/>
          <w:lang w:eastAsia="zh-CN"/>
        </w:rPr>
        <w:t>做</w:t>
      </w:r>
      <w:r>
        <w:rPr>
          <w:rFonts w:hint="default" w:ascii="Times New Roman" w:hAnsi="Times New Roman" w:eastAsia="方正仿宋_GBK" w:cs="Times New Roman"/>
          <w:color w:val="000000"/>
          <w:sz w:val="28"/>
          <w:szCs w:val="28"/>
          <w:highlight w:val="none"/>
        </w:rPr>
        <w:t>有计划的排除，乙方每月提供检测记录、维保报告。</w:t>
      </w:r>
    </w:p>
    <w:p>
      <w:pPr>
        <w:spacing w:line="600" w:lineRule="exact"/>
        <w:ind w:firstLine="560" w:firstLineChars="200"/>
        <w:jc w:val="left"/>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 xml:space="preserve">3.保养：包括但不限于清洁、润滑、紧固接线等工作。通过对供配电设备的清洁、润滑、紧固接线，保障供配电设备处于正常工作状态、最大限度延长使用寿命。  </w:t>
      </w:r>
    </w:p>
    <w:p>
      <w:pPr>
        <w:adjustRightInd w:val="0"/>
        <w:spacing w:line="600" w:lineRule="exact"/>
        <w:ind w:firstLine="560" w:firstLineChars="200"/>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sz w:val="28"/>
          <w:szCs w:val="28"/>
          <w:highlight w:val="none"/>
        </w:rPr>
        <w:t>（六）</w:t>
      </w:r>
      <w:r>
        <w:rPr>
          <w:rFonts w:hint="default" w:ascii="Times New Roman" w:hAnsi="Times New Roman" w:eastAsia="方正仿宋_GBK" w:cs="Times New Roman"/>
          <w:color w:val="000000"/>
          <w:kern w:val="0"/>
          <w:sz w:val="28"/>
          <w:szCs w:val="28"/>
          <w:highlight w:val="none"/>
        </w:rPr>
        <w:t>维修保养要求</w:t>
      </w:r>
    </w:p>
    <w:p>
      <w:pPr>
        <w:adjustRightInd w:val="0"/>
        <w:spacing w:line="600" w:lineRule="exact"/>
        <w:ind w:firstLine="600"/>
        <w:jc w:val="left"/>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乙方应执行国家及重庆市现行的有关电气设备的法规和技术规范，如</w:t>
      </w:r>
      <w:r>
        <w:rPr>
          <w:rFonts w:hint="default" w:ascii="Times New Roman" w:hAnsi="Times New Roman" w:eastAsia="方正仿宋_GBK" w:cs="Times New Roman"/>
          <w:color w:val="000000"/>
          <w:kern w:val="0"/>
          <w:sz w:val="28"/>
          <w:szCs w:val="28"/>
          <w:highlight w:val="none"/>
        </w:rPr>
        <w:t>《电气设备预防性试验规程》（DL/T596-2019）、《电气设备交接试验标准》（GB50150-2016）</w:t>
      </w:r>
      <w:r>
        <w:rPr>
          <w:rFonts w:hint="default" w:ascii="Times New Roman" w:hAnsi="Times New Roman" w:eastAsia="方正仿宋_GBK" w:cs="Times New Roman"/>
          <w:color w:val="000000"/>
          <w:sz w:val="28"/>
          <w:szCs w:val="28"/>
          <w:highlight w:val="none"/>
        </w:rPr>
        <w:t>等。（</w:t>
      </w:r>
      <w:r>
        <w:rPr>
          <w:rFonts w:hint="default" w:ascii="Times New Roman" w:hAnsi="Times New Roman" w:eastAsia="方正仿宋_GBK" w:cs="Times New Roman"/>
          <w:color w:val="000000"/>
          <w:sz w:val="28"/>
          <w:szCs w:val="28"/>
          <w:highlight w:val="none"/>
          <w:lang w:bidi="ar"/>
        </w:rPr>
        <w:t>以上规章、标准不论有无年代号，除有特别说明的以外，均以最新有效版本为准）</w:t>
      </w:r>
      <w:r>
        <w:rPr>
          <w:rFonts w:hint="default" w:ascii="Times New Roman" w:hAnsi="Times New Roman" w:eastAsia="方正仿宋_GBK" w:cs="Times New Roman"/>
          <w:color w:val="000000"/>
          <w:sz w:val="28"/>
          <w:szCs w:val="28"/>
          <w:highlight w:val="none"/>
        </w:rPr>
        <w:t>乙方须按照以上规范对合同范围内</w:t>
      </w:r>
      <w:r>
        <w:rPr>
          <w:rFonts w:hint="default" w:ascii="Times New Roman" w:hAnsi="Times New Roman" w:eastAsia="方正仿宋_GBK" w:cs="Times New Roman"/>
          <w:color w:val="000000"/>
          <w:kern w:val="0"/>
          <w:sz w:val="28"/>
          <w:szCs w:val="28"/>
          <w:highlight w:val="none"/>
        </w:rPr>
        <w:t>配电房电气设备进行预防性试验，完成月、季度、半年、年度保养项目，并做好维护保养记录，并向使用单位出具预防性试验报告、维保服务报告。</w:t>
      </w:r>
      <w:r>
        <w:rPr>
          <w:rFonts w:hint="default" w:ascii="Times New Roman" w:hAnsi="Times New Roman" w:eastAsia="方正仿宋_GBK" w:cs="Times New Roman"/>
          <w:color w:val="000000"/>
          <w:sz w:val="28"/>
          <w:szCs w:val="28"/>
          <w:highlight w:val="none"/>
          <w:shd w:val="clear" w:color="auto" w:fill="FFFFFF"/>
        </w:rPr>
        <w:t>具体内容如下：</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eastAsia" w:ascii="Times New Roman" w:hAnsi="Times New Roman" w:eastAsia="方正仿宋_GBK" w:cs="Times New Roman"/>
          <w:color w:val="000000"/>
          <w:sz w:val="28"/>
          <w:szCs w:val="28"/>
          <w:highlight w:val="none"/>
          <w:lang w:eastAsia="zh-CN"/>
        </w:rPr>
        <w:t>1.</w:t>
      </w:r>
      <w:r>
        <w:rPr>
          <w:rFonts w:hint="default" w:ascii="Times New Roman" w:hAnsi="Times New Roman" w:eastAsia="方正仿宋_GBK" w:cs="Times New Roman"/>
          <w:color w:val="000000"/>
          <w:sz w:val="28"/>
          <w:szCs w:val="28"/>
          <w:highlight w:val="none"/>
        </w:rPr>
        <w:t>高压配电柜</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（1）每月对电气设备进行一次检查：</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①检查母线接头处有无变形，有无放电变黑痕迹，紧固连接螺栓，螺栓若有生锈应予以更换，确保接头连接紧密；检查母线上绝缘子有无松动和损坏。</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②柜内的机械闭锁，电气闭锁应动作准确、可靠，开关小车推拉应灵活，无卡阻现象。</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③柜体的接地应牢固良好，装有电器的可开启的门，应以裸铜软线与接地金属构件可靠地连接。</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④柜体的正面各电器、端子排等应标明编号、名称、用途及操作位置，其标明的字迹应清晰、工整、不易脱落。</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⑤柜内二次回路的连接件均应采用铜质制品牢固紧接，绝缘体采用自</w:t>
      </w:r>
      <w:r>
        <w:rPr>
          <w:rFonts w:hint="eastAsia" w:ascii="Times New Roman" w:hAnsi="Times New Roman" w:eastAsia="方正仿宋_GBK" w:cs="Times New Roman"/>
          <w:color w:val="000000"/>
          <w:sz w:val="28"/>
          <w:szCs w:val="28"/>
          <w:highlight w:val="none"/>
          <w:lang w:eastAsia="zh-CN"/>
        </w:rPr>
        <w:t>熄型</w:t>
      </w:r>
      <w:r>
        <w:rPr>
          <w:rFonts w:hint="default" w:ascii="Times New Roman" w:hAnsi="Times New Roman" w:eastAsia="方正仿宋_GBK" w:cs="Times New Roman"/>
          <w:color w:val="000000"/>
          <w:sz w:val="28"/>
          <w:szCs w:val="28"/>
          <w:highlight w:val="none"/>
        </w:rPr>
        <w:t>阻燃材料，并应清洁干燥。</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⑥柜上装有继电保护装置设备或</w:t>
      </w:r>
      <w:r>
        <w:rPr>
          <w:rFonts w:hint="eastAsia" w:ascii="Times New Roman" w:hAnsi="Times New Roman" w:eastAsia="方正仿宋_GBK" w:cs="Times New Roman"/>
          <w:color w:val="000000"/>
          <w:sz w:val="28"/>
          <w:szCs w:val="28"/>
          <w:highlight w:val="none"/>
          <w:lang w:eastAsia="zh-CN"/>
        </w:rPr>
        <w:t>其他</w:t>
      </w:r>
      <w:r>
        <w:rPr>
          <w:rFonts w:hint="default" w:ascii="Times New Roman" w:hAnsi="Times New Roman" w:eastAsia="方正仿宋_GBK" w:cs="Times New Roman"/>
          <w:color w:val="000000"/>
          <w:sz w:val="28"/>
          <w:szCs w:val="28"/>
          <w:highlight w:val="none"/>
        </w:rPr>
        <w:t>有接地要求的电器，其外壳应可靠接地。</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（2）每季度对电气设备进行一次清理：</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①高压柜必须清理干净，漆层完好，各构件间连接应牢固，接头温度应在允许范围。</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②柜体的接地应牢固良好，装有电器的可开启的门，应以裸铜软线与接地金属构件可靠地连接。</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③柜体的正面各电器、端子排等应标明编号、名称、用途及操作位置，其标明的字迹应清晰、工整、不易脱落。</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④柜内二次回路的连接件均应铜质制品牢固紧接，绝缘件采用自</w:t>
      </w:r>
      <w:r>
        <w:rPr>
          <w:rFonts w:hint="eastAsia" w:ascii="Times New Roman" w:hAnsi="Times New Roman" w:eastAsia="方正仿宋_GBK" w:cs="Times New Roman"/>
          <w:color w:val="000000"/>
          <w:sz w:val="28"/>
          <w:szCs w:val="28"/>
          <w:highlight w:val="none"/>
          <w:lang w:eastAsia="zh-CN"/>
        </w:rPr>
        <w:t>熄型</w:t>
      </w:r>
      <w:r>
        <w:rPr>
          <w:rFonts w:hint="default" w:ascii="Times New Roman" w:hAnsi="Times New Roman" w:eastAsia="方正仿宋_GBK" w:cs="Times New Roman"/>
          <w:color w:val="000000"/>
          <w:sz w:val="28"/>
          <w:szCs w:val="28"/>
          <w:highlight w:val="none"/>
        </w:rPr>
        <w:t>阻燃材料，并应清洁干燥。</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⑤柜上装有继电保护装置设备或</w:t>
      </w:r>
      <w:r>
        <w:rPr>
          <w:rFonts w:hint="eastAsia" w:ascii="Times New Roman" w:hAnsi="Times New Roman" w:eastAsia="方正仿宋_GBK" w:cs="Times New Roman"/>
          <w:color w:val="000000"/>
          <w:sz w:val="28"/>
          <w:szCs w:val="28"/>
          <w:highlight w:val="none"/>
          <w:lang w:eastAsia="zh-CN"/>
        </w:rPr>
        <w:t>其他</w:t>
      </w:r>
      <w:r>
        <w:rPr>
          <w:rFonts w:hint="default" w:ascii="Times New Roman" w:hAnsi="Times New Roman" w:eastAsia="方正仿宋_GBK" w:cs="Times New Roman"/>
          <w:color w:val="000000"/>
          <w:sz w:val="28"/>
          <w:szCs w:val="28"/>
          <w:highlight w:val="none"/>
        </w:rPr>
        <w:t>有接地要求的电器，其外壳应可靠接地。</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⑥重要开关断路器定期检测保护是否可靠动作是否灵敏。</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⑦后台远控定期测试是否数据正确。</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（3）每年一次按预防性试验规程对高压柜进行预防性试验，将预防性试验报告交业主存档，具体工作内容：</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①重复每季度的检查内容。</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②开关及一次电气设备必须</w:t>
      </w:r>
      <w:r>
        <w:rPr>
          <w:rFonts w:hint="eastAsia" w:ascii="Times New Roman" w:hAnsi="Times New Roman" w:eastAsia="方正仿宋_GBK" w:cs="Times New Roman"/>
          <w:color w:val="000000"/>
          <w:sz w:val="28"/>
          <w:szCs w:val="28"/>
          <w:highlight w:val="none"/>
          <w:lang w:eastAsia="zh-CN"/>
        </w:rPr>
        <w:t>做</w:t>
      </w:r>
      <w:r>
        <w:rPr>
          <w:rFonts w:hint="default" w:ascii="Times New Roman" w:hAnsi="Times New Roman" w:eastAsia="方正仿宋_GBK" w:cs="Times New Roman"/>
          <w:color w:val="000000"/>
          <w:sz w:val="28"/>
          <w:szCs w:val="28"/>
          <w:highlight w:val="none"/>
        </w:rPr>
        <w:t>绝缘试验和耐压试验。</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③柜内的互感器作变比检查和测量绝缘电阻。</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④测量开关的分、合闸线圈直流电阻，开关接触电阻，动作电压和返回电压以及分闸时间。</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⑥校核继电保护装置的动作值、返回值、整定值。</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eastAsia" w:ascii="Times New Roman" w:hAnsi="Times New Roman" w:eastAsia="方正仿宋_GBK" w:cs="Times New Roman"/>
          <w:color w:val="000000"/>
          <w:sz w:val="28"/>
          <w:szCs w:val="28"/>
          <w:highlight w:val="none"/>
          <w:lang w:eastAsia="zh-CN"/>
        </w:rPr>
        <w:t>2.</w:t>
      </w:r>
      <w:r>
        <w:rPr>
          <w:rFonts w:hint="default" w:ascii="Times New Roman" w:hAnsi="Times New Roman" w:eastAsia="方正仿宋_GBK" w:cs="Times New Roman"/>
          <w:color w:val="000000"/>
          <w:sz w:val="28"/>
          <w:szCs w:val="28"/>
          <w:highlight w:val="none"/>
        </w:rPr>
        <w:t>直流屏（蓄电池）</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（1）每月工作内容：</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①对蓄电池进行恢复性的充放电。</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②</w:t>
      </w:r>
      <w:r>
        <w:rPr>
          <w:rFonts w:hint="eastAsia" w:ascii="Times New Roman" w:hAnsi="Times New Roman" w:eastAsia="方正仿宋_GBK" w:cs="Times New Roman"/>
          <w:color w:val="000000"/>
          <w:sz w:val="28"/>
          <w:szCs w:val="28"/>
          <w:highlight w:val="none"/>
          <w:lang w:eastAsia="zh-CN"/>
        </w:rPr>
        <w:t>查看</w:t>
      </w:r>
      <w:r>
        <w:rPr>
          <w:rFonts w:hint="default" w:ascii="Times New Roman" w:hAnsi="Times New Roman" w:eastAsia="方正仿宋_GBK" w:cs="Times New Roman"/>
          <w:color w:val="000000"/>
          <w:sz w:val="28"/>
          <w:szCs w:val="28"/>
          <w:highlight w:val="none"/>
        </w:rPr>
        <w:t>蓄电池的液面是否符合要求，有无漏液发生。</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（2）季度工作内容：</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①清除屏内充电机及设备上灰尘和蓄电池槽表面污垢，连接件上氧化物。</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②对充电机、输出回路进行绝缘测试以及各种特性测试。</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（3）年度工作内容：</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①重复季度工作内容。</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eastAsia" w:ascii="Times New Roman" w:hAnsi="Times New Roman" w:eastAsia="方正仿宋_GBK" w:cs="Times New Roman"/>
          <w:color w:val="000000"/>
          <w:sz w:val="28"/>
          <w:szCs w:val="28"/>
          <w:highlight w:val="none"/>
          <w:lang w:eastAsia="zh-CN"/>
        </w:rPr>
        <w:t>3.</w:t>
      </w:r>
      <w:r>
        <w:rPr>
          <w:rFonts w:hint="default" w:ascii="Times New Roman" w:hAnsi="Times New Roman" w:eastAsia="方正仿宋_GBK" w:cs="Times New Roman"/>
          <w:color w:val="000000"/>
          <w:sz w:val="28"/>
          <w:szCs w:val="28"/>
          <w:highlight w:val="none"/>
        </w:rPr>
        <w:t>变压器</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（1）每月对变压器进行一次检查：</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①变压器套管是否清洁，有无破损、裂纹和放电痕迹。</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②变压器零部件必须无损伤或移位，接线是否松动、断裂、绝缘件和线圈是否有破损，是否有脏物或异物等。</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③检查风机、温控设备等能否正常运行。</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④变压器的主</w:t>
      </w:r>
      <w:r>
        <w:rPr>
          <w:rFonts w:hint="eastAsia" w:ascii="Times New Roman" w:hAnsi="Times New Roman" w:eastAsia="方正仿宋_GBK" w:cs="Times New Roman"/>
          <w:color w:val="000000"/>
          <w:sz w:val="28"/>
          <w:szCs w:val="28"/>
          <w:highlight w:val="none"/>
          <w:lang w:eastAsia="zh-CN"/>
        </w:rPr>
        <w:t>辅设备</w:t>
      </w:r>
      <w:r>
        <w:rPr>
          <w:rFonts w:hint="default" w:ascii="Times New Roman" w:hAnsi="Times New Roman" w:eastAsia="方正仿宋_GBK" w:cs="Times New Roman"/>
          <w:color w:val="000000"/>
          <w:sz w:val="28"/>
          <w:szCs w:val="28"/>
          <w:highlight w:val="none"/>
        </w:rPr>
        <w:t>的外壳接地是否良好。</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（2）每季度对变压器进行一次清理、检查：</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①重复每月检查的内容：</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②高低压电缆头的接触情况，螺丝有无松动，接头是否过热。</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③检查所有的紧固件、连接件、标准件是否松动，并重新紧固一次。</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④检查变压器的箱体和铁芯是否可靠接地，穿心螺杆的绝缘是否良好。</w:t>
      </w:r>
    </w:p>
    <w:p>
      <w:pPr>
        <w:pStyle w:val="19"/>
        <w:shd w:val="clear" w:color="auto" w:fill="FFFFFF"/>
        <w:spacing w:before="0" w:beforeAutospacing="0" w:after="0" w:afterAutospacing="0" w:line="600" w:lineRule="exact"/>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 xml:space="preserve">    ⑤套管密封、顶部连接片、密封衬垫的检查，瓷绝缘的检查和清扫。</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⑥各种保护装置、测量装置及操作控制箱的检修、试验。</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（3）每年一次进行年检：</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①重复每季度一次检查的内容。</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②每年一次还必须进行下列预防性试验。</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A.测量变压器绕组直流电阻，测量前绕组应充分放电。</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B.测量变压器绕组的绝缘电阻，采用2500V兆欧表进行测量。</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C.进行变压器绕组的交流耐压试验。</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D.在额定电压下对变压器进行冲击合闸试验。</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E.按标准要求完成避雷器相应测试。</w:t>
      </w:r>
    </w:p>
    <w:p>
      <w:pPr>
        <w:pStyle w:val="19"/>
        <w:shd w:val="clear" w:color="auto" w:fill="FFFFFF"/>
        <w:spacing w:before="0" w:beforeAutospacing="0" w:after="0" w:afterAutospacing="0" w:line="600" w:lineRule="exact"/>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 xml:space="preserve">    </w:t>
      </w:r>
      <w:r>
        <w:rPr>
          <w:rFonts w:hint="eastAsia" w:ascii="Times New Roman" w:hAnsi="Times New Roman" w:eastAsia="方正仿宋_GBK" w:cs="Times New Roman"/>
          <w:color w:val="000000"/>
          <w:sz w:val="28"/>
          <w:szCs w:val="28"/>
          <w:highlight w:val="none"/>
          <w:lang w:eastAsia="zh-CN"/>
        </w:rPr>
        <w:t>4.</w:t>
      </w:r>
      <w:r>
        <w:rPr>
          <w:rFonts w:hint="default" w:ascii="Times New Roman" w:hAnsi="Times New Roman" w:eastAsia="方正仿宋_GBK" w:cs="Times New Roman"/>
          <w:color w:val="000000"/>
          <w:sz w:val="28"/>
          <w:szCs w:val="28"/>
          <w:highlight w:val="none"/>
        </w:rPr>
        <w:t>低压配电柜</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（1）每个月一次对电气设备进行检查：</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①观察母排的发热程度，示温蜡片有否熔化，各连接螺丝有否松动。</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②测量电容柜的温度，检查容器的外观有无变形，熔断器有无熔断，运行时应无任何声音。</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③低压柜的机械闭锁、电气闭锁应动作准确、可靠。</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④配电柜抽屉推拉应灵活、无卡阻现象。</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（2）每</w:t>
      </w:r>
      <w:r>
        <w:rPr>
          <w:rFonts w:hint="eastAsia" w:ascii="Times New Roman" w:hAnsi="Times New Roman" w:eastAsia="方正仿宋_GBK" w:cs="Times New Roman"/>
          <w:color w:val="000000"/>
          <w:sz w:val="28"/>
          <w:szCs w:val="28"/>
          <w:highlight w:val="none"/>
          <w:lang w:eastAsia="zh-CN"/>
        </w:rPr>
        <w:t>半年</w:t>
      </w:r>
      <w:r>
        <w:rPr>
          <w:rFonts w:hint="default" w:ascii="Times New Roman" w:hAnsi="Times New Roman" w:eastAsia="方正仿宋_GBK" w:cs="Times New Roman"/>
          <w:color w:val="000000"/>
          <w:sz w:val="28"/>
          <w:szCs w:val="28"/>
          <w:highlight w:val="none"/>
        </w:rPr>
        <w:t>一次对电气设备进行清理、检查</w:t>
      </w:r>
      <w:r>
        <w:rPr>
          <w:rFonts w:hint="eastAsia" w:ascii="Times New Roman" w:hAnsi="Times New Roman" w:eastAsia="方正仿宋_GBK" w:cs="Times New Roman"/>
          <w:color w:val="000000"/>
          <w:sz w:val="28"/>
          <w:szCs w:val="28"/>
          <w:highlight w:val="none"/>
          <w:lang w:eastAsia="zh-CN"/>
        </w:rPr>
        <w:t>和保养</w:t>
      </w:r>
      <w:r>
        <w:rPr>
          <w:rFonts w:hint="default" w:ascii="Times New Roman" w:hAnsi="Times New Roman" w:eastAsia="方正仿宋_GBK" w:cs="Times New Roman"/>
          <w:color w:val="000000"/>
          <w:sz w:val="28"/>
          <w:szCs w:val="28"/>
          <w:highlight w:val="none"/>
        </w:rPr>
        <w:t>：</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①低压柜内设备与各构件间连接应牢固，接头温度应在允许范围。</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②低压柜的机械闭锁、电气闭锁应动作准确、可靠。</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③配电柜抽屉推拉应灵活、无卡阻现象。</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④柜的固定及接地可靠，漆层应完好、清洁整齐。</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3</w:t>
      </w: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每年一次年检内容：</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①重复每季度的清理检查。</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②按预防性试验规程对设备进行预防性试验，并将预防性试验报告交业主存档。</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A.低压柜每段母线绝缘电阻不应小于0.5MQ，电力线路绝缘电阻不小于0.5MQ，试验采用500V兆欧表。</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B.加1000V进行交流耐压试验。</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C.校核仪表、继电器的动作值和返回值。</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eastAsia" w:ascii="Times New Roman" w:hAnsi="Times New Roman" w:eastAsia="方正仿宋_GBK" w:cs="Times New Roman"/>
          <w:color w:val="000000"/>
          <w:sz w:val="28"/>
          <w:szCs w:val="28"/>
          <w:highlight w:val="none"/>
          <w:lang w:eastAsia="zh-CN"/>
        </w:rPr>
        <w:t>5.</w:t>
      </w:r>
      <w:r>
        <w:rPr>
          <w:rFonts w:hint="default" w:ascii="Times New Roman" w:hAnsi="Times New Roman" w:eastAsia="方正仿宋_GBK" w:cs="Times New Roman"/>
          <w:color w:val="000000"/>
          <w:sz w:val="28"/>
          <w:szCs w:val="28"/>
          <w:highlight w:val="none"/>
        </w:rPr>
        <w:t>10kV高压电缆保养</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l</w:t>
      </w: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高压电缆的清尘：检查电缆终端头有无松动、发热变色及受损现象。</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2</w:t>
      </w: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用无水酒精清洗电缆头；检查电缆外层有无破损现象。</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3</w:t>
      </w: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检查电缆头有无放电痕迹。</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4</w:t>
      </w: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检查电缆头三相有无交叉排列。</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5</w:t>
      </w: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电缆头密封检查。</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6</w:t>
      </w: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电缆头与设备接触是否良好。</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7</w:t>
      </w: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电缆绝缘电阻测量。</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8</w:t>
      </w: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电缆直流耐压及泄漏电流试验。</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9</w:t>
      </w: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电缆铠装接地线的检查。</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10</w:t>
      </w: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做好检修保养记录。</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eastAsia" w:ascii="Times New Roman" w:hAnsi="Times New Roman" w:eastAsia="方正仿宋_GBK" w:cs="Times New Roman"/>
          <w:color w:val="000000"/>
          <w:sz w:val="28"/>
          <w:szCs w:val="28"/>
          <w:highlight w:val="none"/>
          <w:lang w:eastAsia="zh-CN"/>
        </w:rPr>
        <w:t>6.</w:t>
      </w:r>
      <w:r>
        <w:rPr>
          <w:rFonts w:hint="default" w:ascii="Times New Roman" w:hAnsi="Times New Roman" w:eastAsia="方正仿宋_GBK" w:cs="Times New Roman"/>
          <w:color w:val="000000"/>
          <w:sz w:val="28"/>
          <w:szCs w:val="28"/>
          <w:highlight w:val="none"/>
        </w:rPr>
        <w:t>接地系统</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l</w:t>
      </w: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每个月及每季度检查地网有无脱漆、锈蚀、设备各接地处、导体搭接处是否牢固。</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2</w:t>
      </w: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每年进行接地系统的接地电阻测量。</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eastAsia" w:ascii="Times New Roman" w:hAnsi="Times New Roman" w:eastAsia="方正仿宋_GBK" w:cs="Times New Roman"/>
          <w:color w:val="000000"/>
          <w:sz w:val="28"/>
          <w:szCs w:val="28"/>
          <w:highlight w:val="none"/>
          <w:lang w:eastAsia="zh-CN"/>
        </w:rPr>
        <w:t>7.</w:t>
      </w:r>
      <w:r>
        <w:rPr>
          <w:rFonts w:hint="default" w:ascii="Times New Roman" w:hAnsi="Times New Roman" w:eastAsia="方正仿宋_GBK" w:cs="Times New Roman"/>
          <w:color w:val="000000"/>
          <w:sz w:val="28"/>
          <w:szCs w:val="28"/>
          <w:highlight w:val="none"/>
        </w:rPr>
        <w:t>其他</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l</w:t>
      </w: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检查配电房照明和防潮灯及通风机是否正常。</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2</w:t>
      </w: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检查配电房屋面有否漏水，电缆沟是否积水，门窗有否破损。</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3</w:t>
      </w: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检查防鼠挡板是否完整，房内孔洞有否堵死。</w:t>
      </w:r>
    </w:p>
    <w:p>
      <w:pPr>
        <w:pStyle w:val="19"/>
        <w:shd w:val="clear" w:color="auto" w:fill="FFFFFF"/>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4</w:t>
      </w: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检查配电房门外通道是否畅顺，有否被堵现象。</w:t>
      </w:r>
    </w:p>
    <w:p>
      <w:pPr>
        <w:adjustRightInd w:val="0"/>
        <w:spacing w:line="600" w:lineRule="exact"/>
        <w:jc w:val="center"/>
        <w:rPr>
          <w:rFonts w:hint="default" w:ascii="Times New Roman" w:hAnsi="Times New Roman" w:eastAsia="方正仿宋_GBK" w:cs="Times New Roman"/>
          <w:b/>
          <w:color w:val="000000"/>
          <w:kern w:val="0"/>
          <w:sz w:val="28"/>
          <w:szCs w:val="28"/>
          <w:highlight w:val="none"/>
        </w:rPr>
      </w:pPr>
      <w:r>
        <w:rPr>
          <w:rFonts w:hint="default" w:ascii="Times New Roman" w:hAnsi="Times New Roman" w:eastAsia="方正仿宋_GBK" w:cs="Times New Roman"/>
          <w:b/>
          <w:color w:val="000000"/>
          <w:kern w:val="0"/>
          <w:sz w:val="28"/>
          <w:szCs w:val="28"/>
          <w:highlight w:val="none"/>
        </w:rPr>
        <w:t>第二条  维修保养费用和支付方式</w:t>
      </w:r>
    </w:p>
    <w:p>
      <w:pPr>
        <w:numPr>
          <w:ilvl w:val="0"/>
          <w:numId w:val="3"/>
        </w:numPr>
        <w:adjustRightInd w:val="0"/>
        <w:spacing w:line="600" w:lineRule="exact"/>
        <w:ind w:firstLine="560" w:firstLineChars="200"/>
        <w:rPr>
          <w:rFonts w:hint="default" w:ascii="Times New Roman" w:hAnsi="Times New Roman" w:eastAsia="方正仿宋_GBK" w:cs="Times New Roman"/>
          <w:bCs/>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维修保养费用</w:t>
      </w:r>
    </w:p>
    <w:p>
      <w:pPr>
        <w:tabs>
          <w:tab w:val="left" w:pos="0"/>
        </w:tabs>
        <w:adjustRightInd w:val="0"/>
        <w:spacing w:line="600" w:lineRule="exact"/>
        <w:ind w:firstLine="560" w:firstLineChars="200"/>
        <w:rPr>
          <w:rFonts w:hint="default" w:ascii="Times New Roman" w:hAnsi="Times New Roman" w:eastAsia="方正仿宋_GBK" w:cs="Times New Roman"/>
          <w:bCs/>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合同含税总价为</w:t>
      </w:r>
      <w:r>
        <w:rPr>
          <w:rFonts w:hint="default" w:ascii="Times New Roman" w:hAnsi="Times New Roman" w:eastAsia="方正仿宋_GBK" w:cs="Times New Roman"/>
          <w:color w:val="000000"/>
          <w:kern w:val="0"/>
          <w:sz w:val="28"/>
          <w:szCs w:val="28"/>
          <w:highlight w:val="none"/>
          <w:u w:val="single"/>
        </w:rPr>
        <w:t xml:space="preserve">       </w:t>
      </w:r>
      <w:r>
        <w:rPr>
          <w:rFonts w:hint="default" w:ascii="Times New Roman" w:hAnsi="Times New Roman" w:eastAsia="方正仿宋_GBK" w:cs="Times New Roman"/>
          <w:color w:val="000000"/>
          <w:kern w:val="0"/>
          <w:sz w:val="28"/>
          <w:szCs w:val="28"/>
          <w:highlight w:val="none"/>
        </w:rPr>
        <w:t>元（大写：人民币</w:t>
      </w:r>
      <w:r>
        <w:rPr>
          <w:rFonts w:hint="default" w:ascii="Times New Roman" w:hAnsi="Times New Roman" w:eastAsia="方正仿宋_GBK" w:cs="Times New Roman"/>
          <w:color w:val="000000"/>
          <w:kern w:val="0"/>
          <w:sz w:val="28"/>
          <w:szCs w:val="28"/>
          <w:highlight w:val="none"/>
          <w:u w:val="single"/>
        </w:rPr>
        <w:t xml:space="preserve">       </w:t>
      </w:r>
      <w:r>
        <w:rPr>
          <w:rFonts w:hint="default" w:ascii="Times New Roman" w:hAnsi="Times New Roman" w:eastAsia="方正仿宋_GBK" w:cs="Times New Roman"/>
          <w:color w:val="000000"/>
          <w:kern w:val="0"/>
          <w:sz w:val="28"/>
          <w:szCs w:val="28"/>
          <w:highlight w:val="none"/>
        </w:rPr>
        <w:t>元整）</w:t>
      </w:r>
      <w:r>
        <w:rPr>
          <w:rFonts w:hint="default" w:ascii="Times New Roman" w:hAnsi="Times New Roman" w:eastAsia="方正仿宋_GBK" w:cs="Times New Roman"/>
          <w:bCs/>
          <w:color w:val="000000"/>
          <w:kern w:val="0"/>
          <w:sz w:val="28"/>
          <w:szCs w:val="28"/>
          <w:highlight w:val="none"/>
        </w:rPr>
        <w:t>，其中不含税合同价为人民币¥</w:t>
      </w:r>
      <w:r>
        <w:rPr>
          <w:rFonts w:hint="default" w:ascii="Times New Roman" w:hAnsi="Times New Roman" w:eastAsia="方正仿宋_GBK" w:cs="Times New Roman"/>
          <w:bCs/>
          <w:color w:val="000000"/>
          <w:kern w:val="0"/>
          <w:sz w:val="28"/>
          <w:szCs w:val="28"/>
          <w:highlight w:val="none"/>
          <w:u w:val="single"/>
        </w:rPr>
        <w:t xml:space="preserve">        </w:t>
      </w:r>
      <w:r>
        <w:rPr>
          <w:rFonts w:hint="default" w:ascii="Times New Roman" w:hAnsi="Times New Roman" w:eastAsia="方正仿宋_GBK" w:cs="Times New Roman"/>
          <w:bCs/>
          <w:color w:val="000000"/>
          <w:kern w:val="0"/>
          <w:sz w:val="28"/>
          <w:szCs w:val="28"/>
          <w:highlight w:val="none"/>
        </w:rPr>
        <w:t>元，税款为人民币¥</w:t>
      </w:r>
      <w:r>
        <w:rPr>
          <w:rFonts w:hint="default" w:ascii="Times New Roman" w:hAnsi="Times New Roman" w:eastAsia="方正仿宋_GBK" w:cs="Times New Roman"/>
          <w:bCs/>
          <w:color w:val="000000"/>
          <w:kern w:val="0"/>
          <w:sz w:val="28"/>
          <w:szCs w:val="28"/>
          <w:highlight w:val="none"/>
          <w:u w:val="single"/>
        </w:rPr>
        <w:t xml:space="preserve">     </w:t>
      </w:r>
      <w:r>
        <w:rPr>
          <w:rFonts w:hint="default" w:ascii="Times New Roman" w:hAnsi="Times New Roman" w:eastAsia="方正仿宋_GBK" w:cs="Times New Roman"/>
          <w:bCs/>
          <w:color w:val="000000"/>
          <w:kern w:val="0"/>
          <w:sz w:val="28"/>
          <w:szCs w:val="28"/>
          <w:highlight w:val="none"/>
        </w:rPr>
        <w:t>元</w:t>
      </w:r>
      <w:r>
        <w:rPr>
          <w:rFonts w:hint="default" w:ascii="Times New Roman" w:hAnsi="Times New Roman" w:eastAsia="方正仿宋_GBK" w:cs="Times New Roman"/>
          <w:bCs/>
          <w:color w:val="000000"/>
          <w:kern w:val="0"/>
          <w:sz w:val="28"/>
          <w:szCs w:val="28"/>
          <w:highlight w:val="none"/>
          <w:lang w:eastAsia="zh-CN"/>
        </w:rPr>
        <w:t>，</w:t>
      </w:r>
      <w:r>
        <w:rPr>
          <w:rFonts w:hint="default" w:ascii="Times New Roman" w:hAnsi="Times New Roman" w:eastAsia="方正仿宋_GBK" w:cs="Times New Roman"/>
          <w:bCs/>
          <w:color w:val="000000"/>
          <w:kern w:val="0"/>
          <w:sz w:val="28"/>
          <w:szCs w:val="28"/>
          <w:highlight w:val="none"/>
          <w:lang w:val="en-US" w:eastAsia="zh-CN"/>
        </w:rPr>
        <w:t>增值税专用发票税率为</w:t>
      </w:r>
      <w:r>
        <w:rPr>
          <w:rFonts w:hint="default" w:ascii="Times New Roman" w:hAnsi="Times New Roman" w:eastAsia="方正仿宋_GBK" w:cs="Times New Roman"/>
          <w:bCs/>
          <w:color w:val="000000"/>
          <w:kern w:val="0"/>
          <w:sz w:val="28"/>
          <w:szCs w:val="28"/>
          <w:highlight w:val="none"/>
          <w:u w:val="single"/>
        </w:rPr>
        <w:t xml:space="preserve">    </w:t>
      </w:r>
      <w:r>
        <w:rPr>
          <w:rFonts w:hint="default" w:ascii="Times New Roman" w:hAnsi="Times New Roman" w:eastAsia="方正仿宋_GBK" w:cs="Times New Roman"/>
          <w:bCs/>
          <w:color w:val="000000"/>
          <w:kern w:val="0"/>
          <w:sz w:val="28"/>
          <w:szCs w:val="28"/>
          <w:highlight w:val="none"/>
        </w:rPr>
        <w:t>。本合同为综合总价包干，包括但不限于维修、人工费（乙方人员工资、加班工资、社保、福利）、其他配套施工费、保险费、单件材料（¥</w:t>
      </w:r>
      <w:r>
        <w:rPr>
          <w:rFonts w:hint="default" w:ascii="Times New Roman" w:hAnsi="Times New Roman" w:eastAsia="方正仿宋_GBK" w:cs="Times New Roman"/>
          <w:bCs/>
          <w:color w:val="000000"/>
          <w:kern w:val="0"/>
          <w:sz w:val="28"/>
          <w:szCs w:val="28"/>
          <w:highlight w:val="none"/>
          <w:u w:val="single"/>
        </w:rPr>
        <w:t xml:space="preserve"> 300 </w:t>
      </w:r>
      <w:r>
        <w:rPr>
          <w:rFonts w:hint="default" w:ascii="Times New Roman" w:hAnsi="Times New Roman" w:eastAsia="方正仿宋_GBK" w:cs="Times New Roman"/>
          <w:bCs/>
          <w:color w:val="000000"/>
          <w:kern w:val="0"/>
          <w:sz w:val="28"/>
          <w:szCs w:val="28"/>
          <w:highlight w:val="none"/>
        </w:rPr>
        <w:t>元及以下）、更换安装费、税金等为完成维保所需的全部费用，即除此价款外，甲方不需为实现本合同项内的权益再向乙方或任何第三方支付</w:t>
      </w:r>
      <w:r>
        <w:rPr>
          <w:rFonts w:hint="eastAsia" w:ascii="Times New Roman" w:hAnsi="Times New Roman" w:eastAsia="方正仿宋_GBK" w:cs="Times New Roman"/>
          <w:bCs/>
          <w:color w:val="000000"/>
          <w:kern w:val="0"/>
          <w:sz w:val="28"/>
          <w:szCs w:val="28"/>
          <w:highlight w:val="none"/>
          <w:lang w:eastAsia="zh-CN"/>
        </w:rPr>
        <w:t>其他</w:t>
      </w:r>
      <w:r>
        <w:rPr>
          <w:rFonts w:hint="default" w:ascii="Times New Roman" w:hAnsi="Times New Roman" w:eastAsia="方正仿宋_GBK" w:cs="Times New Roman"/>
          <w:bCs/>
          <w:color w:val="000000"/>
          <w:kern w:val="0"/>
          <w:sz w:val="28"/>
          <w:szCs w:val="28"/>
          <w:highlight w:val="none"/>
        </w:rPr>
        <w:t>任何款项，合同期内不含税价及含税价均不因税率变化做调增。配电维保服务费明细如下：</w:t>
      </w:r>
    </w:p>
    <w:tbl>
      <w:tblPr>
        <w:tblStyle w:val="23"/>
        <w:tblpPr w:leftFromText="180" w:rightFromText="180" w:vertAnchor="text" w:horzAnchor="page" w:tblpX="572" w:tblpY="616"/>
        <w:tblOverlap w:val="never"/>
        <w:tblW w:w="10920" w:type="dxa"/>
        <w:tblInd w:w="0" w:type="dxa"/>
        <w:tblLayout w:type="fixed"/>
        <w:tblCellMar>
          <w:top w:w="0" w:type="dxa"/>
          <w:left w:w="108" w:type="dxa"/>
          <w:bottom w:w="0" w:type="dxa"/>
          <w:right w:w="108" w:type="dxa"/>
        </w:tblCellMar>
      </w:tblPr>
      <w:tblGrid>
        <w:gridCol w:w="444"/>
        <w:gridCol w:w="527"/>
        <w:gridCol w:w="1288"/>
        <w:gridCol w:w="657"/>
        <w:gridCol w:w="864"/>
        <w:gridCol w:w="792"/>
        <w:gridCol w:w="828"/>
        <w:gridCol w:w="864"/>
        <w:gridCol w:w="1080"/>
        <w:gridCol w:w="708"/>
        <w:gridCol w:w="828"/>
        <w:gridCol w:w="972"/>
        <w:gridCol w:w="1068"/>
      </w:tblGrid>
      <w:tr>
        <w:tblPrEx>
          <w:tblCellMar>
            <w:top w:w="0" w:type="dxa"/>
            <w:left w:w="108" w:type="dxa"/>
            <w:bottom w:w="0" w:type="dxa"/>
            <w:right w:w="108" w:type="dxa"/>
          </w:tblCellMar>
        </w:tblPrEx>
        <w:trPr>
          <w:trHeight w:val="540" w:hRule="atLeast"/>
        </w:trPr>
        <w:tc>
          <w:tcPr>
            <w:tcW w:w="10920"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eastAsia="方正仿宋_GBK" w:cs="Times New Roman"/>
                <w:b/>
                <w:bCs/>
                <w:color w:val="000000"/>
                <w:szCs w:val="21"/>
                <w:highlight w:val="none"/>
              </w:rPr>
            </w:pPr>
            <w:r>
              <w:rPr>
                <w:rFonts w:hint="eastAsia" w:ascii="Times New Roman" w:hAnsi="Times New Roman" w:eastAsia="方正仿宋_GBK" w:cs="Times New Roman"/>
                <w:b/>
                <w:bCs/>
                <w:color w:val="000000"/>
                <w:kern w:val="0"/>
                <w:szCs w:val="21"/>
                <w:highlight w:val="none"/>
                <w:lang w:eastAsia="zh-CN" w:bidi="ar"/>
              </w:rPr>
              <w:t>一、</w:t>
            </w:r>
            <w:r>
              <w:rPr>
                <w:rFonts w:hint="default" w:ascii="Times New Roman" w:hAnsi="Times New Roman" w:eastAsia="方正仿宋_GBK" w:cs="Times New Roman"/>
                <w:b/>
                <w:bCs/>
                <w:color w:val="000000"/>
                <w:kern w:val="0"/>
                <w:szCs w:val="21"/>
                <w:highlight w:val="none"/>
                <w:lang w:eastAsia="zh-CN" w:bidi="ar"/>
              </w:rPr>
              <w:t>配电维保明细</w:t>
            </w:r>
            <w:r>
              <w:rPr>
                <w:rFonts w:hint="default" w:ascii="Times New Roman" w:hAnsi="Times New Roman" w:eastAsia="方正仿宋_GBK" w:cs="Times New Roman"/>
                <w:b/>
                <w:bCs/>
                <w:color w:val="000000"/>
                <w:kern w:val="0"/>
                <w:szCs w:val="21"/>
                <w:highlight w:val="none"/>
                <w:lang w:bidi="ar"/>
              </w:rPr>
              <w:t xml:space="preserve"> </w:t>
            </w:r>
          </w:p>
        </w:tc>
      </w:tr>
      <w:tr>
        <w:tblPrEx>
          <w:tblCellMar>
            <w:top w:w="0" w:type="dxa"/>
            <w:left w:w="108" w:type="dxa"/>
            <w:bottom w:w="0" w:type="dxa"/>
            <w:right w:w="108" w:type="dxa"/>
          </w:tblCellMar>
        </w:tblPrEx>
        <w:trPr>
          <w:trHeight w:val="312" w:hRule="atLeast"/>
        </w:trPr>
        <w:tc>
          <w:tcPr>
            <w:tcW w:w="44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序号</w:t>
            </w:r>
          </w:p>
        </w:tc>
        <w:tc>
          <w:tcPr>
            <w:tcW w:w="52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项目名称</w:t>
            </w:r>
          </w:p>
        </w:tc>
        <w:tc>
          <w:tcPr>
            <w:tcW w:w="128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维保项目</w:t>
            </w:r>
          </w:p>
        </w:tc>
        <w:tc>
          <w:tcPr>
            <w:tcW w:w="65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变压器</w:t>
            </w:r>
          </w:p>
        </w:tc>
        <w:tc>
          <w:tcPr>
            <w:tcW w:w="86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10KV高压柜</w:t>
            </w:r>
          </w:p>
        </w:tc>
        <w:tc>
          <w:tcPr>
            <w:tcW w:w="162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避雷器</w:t>
            </w:r>
          </w:p>
        </w:tc>
        <w:tc>
          <w:tcPr>
            <w:tcW w:w="86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电缆</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继电保护装置</w:t>
            </w:r>
          </w:p>
        </w:tc>
        <w:tc>
          <w:tcPr>
            <w:tcW w:w="7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地阻测试</w:t>
            </w:r>
          </w:p>
        </w:tc>
        <w:tc>
          <w:tcPr>
            <w:tcW w:w="82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工具检测</w:t>
            </w:r>
          </w:p>
        </w:tc>
        <w:tc>
          <w:tcPr>
            <w:tcW w:w="97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真空断路器</w:t>
            </w:r>
          </w:p>
        </w:tc>
        <w:tc>
          <w:tcPr>
            <w:tcW w:w="106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低压屏</w:t>
            </w:r>
          </w:p>
        </w:tc>
      </w:tr>
      <w:tr>
        <w:tblPrEx>
          <w:tblCellMar>
            <w:top w:w="0" w:type="dxa"/>
            <w:left w:w="108" w:type="dxa"/>
            <w:bottom w:w="0" w:type="dxa"/>
            <w:right w:w="108" w:type="dxa"/>
          </w:tblCellMar>
        </w:tblPrEx>
        <w:trPr>
          <w:trHeight w:val="312" w:hRule="atLeast"/>
        </w:trPr>
        <w:tc>
          <w:tcPr>
            <w:tcW w:w="4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5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12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65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10KV</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0.4KV</w:t>
            </w:r>
          </w:p>
        </w:tc>
        <w:tc>
          <w:tcPr>
            <w:tcW w:w="8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9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10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r>
      <w:tr>
        <w:tblPrEx>
          <w:tblCellMar>
            <w:top w:w="0" w:type="dxa"/>
            <w:left w:w="108" w:type="dxa"/>
            <w:bottom w:w="0" w:type="dxa"/>
            <w:right w:w="108" w:type="dxa"/>
          </w:tblCellMar>
        </w:tblPrEx>
        <w:trPr>
          <w:trHeight w:val="660" w:hRule="atLeast"/>
        </w:trPr>
        <w:tc>
          <w:tcPr>
            <w:tcW w:w="4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5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eastAsia="方正仿宋_GBK" w:cs="Times New Roman"/>
                <w:b/>
                <w:bCs/>
                <w:color w:val="000000"/>
                <w:kern w:val="0"/>
                <w:szCs w:val="21"/>
                <w:highlight w:val="none"/>
                <w:lang w:bidi="ar"/>
              </w:rPr>
            </w:pPr>
            <w:r>
              <w:rPr>
                <w:rFonts w:hint="default" w:ascii="Times New Roman" w:hAnsi="Times New Roman" w:eastAsia="方正仿宋_GBK" w:cs="Times New Roman"/>
                <w:b/>
                <w:bCs/>
                <w:color w:val="000000"/>
                <w:kern w:val="0"/>
                <w:szCs w:val="21"/>
                <w:highlight w:val="none"/>
                <w:lang w:bidi="ar"/>
              </w:rPr>
              <w:t xml:space="preserve">含税单价   </w:t>
            </w:r>
          </w:p>
          <w:p>
            <w:pPr>
              <w:widowControl/>
              <w:jc w:val="left"/>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（元/台/月）</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color w:val="000000"/>
                <w:szCs w:val="21"/>
                <w:highlight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color w:val="000000"/>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color w:val="000000"/>
                <w:szCs w:val="21"/>
                <w:highlight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color w:val="000000"/>
                <w:szCs w:val="21"/>
                <w:highlight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color w:val="000000"/>
                <w:szCs w:val="21"/>
                <w:highlight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color w:val="000000"/>
                <w:szCs w:val="21"/>
                <w:highlight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color w:val="000000"/>
                <w:szCs w:val="21"/>
                <w:highlight w:val="none"/>
              </w:rPr>
            </w:pPr>
          </w:p>
        </w:tc>
      </w:tr>
      <w:tr>
        <w:tblPrEx>
          <w:tblCellMar>
            <w:top w:w="0" w:type="dxa"/>
            <w:left w:w="108" w:type="dxa"/>
            <w:bottom w:w="0" w:type="dxa"/>
            <w:right w:w="108" w:type="dxa"/>
          </w:tblCellMar>
        </w:tblPrEx>
        <w:trPr>
          <w:trHeight w:val="404" w:hRule="atLeast"/>
        </w:trPr>
        <w:tc>
          <w:tcPr>
            <w:tcW w:w="44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1</w:t>
            </w:r>
          </w:p>
        </w:tc>
        <w:tc>
          <w:tcPr>
            <w:tcW w:w="5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白鹤</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数量（台）</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8</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6</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33</w:t>
            </w:r>
          </w:p>
        </w:tc>
      </w:tr>
      <w:tr>
        <w:tblPrEx>
          <w:tblCellMar>
            <w:top w:w="0" w:type="dxa"/>
            <w:left w:w="108" w:type="dxa"/>
            <w:bottom w:w="0" w:type="dxa"/>
            <w:right w:w="108" w:type="dxa"/>
          </w:tblCellMar>
        </w:tblPrEx>
        <w:trPr>
          <w:trHeight w:val="465" w:hRule="atLeast"/>
        </w:trPr>
        <w:tc>
          <w:tcPr>
            <w:tcW w:w="4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5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小计（元）</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r>
      <w:tr>
        <w:tblPrEx>
          <w:tblCellMar>
            <w:top w:w="0" w:type="dxa"/>
            <w:left w:w="108" w:type="dxa"/>
            <w:bottom w:w="0" w:type="dxa"/>
            <w:right w:w="108" w:type="dxa"/>
          </w:tblCellMar>
        </w:tblPrEx>
        <w:trPr>
          <w:trHeight w:val="698" w:hRule="atLeast"/>
        </w:trPr>
        <w:tc>
          <w:tcPr>
            <w:tcW w:w="4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5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含税总价（元）</w:t>
            </w:r>
          </w:p>
        </w:tc>
        <w:tc>
          <w:tcPr>
            <w:tcW w:w="400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不含税总价（元）</w:t>
            </w:r>
          </w:p>
        </w:tc>
        <w:tc>
          <w:tcPr>
            <w:tcW w:w="357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r>
      <w:tr>
        <w:tblPrEx>
          <w:tblCellMar>
            <w:top w:w="0" w:type="dxa"/>
            <w:left w:w="108" w:type="dxa"/>
            <w:bottom w:w="0" w:type="dxa"/>
            <w:right w:w="108" w:type="dxa"/>
          </w:tblCellMar>
        </w:tblPrEx>
        <w:trPr>
          <w:trHeight w:val="415" w:hRule="atLeast"/>
        </w:trPr>
        <w:tc>
          <w:tcPr>
            <w:tcW w:w="44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2</w:t>
            </w:r>
          </w:p>
        </w:tc>
        <w:tc>
          <w:tcPr>
            <w:tcW w:w="5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腾黄路</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数量</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0</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w:t>
            </w:r>
          </w:p>
        </w:tc>
      </w:tr>
      <w:tr>
        <w:tblPrEx>
          <w:tblCellMar>
            <w:top w:w="0" w:type="dxa"/>
            <w:left w:w="108" w:type="dxa"/>
            <w:bottom w:w="0" w:type="dxa"/>
            <w:right w:w="108" w:type="dxa"/>
          </w:tblCellMar>
        </w:tblPrEx>
        <w:trPr>
          <w:trHeight w:val="477" w:hRule="atLeast"/>
        </w:trPr>
        <w:tc>
          <w:tcPr>
            <w:tcW w:w="4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5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小计（元）</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r>
      <w:tr>
        <w:tblPrEx>
          <w:tblCellMar>
            <w:top w:w="0" w:type="dxa"/>
            <w:left w:w="108" w:type="dxa"/>
            <w:bottom w:w="0" w:type="dxa"/>
            <w:right w:w="108" w:type="dxa"/>
          </w:tblCellMar>
        </w:tblPrEx>
        <w:trPr>
          <w:trHeight w:val="734" w:hRule="atLeast"/>
        </w:trPr>
        <w:tc>
          <w:tcPr>
            <w:tcW w:w="4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5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含税总价（元）</w:t>
            </w:r>
          </w:p>
        </w:tc>
        <w:tc>
          <w:tcPr>
            <w:tcW w:w="400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不含税总价（元）</w:t>
            </w:r>
          </w:p>
        </w:tc>
        <w:tc>
          <w:tcPr>
            <w:tcW w:w="357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r>
      <w:tr>
        <w:tblPrEx>
          <w:tblCellMar>
            <w:top w:w="0" w:type="dxa"/>
            <w:left w:w="108" w:type="dxa"/>
            <w:bottom w:w="0" w:type="dxa"/>
            <w:right w:w="108" w:type="dxa"/>
          </w:tblCellMar>
        </w:tblPrEx>
        <w:trPr>
          <w:trHeight w:val="464" w:hRule="atLeast"/>
        </w:trPr>
        <w:tc>
          <w:tcPr>
            <w:tcW w:w="44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3</w:t>
            </w:r>
          </w:p>
        </w:tc>
        <w:tc>
          <w:tcPr>
            <w:tcW w:w="5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康庄</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数量</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8</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16</w:t>
            </w:r>
          </w:p>
        </w:tc>
      </w:tr>
      <w:tr>
        <w:tblPrEx>
          <w:tblCellMar>
            <w:top w:w="0" w:type="dxa"/>
            <w:left w:w="108" w:type="dxa"/>
            <w:bottom w:w="0" w:type="dxa"/>
            <w:right w:w="108" w:type="dxa"/>
          </w:tblCellMar>
        </w:tblPrEx>
        <w:trPr>
          <w:trHeight w:val="477" w:hRule="atLeast"/>
        </w:trPr>
        <w:tc>
          <w:tcPr>
            <w:tcW w:w="4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5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小计（元）</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r>
      <w:tr>
        <w:tblPrEx>
          <w:tblCellMar>
            <w:top w:w="0" w:type="dxa"/>
            <w:left w:w="108" w:type="dxa"/>
            <w:bottom w:w="0" w:type="dxa"/>
            <w:right w:w="108" w:type="dxa"/>
          </w:tblCellMar>
        </w:tblPrEx>
        <w:trPr>
          <w:trHeight w:val="710" w:hRule="atLeast"/>
        </w:trPr>
        <w:tc>
          <w:tcPr>
            <w:tcW w:w="4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5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含税总价（元）</w:t>
            </w:r>
          </w:p>
        </w:tc>
        <w:tc>
          <w:tcPr>
            <w:tcW w:w="400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不含税总价（元）</w:t>
            </w:r>
          </w:p>
        </w:tc>
        <w:tc>
          <w:tcPr>
            <w:tcW w:w="357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r>
      <w:tr>
        <w:tblPrEx>
          <w:tblCellMar>
            <w:top w:w="0" w:type="dxa"/>
            <w:left w:w="108" w:type="dxa"/>
            <w:bottom w:w="0" w:type="dxa"/>
            <w:right w:w="108" w:type="dxa"/>
          </w:tblCellMar>
        </w:tblPrEx>
        <w:trPr>
          <w:trHeight w:val="477" w:hRule="atLeast"/>
        </w:trPr>
        <w:tc>
          <w:tcPr>
            <w:tcW w:w="44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4</w:t>
            </w:r>
          </w:p>
        </w:tc>
        <w:tc>
          <w:tcPr>
            <w:tcW w:w="5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盛德路</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数量</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0</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7</w:t>
            </w:r>
          </w:p>
        </w:tc>
      </w:tr>
      <w:tr>
        <w:tblPrEx>
          <w:tblCellMar>
            <w:top w:w="0" w:type="dxa"/>
            <w:left w:w="108" w:type="dxa"/>
            <w:bottom w:w="0" w:type="dxa"/>
            <w:right w:w="108" w:type="dxa"/>
          </w:tblCellMar>
        </w:tblPrEx>
        <w:trPr>
          <w:trHeight w:val="427" w:hRule="atLeast"/>
        </w:trPr>
        <w:tc>
          <w:tcPr>
            <w:tcW w:w="4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5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小计（元）</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r>
      <w:tr>
        <w:tblPrEx>
          <w:tblCellMar>
            <w:top w:w="0" w:type="dxa"/>
            <w:left w:w="108" w:type="dxa"/>
            <w:bottom w:w="0" w:type="dxa"/>
            <w:right w:w="108" w:type="dxa"/>
          </w:tblCellMar>
        </w:tblPrEx>
        <w:trPr>
          <w:trHeight w:val="90" w:hRule="atLeast"/>
        </w:trPr>
        <w:tc>
          <w:tcPr>
            <w:tcW w:w="4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5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含税总价（元）</w:t>
            </w:r>
          </w:p>
        </w:tc>
        <w:tc>
          <w:tcPr>
            <w:tcW w:w="400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不含税总价（元）</w:t>
            </w:r>
          </w:p>
        </w:tc>
        <w:tc>
          <w:tcPr>
            <w:tcW w:w="357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r>
      <w:tr>
        <w:tblPrEx>
          <w:tblCellMar>
            <w:top w:w="0" w:type="dxa"/>
            <w:left w:w="108" w:type="dxa"/>
            <w:bottom w:w="0" w:type="dxa"/>
            <w:right w:w="108" w:type="dxa"/>
          </w:tblCellMar>
        </w:tblPrEx>
        <w:trPr>
          <w:trHeight w:val="427" w:hRule="atLeast"/>
        </w:trPr>
        <w:tc>
          <w:tcPr>
            <w:tcW w:w="44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5</w:t>
            </w:r>
          </w:p>
        </w:tc>
        <w:tc>
          <w:tcPr>
            <w:tcW w:w="5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沙坪坝</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数量</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10</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6</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6</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17</w:t>
            </w:r>
          </w:p>
        </w:tc>
      </w:tr>
      <w:tr>
        <w:tblPrEx>
          <w:tblCellMar>
            <w:top w:w="0" w:type="dxa"/>
            <w:left w:w="108" w:type="dxa"/>
            <w:bottom w:w="0" w:type="dxa"/>
            <w:right w:w="108" w:type="dxa"/>
          </w:tblCellMar>
        </w:tblPrEx>
        <w:trPr>
          <w:trHeight w:val="464" w:hRule="atLeast"/>
        </w:trPr>
        <w:tc>
          <w:tcPr>
            <w:tcW w:w="4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5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r>
      <w:tr>
        <w:tblPrEx>
          <w:tblCellMar>
            <w:top w:w="0" w:type="dxa"/>
            <w:left w:w="108" w:type="dxa"/>
            <w:bottom w:w="0" w:type="dxa"/>
            <w:right w:w="108" w:type="dxa"/>
          </w:tblCellMar>
        </w:tblPrEx>
        <w:trPr>
          <w:trHeight w:val="698" w:hRule="atLeast"/>
        </w:trPr>
        <w:tc>
          <w:tcPr>
            <w:tcW w:w="4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5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含税总价（元）</w:t>
            </w:r>
          </w:p>
        </w:tc>
        <w:tc>
          <w:tcPr>
            <w:tcW w:w="400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不含税总价（元）</w:t>
            </w:r>
          </w:p>
        </w:tc>
        <w:tc>
          <w:tcPr>
            <w:tcW w:w="357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r>
      <w:tr>
        <w:tblPrEx>
          <w:tblCellMar>
            <w:top w:w="0" w:type="dxa"/>
            <w:left w:w="108" w:type="dxa"/>
            <w:bottom w:w="0" w:type="dxa"/>
            <w:right w:w="108" w:type="dxa"/>
          </w:tblCellMar>
        </w:tblPrEx>
        <w:trPr>
          <w:trHeight w:val="477" w:hRule="atLeast"/>
        </w:trPr>
        <w:tc>
          <w:tcPr>
            <w:tcW w:w="44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6</w:t>
            </w:r>
          </w:p>
        </w:tc>
        <w:tc>
          <w:tcPr>
            <w:tcW w:w="5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西站</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数量</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0</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w:t>
            </w:r>
          </w:p>
        </w:tc>
      </w:tr>
      <w:tr>
        <w:tblPrEx>
          <w:tblCellMar>
            <w:top w:w="0" w:type="dxa"/>
            <w:left w:w="108" w:type="dxa"/>
            <w:bottom w:w="0" w:type="dxa"/>
            <w:right w:w="108" w:type="dxa"/>
          </w:tblCellMar>
        </w:tblPrEx>
        <w:trPr>
          <w:trHeight w:val="452" w:hRule="atLeast"/>
        </w:trPr>
        <w:tc>
          <w:tcPr>
            <w:tcW w:w="4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5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小计（元）</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r>
      <w:tr>
        <w:tblPrEx>
          <w:tblCellMar>
            <w:top w:w="0" w:type="dxa"/>
            <w:left w:w="108" w:type="dxa"/>
            <w:bottom w:w="0" w:type="dxa"/>
            <w:right w:w="108" w:type="dxa"/>
          </w:tblCellMar>
        </w:tblPrEx>
        <w:trPr>
          <w:trHeight w:val="568" w:hRule="atLeast"/>
        </w:trPr>
        <w:tc>
          <w:tcPr>
            <w:tcW w:w="4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5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含税总价（元）</w:t>
            </w:r>
          </w:p>
        </w:tc>
        <w:tc>
          <w:tcPr>
            <w:tcW w:w="400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不含税总价（元）</w:t>
            </w:r>
          </w:p>
        </w:tc>
        <w:tc>
          <w:tcPr>
            <w:tcW w:w="357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r>
      <w:tr>
        <w:tblPrEx>
          <w:tblCellMar>
            <w:top w:w="0" w:type="dxa"/>
            <w:left w:w="108" w:type="dxa"/>
            <w:bottom w:w="0" w:type="dxa"/>
            <w:right w:w="108" w:type="dxa"/>
          </w:tblCellMar>
        </w:tblPrEx>
        <w:trPr>
          <w:trHeight w:val="377" w:hRule="atLeast"/>
        </w:trPr>
        <w:tc>
          <w:tcPr>
            <w:tcW w:w="44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7</w:t>
            </w:r>
          </w:p>
        </w:tc>
        <w:tc>
          <w:tcPr>
            <w:tcW w:w="5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陈庹路</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数量</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18</w:t>
            </w:r>
          </w:p>
        </w:tc>
      </w:tr>
      <w:tr>
        <w:tblPrEx>
          <w:tblCellMar>
            <w:top w:w="0" w:type="dxa"/>
            <w:left w:w="108" w:type="dxa"/>
            <w:bottom w:w="0" w:type="dxa"/>
            <w:right w:w="108" w:type="dxa"/>
          </w:tblCellMar>
        </w:tblPrEx>
        <w:trPr>
          <w:trHeight w:val="427" w:hRule="atLeast"/>
        </w:trPr>
        <w:tc>
          <w:tcPr>
            <w:tcW w:w="4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5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小计（元）</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r>
      <w:tr>
        <w:tblPrEx>
          <w:tblCellMar>
            <w:top w:w="0" w:type="dxa"/>
            <w:left w:w="108" w:type="dxa"/>
            <w:bottom w:w="0" w:type="dxa"/>
            <w:right w:w="108" w:type="dxa"/>
          </w:tblCellMar>
        </w:tblPrEx>
        <w:trPr>
          <w:trHeight w:val="648" w:hRule="atLeast"/>
        </w:trPr>
        <w:tc>
          <w:tcPr>
            <w:tcW w:w="4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5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含税总价（元）</w:t>
            </w:r>
          </w:p>
        </w:tc>
        <w:tc>
          <w:tcPr>
            <w:tcW w:w="400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不含税总价（元）</w:t>
            </w:r>
          </w:p>
        </w:tc>
        <w:tc>
          <w:tcPr>
            <w:tcW w:w="357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r>
      <w:tr>
        <w:tblPrEx>
          <w:tblCellMar>
            <w:top w:w="0" w:type="dxa"/>
            <w:left w:w="108" w:type="dxa"/>
            <w:bottom w:w="0" w:type="dxa"/>
            <w:right w:w="108" w:type="dxa"/>
          </w:tblCellMar>
        </w:tblPrEx>
        <w:trPr>
          <w:trHeight w:val="648" w:hRule="atLeast"/>
        </w:trPr>
        <w:tc>
          <w:tcPr>
            <w:tcW w:w="44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8</w:t>
            </w:r>
          </w:p>
        </w:tc>
        <w:tc>
          <w:tcPr>
            <w:tcW w:w="5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交通局</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kern w:val="0"/>
                <w:szCs w:val="21"/>
                <w:highlight w:val="none"/>
                <w:lang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数量</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0</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kern w:val="0"/>
                <w:szCs w:val="21"/>
                <w:highlight w:val="none"/>
                <w:lang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0</w:t>
            </w:r>
          </w:p>
        </w:tc>
      </w:tr>
      <w:tr>
        <w:tblPrEx>
          <w:tblCellMar>
            <w:top w:w="0" w:type="dxa"/>
            <w:left w:w="108" w:type="dxa"/>
            <w:bottom w:w="0" w:type="dxa"/>
            <w:right w:w="108" w:type="dxa"/>
          </w:tblCellMar>
        </w:tblPrEx>
        <w:trPr>
          <w:trHeight w:val="648" w:hRule="atLeast"/>
        </w:trPr>
        <w:tc>
          <w:tcPr>
            <w:tcW w:w="4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5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kern w:val="0"/>
                <w:szCs w:val="21"/>
                <w:highlight w:val="none"/>
                <w:lang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小计（元）</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kern w:val="0"/>
                <w:szCs w:val="21"/>
                <w:highlight w:val="none"/>
                <w:lang w:bidi="ar"/>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p>
        </w:tc>
      </w:tr>
      <w:tr>
        <w:tblPrEx>
          <w:tblCellMar>
            <w:top w:w="0" w:type="dxa"/>
            <w:left w:w="108" w:type="dxa"/>
            <w:bottom w:w="0" w:type="dxa"/>
            <w:right w:w="108" w:type="dxa"/>
          </w:tblCellMar>
        </w:tblPrEx>
        <w:trPr>
          <w:trHeight w:val="648" w:hRule="atLeast"/>
        </w:trPr>
        <w:tc>
          <w:tcPr>
            <w:tcW w:w="4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5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kern w:val="0"/>
                <w:szCs w:val="21"/>
                <w:highlight w:val="none"/>
                <w:lang w:bidi="ar"/>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含税总价（元）</w:t>
            </w:r>
          </w:p>
        </w:tc>
        <w:tc>
          <w:tcPr>
            <w:tcW w:w="400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kern w:val="0"/>
                <w:szCs w:val="21"/>
                <w:highlight w:val="none"/>
                <w:lang w:bidi="ar"/>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不含税总价（元）</w:t>
            </w:r>
          </w:p>
        </w:tc>
        <w:tc>
          <w:tcPr>
            <w:tcW w:w="357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r>
      <w:tr>
        <w:tblPrEx>
          <w:tblCellMar>
            <w:top w:w="0" w:type="dxa"/>
            <w:left w:w="108" w:type="dxa"/>
            <w:bottom w:w="0" w:type="dxa"/>
            <w:right w:w="108" w:type="dxa"/>
          </w:tblCellMar>
        </w:tblPrEx>
        <w:trPr>
          <w:trHeight w:val="648" w:hRule="atLeast"/>
        </w:trPr>
        <w:tc>
          <w:tcPr>
            <w:tcW w:w="44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9</w:t>
            </w:r>
          </w:p>
        </w:tc>
        <w:tc>
          <w:tcPr>
            <w:tcW w:w="5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保税港</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kern w:val="0"/>
                <w:szCs w:val="21"/>
                <w:highlight w:val="none"/>
                <w:lang w:bidi="ar"/>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数量</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kern w:val="0"/>
                <w:szCs w:val="21"/>
                <w:highlight w:val="none"/>
                <w:lang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0</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w:t>
            </w:r>
          </w:p>
        </w:tc>
      </w:tr>
      <w:tr>
        <w:tblPrEx>
          <w:tblCellMar>
            <w:top w:w="0" w:type="dxa"/>
            <w:left w:w="108" w:type="dxa"/>
            <w:bottom w:w="0" w:type="dxa"/>
            <w:right w:w="108" w:type="dxa"/>
          </w:tblCellMar>
        </w:tblPrEx>
        <w:trPr>
          <w:trHeight w:val="648" w:hRule="atLeast"/>
        </w:trPr>
        <w:tc>
          <w:tcPr>
            <w:tcW w:w="4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5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kern w:val="0"/>
                <w:szCs w:val="21"/>
                <w:highlight w:val="none"/>
                <w:lang w:bidi="ar"/>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小计（元）</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kern w:val="0"/>
                <w:szCs w:val="21"/>
                <w:highlight w:val="none"/>
                <w:lang w:bidi="ar"/>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p>
        </w:tc>
      </w:tr>
      <w:tr>
        <w:tblPrEx>
          <w:tblCellMar>
            <w:top w:w="0" w:type="dxa"/>
            <w:left w:w="108" w:type="dxa"/>
            <w:bottom w:w="0" w:type="dxa"/>
            <w:right w:w="108" w:type="dxa"/>
          </w:tblCellMar>
        </w:tblPrEx>
        <w:trPr>
          <w:trHeight w:val="648" w:hRule="atLeast"/>
        </w:trPr>
        <w:tc>
          <w:tcPr>
            <w:tcW w:w="4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5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kern w:val="0"/>
                <w:szCs w:val="21"/>
                <w:highlight w:val="none"/>
                <w:lang w:bidi="ar"/>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含税总价（元）</w:t>
            </w:r>
          </w:p>
        </w:tc>
        <w:tc>
          <w:tcPr>
            <w:tcW w:w="400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kern w:val="0"/>
                <w:szCs w:val="21"/>
                <w:highlight w:val="none"/>
                <w:lang w:bidi="ar"/>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不税总价（元）</w:t>
            </w:r>
          </w:p>
        </w:tc>
        <w:tc>
          <w:tcPr>
            <w:tcW w:w="357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r>
      <w:tr>
        <w:tblPrEx>
          <w:tblCellMar>
            <w:top w:w="0" w:type="dxa"/>
            <w:left w:w="108" w:type="dxa"/>
            <w:bottom w:w="0" w:type="dxa"/>
            <w:right w:w="108" w:type="dxa"/>
          </w:tblCellMar>
        </w:tblPrEx>
        <w:trPr>
          <w:trHeight w:val="452" w:hRule="atLeast"/>
        </w:trPr>
        <w:tc>
          <w:tcPr>
            <w:tcW w:w="44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10</w:t>
            </w:r>
          </w:p>
        </w:tc>
        <w:tc>
          <w:tcPr>
            <w:tcW w:w="5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金沙街</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数量</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12</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6</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6</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21</w:t>
            </w:r>
          </w:p>
        </w:tc>
      </w:tr>
      <w:tr>
        <w:tblPrEx>
          <w:tblCellMar>
            <w:top w:w="0" w:type="dxa"/>
            <w:left w:w="108" w:type="dxa"/>
            <w:bottom w:w="0" w:type="dxa"/>
            <w:right w:w="108" w:type="dxa"/>
          </w:tblCellMar>
        </w:tblPrEx>
        <w:trPr>
          <w:trHeight w:val="415" w:hRule="atLeast"/>
        </w:trPr>
        <w:tc>
          <w:tcPr>
            <w:tcW w:w="4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5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小计（元）</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r>
      <w:tr>
        <w:tblPrEx>
          <w:tblCellMar>
            <w:top w:w="0" w:type="dxa"/>
            <w:left w:w="108" w:type="dxa"/>
            <w:bottom w:w="0" w:type="dxa"/>
            <w:right w:w="108" w:type="dxa"/>
          </w:tblCellMar>
        </w:tblPrEx>
        <w:trPr>
          <w:trHeight w:val="638" w:hRule="atLeast"/>
        </w:trPr>
        <w:tc>
          <w:tcPr>
            <w:tcW w:w="4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5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12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税总价（元）</w:t>
            </w:r>
          </w:p>
        </w:tc>
        <w:tc>
          <w:tcPr>
            <w:tcW w:w="400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不税总价（元）</w:t>
            </w:r>
          </w:p>
        </w:tc>
        <w:tc>
          <w:tcPr>
            <w:tcW w:w="357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r>
      <w:tr>
        <w:tblPrEx>
          <w:tblCellMar>
            <w:top w:w="0" w:type="dxa"/>
            <w:left w:w="108" w:type="dxa"/>
            <w:bottom w:w="0" w:type="dxa"/>
            <w:right w:w="108" w:type="dxa"/>
          </w:tblCellMar>
        </w:tblPrEx>
        <w:trPr>
          <w:trHeight w:val="472" w:hRule="atLeast"/>
        </w:trPr>
        <w:tc>
          <w:tcPr>
            <w:tcW w:w="2259" w:type="dxa"/>
            <w:gridSpan w:val="3"/>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Style w:val="192"/>
                <w:rFonts w:hint="eastAsia" w:ascii="Times New Roman" w:hAnsi="Times New Roman" w:eastAsia="宋体" w:cs="Times New Roman"/>
                <w:color w:val="000000"/>
                <w:highlight w:val="none"/>
                <w:lang w:val="en-US" w:eastAsia="zh-CN" w:bidi="ar"/>
              </w:rPr>
              <w:t>10</w:t>
            </w:r>
            <w:r>
              <w:rPr>
                <w:rStyle w:val="193"/>
                <w:rFonts w:hint="default" w:ascii="Times New Roman" w:hAnsi="Times New Roman" w:cs="Times New Roman"/>
                <w:color w:val="000000"/>
                <w:highlight w:val="none"/>
                <w:lang w:val="en-US" w:eastAsia="zh-CN" w:bidi="ar"/>
              </w:rPr>
              <w:t>个项目含税总价（元）</w:t>
            </w:r>
          </w:p>
        </w:tc>
        <w:tc>
          <w:tcPr>
            <w:tcW w:w="4005" w:type="dxa"/>
            <w:gridSpan w:val="5"/>
            <w:tcBorders>
              <w:top w:val="single" w:color="000000" w:sz="4" w:space="0"/>
              <w:left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i w:val="0"/>
                <w:iCs w:val="0"/>
                <w:color w:val="000000"/>
                <w:kern w:val="0"/>
                <w:sz w:val="21"/>
                <w:szCs w:val="21"/>
                <w:highlight w:val="none"/>
                <w:u w:val="none"/>
                <w:lang w:val="en-US" w:eastAsia="zh-CN" w:bidi="ar"/>
              </w:rPr>
              <w:t>不含税总价（元）</w:t>
            </w:r>
          </w:p>
        </w:tc>
        <w:tc>
          <w:tcPr>
            <w:tcW w:w="3576" w:type="dxa"/>
            <w:gridSpan w:val="4"/>
            <w:tcBorders>
              <w:top w:val="single" w:color="000000"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r>
      <w:tr>
        <w:tblPrEx>
          <w:tblCellMar>
            <w:top w:w="0" w:type="dxa"/>
            <w:left w:w="108" w:type="dxa"/>
            <w:bottom w:w="0" w:type="dxa"/>
            <w:right w:w="108" w:type="dxa"/>
          </w:tblCellMar>
        </w:tblPrEx>
        <w:trPr>
          <w:trHeight w:val="444" w:hRule="atLeast"/>
        </w:trPr>
        <w:tc>
          <w:tcPr>
            <w:tcW w:w="10920" w:type="dxa"/>
            <w:gridSpan w:val="13"/>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textAlignment w:val="center"/>
              <w:rPr>
                <w:rFonts w:hint="default" w:ascii="Times New Roman" w:hAnsi="Times New Roman" w:eastAsia="方正仿宋_GBK" w:cs="Times New Roman"/>
                <w:b/>
                <w:bCs/>
                <w:color w:val="000000"/>
                <w:kern w:val="0"/>
                <w:szCs w:val="21"/>
                <w:highlight w:val="none"/>
                <w:lang w:val="en-US" w:eastAsia="zh-CN" w:bidi="ar"/>
              </w:rPr>
            </w:pPr>
            <w:r>
              <w:rPr>
                <w:rFonts w:hint="default" w:ascii="Times New Roman" w:hAnsi="Times New Roman" w:eastAsia="方正仿宋_GBK" w:cs="Times New Roman"/>
                <w:b/>
                <w:bCs/>
                <w:i w:val="0"/>
                <w:iCs w:val="0"/>
                <w:color w:val="000000"/>
                <w:kern w:val="0"/>
                <w:sz w:val="21"/>
                <w:szCs w:val="21"/>
                <w:highlight w:val="none"/>
                <w:u w:val="none"/>
                <w:lang w:val="en-US" w:eastAsia="zh-CN" w:bidi="ar"/>
              </w:rPr>
              <w:t>专票税率</w:t>
            </w:r>
            <w:r>
              <w:rPr>
                <w:rFonts w:hint="eastAsia" w:ascii="Times New Roman" w:hAnsi="Times New Roman" w:eastAsia="方正仿宋_GBK" w:cs="Times New Roman"/>
                <w:b/>
                <w:bCs/>
                <w:i w:val="0"/>
                <w:iCs w:val="0"/>
                <w:color w:val="000000"/>
                <w:kern w:val="0"/>
                <w:sz w:val="21"/>
                <w:szCs w:val="21"/>
                <w:highlight w:val="none"/>
                <w:u w:val="none"/>
                <w:lang w:val="en-US" w:eastAsia="zh-CN" w:bidi="ar"/>
              </w:rPr>
              <w:t>：</w:t>
            </w:r>
          </w:p>
        </w:tc>
      </w:tr>
      <w:tr>
        <w:tblPrEx>
          <w:tblCellMar>
            <w:top w:w="0" w:type="dxa"/>
            <w:left w:w="108" w:type="dxa"/>
            <w:bottom w:w="0" w:type="dxa"/>
            <w:right w:w="108" w:type="dxa"/>
          </w:tblCellMar>
        </w:tblPrEx>
        <w:trPr>
          <w:trHeight w:val="444" w:hRule="atLeast"/>
        </w:trPr>
        <w:tc>
          <w:tcPr>
            <w:tcW w:w="10920" w:type="dxa"/>
            <w:gridSpan w:val="13"/>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textAlignment w:val="center"/>
              <w:rPr>
                <w:rFonts w:hint="default" w:ascii="Times New Roman" w:hAnsi="Times New Roman" w:eastAsia="方正仿宋_GBK" w:cs="Times New Roman"/>
                <w:b/>
                <w:bCs/>
                <w:color w:val="000000"/>
                <w:kern w:val="0"/>
                <w:szCs w:val="21"/>
                <w:highlight w:val="none"/>
                <w:lang w:bidi="ar"/>
              </w:rPr>
            </w:pPr>
            <w:r>
              <w:rPr>
                <w:rFonts w:hint="default" w:ascii="Times New Roman" w:hAnsi="Times New Roman" w:eastAsia="方正仿宋_GBK" w:cs="Times New Roman"/>
                <w:b/>
                <w:bCs/>
                <w:color w:val="000000"/>
                <w:kern w:val="0"/>
                <w:szCs w:val="21"/>
                <w:highlight w:val="none"/>
                <w:lang w:val="en-US" w:eastAsia="zh-CN" w:bidi="ar"/>
              </w:rPr>
              <w:t>二、</w:t>
            </w:r>
            <w:r>
              <w:rPr>
                <w:rFonts w:hint="default" w:ascii="Times New Roman" w:hAnsi="Times New Roman" w:eastAsia="方正仿宋_GBK" w:cs="Times New Roman"/>
                <w:b/>
                <w:bCs/>
                <w:color w:val="000000"/>
                <w:kern w:val="0"/>
                <w:szCs w:val="21"/>
                <w:highlight w:val="none"/>
                <w:lang w:bidi="ar"/>
              </w:rPr>
              <w:t>服务期限：202</w:t>
            </w:r>
            <w:r>
              <w:rPr>
                <w:rFonts w:hint="eastAsia" w:ascii="Times New Roman" w:hAnsi="Times New Roman" w:eastAsia="方正仿宋_GBK" w:cs="Times New Roman"/>
                <w:b/>
                <w:bCs/>
                <w:color w:val="000000"/>
                <w:kern w:val="0"/>
                <w:szCs w:val="21"/>
                <w:highlight w:val="none"/>
                <w:lang w:val="en-US" w:eastAsia="zh-CN" w:bidi="ar"/>
              </w:rPr>
              <w:t>6</w:t>
            </w:r>
            <w:r>
              <w:rPr>
                <w:rFonts w:hint="default" w:ascii="Times New Roman" w:hAnsi="Times New Roman" w:eastAsia="方正仿宋_GBK" w:cs="Times New Roman"/>
                <w:b/>
                <w:bCs/>
                <w:color w:val="000000"/>
                <w:kern w:val="0"/>
                <w:szCs w:val="21"/>
                <w:highlight w:val="none"/>
                <w:lang w:bidi="ar"/>
              </w:rPr>
              <w:t>.1.1-202</w:t>
            </w:r>
            <w:r>
              <w:rPr>
                <w:rFonts w:hint="eastAsia" w:ascii="Times New Roman" w:hAnsi="Times New Roman" w:eastAsia="方正仿宋_GBK" w:cs="Times New Roman"/>
                <w:b/>
                <w:bCs/>
                <w:color w:val="000000"/>
                <w:kern w:val="0"/>
                <w:szCs w:val="21"/>
                <w:highlight w:val="none"/>
                <w:lang w:val="en-US" w:eastAsia="zh-CN" w:bidi="ar"/>
              </w:rPr>
              <w:t>6</w:t>
            </w:r>
            <w:r>
              <w:rPr>
                <w:rFonts w:hint="default" w:ascii="Times New Roman" w:hAnsi="Times New Roman" w:eastAsia="方正仿宋_GBK" w:cs="Times New Roman"/>
                <w:b/>
                <w:bCs/>
                <w:color w:val="000000"/>
                <w:kern w:val="0"/>
                <w:szCs w:val="21"/>
                <w:highlight w:val="none"/>
                <w:lang w:bidi="ar"/>
              </w:rPr>
              <w:t>.12.31，共计12个月。</w:t>
            </w:r>
          </w:p>
        </w:tc>
      </w:tr>
      <w:tr>
        <w:tblPrEx>
          <w:tblCellMar>
            <w:top w:w="0" w:type="dxa"/>
            <w:left w:w="108" w:type="dxa"/>
            <w:bottom w:w="0" w:type="dxa"/>
            <w:right w:w="108" w:type="dxa"/>
          </w:tblCellMar>
        </w:tblPrEx>
        <w:trPr>
          <w:trHeight w:val="878" w:hRule="atLeast"/>
        </w:trPr>
        <w:tc>
          <w:tcPr>
            <w:tcW w:w="10920" w:type="dxa"/>
            <w:gridSpan w:val="13"/>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Times New Roman" w:hAnsi="Times New Roman" w:eastAsia="方正仿宋_GBK" w:cs="Times New Roman"/>
                <w:b/>
                <w:bCs/>
                <w:color w:val="000000"/>
                <w:kern w:val="0"/>
                <w:szCs w:val="21"/>
                <w:highlight w:val="none"/>
                <w:lang w:val="en-US" w:eastAsia="zh-CN" w:bidi="ar"/>
              </w:rPr>
            </w:pPr>
            <w:r>
              <w:rPr>
                <w:rFonts w:hint="eastAsia" w:ascii="Times New Roman" w:hAnsi="Times New Roman" w:eastAsia="方正仿宋_GBK" w:cs="Times New Roman"/>
                <w:b/>
                <w:bCs/>
                <w:color w:val="000000"/>
                <w:kern w:val="0"/>
                <w:szCs w:val="21"/>
                <w:highlight w:val="none"/>
                <w:lang w:val="en-US" w:eastAsia="zh-CN" w:bidi="ar"/>
              </w:rPr>
              <w:t>三、备注：1.</w:t>
            </w:r>
            <w:r>
              <w:rPr>
                <w:rFonts w:hint="default" w:ascii="Times New Roman" w:hAnsi="Times New Roman" w:eastAsia="方正仿宋_GBK" w:cs="Times New Roman"/>
                <w:b/>
                <w:bCs/>
                <w:color w:val="000000"/>
                <w:kern w:val="0"/>
                <w:szCs w:val="21"/>
                <w:highlight w:val="none"/>
                <w:lang w:bidi="ar"/>
              </w:rPr>
              <w:t>上述报价为包干价，含300元及300元以内的配件免费更换。</w:t>
            </w:r>
          </w:p>
          <w:p>
            <w:pPr>
              <w:widowControl/>
              <w:ind w:firstLine="1004" w:firstLineChars="500"/>
              <w:textAlignment w:val="center"/>
              <w:rPr>
                <w:rFonts w:hint="default" w:ascii="Times New Roman" w:hAnsi="Times New Roman" w:eastAsia="方正仿宋_GBK" w:cs="Times New Roman"/>
                <w:b/>
                <w:bCs/>
                <w:color w:val="000000"/>
                <w:kern w:val="0"/>
                <w:szCs w:val="21"/>
                <w:highlight w:val="none"/>
                <w:lang w:val="en-US" w:eastAsia="zh-CN" w:bidi="ar"/>
              </w:rPr>
            </w:pPr>
            <w:r>
              <w:rPr>
                <w:rFonts w:hint="eastAsia" w:ascii="Times New Roman" w:hAnsi="Times New Roman" w:eastAsia="方正仿宋_GBK" w:cs="Times New Roman"/>
                <w:b/>
                <w:bCs/>
                <w:color w:val="000000"/>
                <w:kern w:val="0"/>
                <w:szCs w:val="21"/>
                <w:highlight w:val="none"/>
                <w:lang w:val="en-US" w:eastAsia="zh-CN" w:bidi="ar"/>
              </w:rPr>
              <w:t>2.</w:t>
            </w:r>
            <w:r>
              <w:rPr>
                <w:rFonts w:hint="default" w:ascii="Times New Roman" w:hAnsi="Times New Roman" w:eastAsia="方正仿宋_GBK" w:cs="Times New Roman"/>
                <w:b/>
                <w:bCs/>
                <w:color w:val="000000"/>
                <w:kern w:val="0"/>
                <w:szCs w:val="21"/>
                <w:highlight w:val="none"/>
                <w:lang w:bidi="ar"/>
              </w:rPr>
              <w:t>所填报价格必须保留至小数点后2位，小数点后无数字时填写0</w:t>
            </w:r>
            <w:r>
              <w:rPr>
                <w:rFonts w:hint="eastAsia" w:ascii="Times New Roman" w:hAnsi="Times New Roman" w:eastAsia="方正仿宋_GBK" w:cs="Times New Roman"/>
                <w:b/>
                <w:bCs/>
                <w:color w:val="000000"/>
                <w:kern w:val="0"/>
                <w:szCs w:val="21"/>
                <w:highlight w:val="none"/>
                <w:lang w:eastAsia="zh-CN" w:bidi="ar"/>
              </w:rPr>
              <w:t>。</w:t>
            </w:r>
          </w:p>
        </w:tc>
      </w:tr>
    </w:tbl>
    <w:p>
      <w:pPr>
        <w:numPr>
          <w:ilvl w:val="0"/>
          <w:numId w:val="3"/>
        </w:numPr>
        <w:adjustRightInd w:val="0"/>
        <w:spacing w:line="600" w:lineRule="exact"/>
        <w:ind w:firstLine="560" w:firstLineChars="200"/>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结算方式</w:t>
      </w:r>
    </w:p>
    <w:p>
      <w:pPr>
        <w:adjustRightInd w:val="0"/>
        <w:spacing w:line="600" w:lineRule="exact"/>
        <w:ind w:firstLine="560" w:firstLineChars="200"/>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维修保养费用按</w:t>
      </w:r>
      <w:r>
        <w:rPr>
          <w:rFonts w:hint="eastAsia" w:ascii="Times New Roman" w:hAnsi="Times New Roman" w:eastAsia="方正仿宋_GBK" w:cs="Times New Roman"/>
          <w:color w:val="000000"/>
          <w:kern w:val="0"/>
          <w:sz w:val="28"/>
          <w:szCs w:val="28"/>
          <w:highlight w:val="none"/>
          <w:lang w:eastAsia="zh-CN"/>
        </w:rPr>
        <w:t>月考核，按</w:t>
      </w:r>
      <w:r>
        <w:rPr>
          <w:rFonts w:hint="default" w:ascii="Times New Roman" w:hAnsi="Times New Roman" w:eastAsia="方正仿宋_GBK" w:cs="Times New Roman"/>
          <w:color w:val="000000"/>
          <w:kern w:val="0"/>
          <w:sz w:val="28"/>
          <w:szCs w:val="28"/>
          <w:highlight w:val="none"/>
        </w:rPr>
        <w:t>季度结算，即自合同起始日计算，每3个自然月为一个季度，先服务后付费。</w:t>
      </w:r>
    </w:p>
    <w:p>
      <w:pPr>
        <w:adjustRightInd w:val="0"/>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（三）付款方式</w:t>
      </w:r>
    </w:p>
    <w:p>
      <w:pPr>
        <w:adjustRightInd w:val="0"/>
        <w:spacing w:line="600" w:lineRule="exact"/>
        <w:ind w:firstLine="560" w:firstLineChars="200"/>
        <w:rPr>
          <w:rFonts w:hint="default" w:ascii="Times New Roman" w:hAnsi="Times New Roman" w:eastAsia="方正仿宋_GBK" w:cs="Times New Roman"/>
          <w:b w:val="0"/>
          <w:bCs w:val="0"/>
          <w:color w:val="000000"/>
          <w:kern w:val="0"/>
          <w:sz w:val="28"/>
          <w:szCs w:val="28"/>
          <w:highlight w:val="none"/>
        </w:rPr>
      </w:pPr>
      <w:r>
        <w:rPr>
          <w:rFonts w:hint="default" w:ascii="Times New Roman" w:hAnsi="Times New Roman" w:eastAsia="方正仿宋_GBK" w:cs="Times New Roman"/>
          <w:b w:val="0"/>
          <w:bCs w:val="0"/>
          <w:color w:val="000000"/>
          <w:kern w:val="0"/>
          <w:sz w:val="28"/>
          <w:szCs w:val="28"/>
          <w:highlight w:val="none"/>
        </w:rPr>
        <w:t>1.每月考核总分100分，得分低于90分，扣除当月服务费的5％；得分低于85分，扣除当月服务费的10％；得分低于80分，扣除当月服务费的20％；连续2次出现或合同期内累积出现3次月考核分低于80分的情况，比选邀请人有权单方解除合同，履约保证金不予退还且不被视为违约，并要求比选被邀请人支付合同总金额20%的违约金。</w:t>
      </w:r>
    </w:p>
    <w:p>
      <w:pPr>
        <w:adjustRightInd w:val="0"/>
        <w:spacing w:line="600" w:lineRule="exact"/>
        <w:ind w:firstLine="560" w:firstLineChars="200"/>
        <w:rPr>
          <w:rFonts w:hint="default" w:ascii="Times New Roman" w:hAnsi="Times New Roman" w:eastAsia="方正仿宋_GBK" w:cs="Times New Roman"/>
          <w:b w:val="0"/>
          <w:bCs w:val="0"/>
          <w:color w:val="000000"/>
          <w:kern w:val="0"/>
          <w:sz w:val="28"/>
          <w:szCs w:val="28"/>
          <w:highlight w:val="none"/>
        </w:rPr>
      </w:pPr>
      <w:r>
        <w:rPr>
          <w:rFonts w:hint="default" w:ascii="Times New Roman" w:hAnsi="Times New Roman" w:eastAsia="方正仿宋_GBK" w:cs="Times New Roman"/>
          <w:b w:val="0"/>
          <w:bCs w:val="0"/>
          <w:color w:val="000000"/>
          <w:kern w:val="0"/>
          <w:sz w:val="28"/>
          <w:szCs w:val="28"/>
          <w:highlight w:val="none"/>
        </w:rPr>
        <w:t>2.按月考核，按季度支付服务费。在中选单位全面履行合同的前提下，比选邀请人在下季度第一个月5日前完成该季度服务考核，并与中选单位进行费用对账，原则上在5个工作日内完成对账，如一方对数据有异议，可适当延长对账时间，直至双方确认无误。对账完成后，中选单位按照比选邀请人要求开具足额增值税专用发票，比选邀请人收到发票后一个月内付款。</w:t>
      </w:r>
    </w:p>
    <w:p>
      <w:pPr>
        <w:adjustRightInd w:val="0"/>
        <w:spacing w:line="600" w:lineRule="exact"/>
        <w:ind w:firstLine="560" w:firstLineChars="200"/>
        <w:rPr>
          <w:rFonts w:hint="default" w:ascii="Times New Roman" w:hAnsi="Times New Roman" w:eastAsia="方正仿宋_GBK" w:cs="Times New Roman"/>
          <w:b w:val="0"/>
          <w:bCs w:val="0"/>
          <w:color w:val="000000"/>
          <w:kern w:val="0"/>
          <w:sz w:val="28"/>
          <w:szCs w:val="28"/>
          <w:highlight w:val="none"/>
        </w:rPr>
      </w:pPr>
      <w:r>
        <w:rPr>
          <w:rFonts w:hint="default" w:ascii="Times New Roman" w:hAnsi="Times New Roman" w:eastAsia="方正仿宋_GBK" w:cs="Times New Roman"/>
          <w:b w:val="0"/>
          <w:bCs w:val="0"/>
          <w:color w:val="000000"/>
          <w:kern w:val="0"/>
          <w:sz w:val="28"/>
          <w:szCs w:val="28"/>
          <w:highlight w:val="none"/>
        </w:rPr>
        <w:t>3.服务费结算公式：</w:t>
      </w:r>
    </w:p>
    <w:p>
      <w:pPr>
        <w:adjustRightInd w:val="0"/>
        <w:spacing w:line="600" w:lineRule="exact"/>
        <w:ind w:firstLine="562" w:firstLineChars="200"/>
        <w:rPr>
          <w:rFonts w:hint="default" w:ascii="Times New Roman" w:hAnsi="Times New Roman" w:eastAsia="方正仿宋_GBK" w:cs="Times New Roman"/>
          <w:b/>
          <w:bCs/>
          <w:color w:val="000000"/>
          <w:kern w:val="0"/>
          <w:sz w:val="28"/>
          <w:szCs w:val="28"/>
          <w:highlight w:val="none"/>
        </w:rPr>
      </w:pPr>
      <w:r>
        <w:rPr>
          <w:rFonts w:hint="default" w:ascii="Times New Roman" w:hAnsi="Times New Roman" w:eastAsia="方正仿宋_GBK" w:cs="Times New Roman"/>
          <w:b/>
          <w:bCs/>
          <w:color w:val="000000"/>
          <w:kern w:val="0"/>
          <w:sz w:val="28"/>
          <w:szCs w:val="28"/>
          <w:highlight w:val="none"/>
        </w:rPr>
        <w:t>项目每月服务费=合同约定支付金额-月度考核评分扣款-单项单次违约扣款。</w:t>
      </w:r>
    </w:p>
    <w:p>
      <w:pPr>
        <w:spacing w:line="600" w:lineRule="exact"/>
        <w:ind w:firstLine="560" w:firstLineChars="200"/>
        <w:rPr>
          <w:rFonts w:hint="default" w:ascii="Times New Roman" w:hAnsi="Times New Roman" w:eastAsia="方正仿宋_GBK" w:cs="Times New Roman"/>
          <w:color w:val="000000"/>
          <w:kern w:val="0"/>
          <w:sz w:val="28"/>
          <w:szCs w:val="28"/>
          <w:highlight w:val="none"/>
        </w:rPr>
      </w:pPr>
      <w:r>
        <w:rPr>
          <w:rFonts w:hint="eastAsia" w:eastAsia="方正仿宋_GBK" w:cs="Times New Roman"/>
          <w:color w:val="000000"/>
          <w:kern w:val="0"/>
          <w:sz w:val="28"/>
          <w:szCs w:val="28"/>
          <w:highlight w:val="none"/>
          <w:lang w:val="en-US" w:eastAsia="zh-CN"/>
        </w:rPr>
        <w:t>4.</w:t>
      </w:r>
      <w:r>
        <w:rPr>
          <w:rFonts w:hint="default" w:ascii="Times New Roman" w:hAnsi="Times New Roman" w:eastAsia="方正仿宋_GBK" w:cs="Times New Roman"/>
          <w:color w:val="000000"/>
          <w:kern w:val="0"/>
          <w:sz w:val="28"/>
          <w:szCs w:val="28"/>
          <w:highlight w:val="none"/>
        </w:rPr>
        <w:t>乙方在全面履行合同的前提下，甲乙双方在下季度第一个月5日前进行上一季度费用考核、对账，原则上在5个工作日内完成，如一方对数据有异议的，可适当延长对账时间，直至双方确认无误。对账完成后，乙方按照甲方要求开具足额增值税专用发票（税率为</w:t>
      </w:r>
      <w:r>
        <w:rPr>
          <w:rFonts w:hint="default" w:ascii="Times New Roman" w:hAnsi="Times New Roman" w:eastAsia="方正仿宋_GBK" w:cs="Times New Roman"/>
          <w:color w:val="000000"/>
          <w:kern w:val="0"/>
          <w:sz w:val="28"/>
          <w:szCs w:val="28"/>
          <w:highlight w:val="none"/>
          <w:u w:val="single"/>
        </w:rPr>
        <w:t xml:space="preserve">   </w:t>
      </w:r>
      <w:r>
        <w:rPr>
          <w:rFonts w:hint="default" w:ascii="Times New Roman" w:hAnsi="Times New Roman" w:eastAsia="方正仿宋_GBK" w:cs="Times New Roman"/>
          <w:color w:val="000000"/>
          <w:kern w:val="0"/>
          <w:sz w:val="28"/>
          <w:szCs w:val="28"/>
          <w:highlight w:val="none"/>
        </w:rPr>
        <w:t>%），甲方收到发票后一个月内付款，乙方提供的发票应符合甲方的要求，因提供的发票不符合甲方的规定所导致的一切问题由乙方自行承担。</w:t>
      </w:r>
      <w:r>
        <w:rPr>
          <w:rFonts w:hint="default" w:ascii="Times New Roman" w:hAnsi="Times New Roman" w:eastAsia="方正仿宋_GBK" w:cs="Times New Roman"/>
          <w:b w:val="0"/>
          <w:bCs/>
          <w:color w:val="000000"/>
          <w:kern w:val="2"/>
          <w:sz w:val="28"/>
          <w:szCs w:val="28"/>
          <w:highlight w:val="none"/>
          <w:lang w:val="en-US" w:eastAsia="zh-CN" w:bidi="ar-SA"/>
        </w:rPr>
        <w:t>若乙方未提供增值税专用发票，甲方有权拒绝支付相应款项，且不承担违约责任</w:t>
      </w:r>
      <w:r>
        <w:rPr>
          <w:rFonts w:hint="eastAsia" w:ascii="Times New Roman" w:hAnsi="Times New Roman" w:eastAsia="方正仿宋_GBK" w:cs="Times New Roman"/>
          <w:b w:val="0"/>
          <w:bCs/>
          <w:color w:val="000000"/>
          <w:kern w:val="2"/>
          <w:sz w:val="28"/>
          <w:szCs w:val="28"/>
          <w:highlight w:val="none"/>
          <w:lang w:val="en-US" w:eastAsia="zh-CN" w:bidi="ar-SA"/>
        </w:rPr>
        <w:t>。</w:t>
      </w:r>
    </w:p>
    <w:p>
      <w:pPr>
        <w:adjustRightInd w:val="0"/>
        <w:spacing w:line="600" w:lineRule="exact"/>
        <w:ind w:firstLine="560" w:firstLineChars="200"/>
        <w:rPr>
          <w:rFonts w:hint="eastAsia" w:ascii="Times New Roman" w:hAnsi="Times New Roman" w:eastAsia="方正仿宋_GBK" w:cs="Times New Roman"/>
          <w:color w:val="000000"/>
          <w:kern w:val="0"/>
          <w:sz w:val="28"/>
          <w:szCs w:val="28"/>
          <w:highlight w:val="none"/>
          <w:lang w:val="en-US" w:eastAsia="zh-CN"/>
        </w:rPr>
      </w:pPr>
      <w:r>
        <w:rPr>
          <w:rFonts w:hint="default" w:ascii="Times New Roman" w:hAnsi="Times New Roman" w:eastAsia="方正仿宋_GBK" w:cs="Times New Roman"/>
          <w:color w:val="000000"/>
          <w:kern w:val="0"/>
          <w:sz w:val="28"/>
          <w:szCs w:val="28"/>
          <w:highlight w:val="none"/>
        </w:rPr>
        <w:t>（四）</w:t>
      </w:r>
      <w:r>
        <w:rPr>
          <w:rFonts w:hint="eastAsia" w:ascii="Times New Roman" w:hAnsi="Times New Roman" w:eastAsia="方正仿宋_GBK" w:cs="Times New Roman"/>
          <w:color w:val="000000"/>
          <w:kern w:val="0"/>
          <w:sz w:val="28"/>
          <w:szCs w:val="28"/>
          <w:highlight w:val="none"/>
          <w:lang w:val="en-US" w:eastAsia="zh-CN"/>
        </w:rPr>
        <w:t>账户信息</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Times New Roman"/>
          <w:color w:val="000000"/>
          <w:sz w:val="28"/>
          <w:szCs w:val="28"/>
          <w:highlight w:val="none"/>
          <w:lang w:val="en-US" w:eastAsia="zh-CN"/>
        </w:rPr>
      </w:pPr>
      <w:r>
        <w:rPr>
          <w:rFonts w:hint="eastAsia" w:ascii="Times New Roman" w:hAnsi="Times New Roman" w:eastAsia="方正仿宋_GBK" w:cs="Times New Roman"/>
          <w:color w:val="000000"/>
          <w:sz w:val="28"/>
          <w:szCs w:val="28"/>
          <w:highlight w:val="none"/>
          <w:lang w:val="en-US" w:eastAsia="zh-CN"/>
        </w:rPr>
        <w:t>1.</w:t>
      </w:r>
      <w:r>
        <w:rPr>
          <w:rFonts w:hint="default" w:ascii="Times New Roman" w:hAnsi="Times New Roman" w:eastAsia="方正仿宋_GBK" w:cs="Times New Roman"/>
          <w:color w:val="000000"/>
          <w:sz w:val="28"/>
          <w:szCs w:val="28"/>
          <w:highlight w:val="none"/>
          <w:lang w:val="en-US" w:eastAsia="zh-CN"/>
        </w:rPr>
        <w:t>甲方开票信息及账户：</w:t>
      </w:r>
    </w:p>
    <w:p>
      <w:pPr>
        <w:keepNext w:val="0"/>
        <w:keepLines w:val="0"/>
        <w:pageBreakBefore w:val="0"/>
        <w:widowControl w:val="0"/>
        <w:kinsoku/>
        <w:wordWrap/>
        <w:overflowPunct/>
        <w:topLinePunct w:val="0"/>
        <w:autoSpaceDE/>
        <w:autoSpaceDN/>
        <w:bidi w:val="0"/>
        <w:adjustRightInd/>
        <w:snapToGrid/>
        <w:spacing w:line="600" w:lineRule="exact"/>
        <w:ind w:firstLine="840" w:firstLineChars="300"/>
        <w:textAlignment w:val="auto"/>
        <w:rPr>
          <w:rFonts w:hint="eastAsia" w:ascii="Times New Roman" w:hAnsi="Times New Roman" w:eastAsia="方正仿宋_GBK" w:cs="Times New Roman"/>
          <w:color w:val="000000"/>
          <w:sz w:val="28"/>
          <w:szCs w:val="28"/>
          <w:highlight w:val="none"/>
          <w:lang w:eastAsia="zh-CN"/>
        </w:rPr>
      </w:pPr>
      <w:r>
        <w:rPr>
          <w:rFonts w:hint="default" w:ascii="Times New Roman" w:hAnsi="Times New Roman" w:eastAsia="方正仿宋_GBK" w:cs="Times New Roman"/>
          <w:color w:val="000000"/>
          <w:sz w:val="28"/>
          <w:szCs w:val="28"/>
          <w:highlight w:val="none"/>
        </w:rPr>
        <w:t>公司名称：</w:t>
      </w:r>
      <w:r>
        <w:rPr>
          <w:rFonts w:hint="eastAsia" w:ascii="Times New Roman" w:hAnsi="Times New Roman" w:eastAsia="方正仿宋_GBK" w:cs="Times New Roman"/>
          <w:color w:val="000000"/>
          <w:sz w:val="28"/>
          <w:szCs w:val="28"/>
          <w:highlight w:val="none"/>
          <w:u w:val="single"/>
          <w:lang w:eastAsia="zh-CN"/>
        </w:rPr>
        <w:t>重庆通邑卫士智慧生活服务有限公司</w:t>
      </w:r>
    </w:p>
    <w:p>
      <w:pPr>
        <w:keepNext w:val="0"/>
        <w:keepLines w:val="0"/>
        <w:pageBreakBefore w:val="0"/>
        <w:widowControl w:val="0"/>
        <w:kinsoku/>
        <w:wordWrap/>
        <w:overflowPunct/>
        <w:topLinePunct w:val="0"/>
        <w:autoSpaceDE/>
        <w:autoSpaceDN/>
        <w:bidi w:val="0"/>
        <w:adjustRightInd/>
        <w:snapToGrid/>
        <w:spacing w:line="600" w:lineRule="exact"/>
        <w:ind w:firstLine="840" w:firstLineChars="300"/>
        <w:textAlignment w:val="auto"/>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社会信用代码：</w:t>
      </w:r>
      <w:r>
        <w:rPr>
          <w:rFonts w:hint="default" w:ascii="Times New Roman" w:hAnsi="Times New Roman" w:eastAsia="方正仿宋_GBK" w:cs="Times New Roman"/>
          <w:color w:val="000000"/>
          <w:sz w:val="28"/>
          <w:szCs w:val="28"/>
          <w:highlight w:val="none"/>
          <w:u w:val="single"/>
        </w:rPr>
        <w:t>91500108MAABR5292U</w:t>
      </w:r>
    </w:p>
    <w:p>
      <w:pPr>
        <w:keepNext w:val="0"/>
        <w:keepLines w:val="0"/>
        <w:pageBreakBefore w:val="0"/>
        <w:widowControl w:val="0"/>
        <w:kinsoku/>
        <w:wordWrap/>
        <w:overflowPunct/>
        <w:topLinePunct w:val="0"/>
        <w:autoSpaceDE/>
        <w:autoSpaceDN/>
        <w:bidi w:val="0"/>
        <w:adjustRightInd/>
        <w:snapToGrid/>
        <w:spacing w:line="600" w:lineRule="exact"/>
        <w:ind w:firstLine="840" w:firstLineChars="300"/>
        <w:textAlignment w:val="auto"/>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银行账号：</w:t>
      </w:r>
      <w:r>
        <w:rPr>
          <w:rFonts w:hint="default" w:ascii="Times New Roman" w:hAnsi="Times New Roman" w:eastAsia="方正仿宋_GBK" w:cs="Times New Roman"/>
          <w:color w:val="000000"/>
          <w:sz w:val="28"/>
          <w:szCs w:val="28"/>
          <w:highlight w:val="none"/>
          <w:u w:val="single"/>
        </w:rPr>
        <w:t>648680030</w:t>
      </w:r>
    </w:p>
    <w:p>
      <w:pPr>
        <w:keepNext w:val="0"/>
        <w:keepLines w:val="0"/>
        <w:pageBreakBefore w:val="0"/>
        <w:widowControl w:val="0"/>
        <w:kinsoku/>
        <w:wordWrap/>
        <w:overflowPunct/>
        <w:topLinePunct w:val="0"/>
        <w:autoSpaceDE/>
        <w:autoSpaceDN/>
        <w:bidi w:val="0"/>
        <w:adjustRightInd/>
        <w:snapToGrid/>
        <w:spacing w:line="600" w:lineRule="exact"/>
        <w:ind w:firstLine="840" w:firstLineChars="300"/>
        <w:textAlignment w:val="auto"/>
        <w:rPr>
          <w:rFonts w:hint="default" w:ascii="Times New Roman" w:hAnsi="Times New Roman" w:eastAsia="方正仿宋_GBK" w:cs="Times New Roman"/>
          <w:color w:val="000000"/>
          <w:sz w:val="28"/>
          <w:szCs w:val="28"/>
          <w:highlight w:val="none"/>
          <w:u w:val="single"/>
        </w:rPr>
      </w:pPr>
      <w:r>
        <w:rPr>
          <w:rFonts w:hint="default" w:ascii="Times New Roman" w:hAnsi="Times New Roman" w:eastAsia="方正仿宋_GBK" w:cs="Times New Roman"/>
          <w:color w:val="000000"/>
          <w:sz w:val="28"/>
          <w:szCs w:val="28"/>
          <w:highlight w:val="none"/>
        </w:rPr>
        <w:t>开户银行：</w:t>
      </w:r>
      <w:r>
        <w:rPr>
          <w:rFonts w:hint="default" w:ascii="Times New Roman" w:hAnsi="Times New Roman" w:eastAsia="方正仿宋_GBK" w:cs="Times New Roman"/>
          <w:color w:val="000000"/>
          <w:sz w:val="28"/>
          <w:szCs w:val="28"/>
          <w:highlight w:val="none"/>
          <w:u w:val="single"/>
        </w:rPr>
        <w:t>民生银行南坪支行</w:t>
      </w:r>
    </w:p>
    <w:p>
      <w:pPr>
        <w:keepNext w:val="0"/>
        <w:keepLines w:val="0"/>
        <w:pageBreakBefore w:val="0"/>
        <w:widowControl w:val="0"/>
        <w:kinsoku/>
        <w:wordWrap/>
        <w:overflowPunct/>
        <w:topLinePunct w:val="0"/>
        <w:autoSpaceDE/>
        <w:autoSpaceDN/>
        <w:bidi w:val="0"/>
        <w:adjustRightInd/>
        <w:snapToGrid/>
        <w:spacing w:line="600" w:lineRule="exact"/>
        <w:ind w:firstLine="840" w:firstLineChars="300"/>
        <w:textAlignment w:val="auto"/>
        <w:rPr>
          <w:rFonts w:hint="default" w:ascii="Times New Roman" w:hAnsi="Times New Roman" w:eastAsia="方正仿宋_GBK" w:cs="Times New Roman"/>
          <w:color w:val="000000"/>
          <w:sz w:val="28"/>
          <w:szCs w:val="28"/>
          <w:highlight w:val="none"/>
          <w:u w:val="single"/>
        </w:rPr>
      </w:pPr>
      <w:r>
        <w:rPr>
          <w:rFonts w:hint="default" w:ascii="Times New Roman" w:hAnsi="Times New Roman" w:eastAsia="方正仿宋_GBK" w:cs="Times New Roman"/>
          <w:color w:val="000000"/>
          <w:sz w:val="28"/>
          <w:szCs w:val="28"/>
          <w:highlight w:val="none"/>
        </w:rPr>
        <w:t>公司地址及电话：</w:t>
      </w:r>
      <w:r>
        <w:rPr>
          <w:rFonts w:hint="default" w:ascii="Times New Roman" w:hAnsi="Times New Roman" w:eastAsia="方正仿宋_GBK" w:cs="Times New Roman"/>
          <w:color w:val="000000"/>
          <w:sz w:val="28"/>
          <w:szCs w:val="28"/>
          <w:highlight w:val="none"/>
          <w:u w:val="single"/>
        </w:rPr>
        <w:t>重庆市南岸区腾龙大道58号，023-61751773</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方正仿宋_GBK" w:cs="Times New Roman"/>
          <w:color w:val="000000"/>
          <w:sz w:val="28"/>
          <w:szCs w:val="28"/>
          <w:highlight w:val="none"/>
          <w:lang w:val="en-US" w:eastAsia="zh-CN"/>
        </w:rPr>
      </w:pPr>
      <w:r>
        <w:rPr>
          <w:rFonts w:hint="eastAsia" w:ascii="Times New Roman" w:hAnsi="Times New Roman" w:eastAsia="方正仿宋_GBK" w:cs="Times New Roman"/>
          <w:color w:val="000000"/>
          <w:sz w:val="28"/>
          <w:szCs w:val="28"/>
          <w:highlight w:val="none"/>
          <w:lang w:val="en-US" w:eastAsia="zh-CN"/>
        </w:rPr>
        <w:t>2.</w:t>
      </w:r>
      <w:r>
        <w:rPr>
          <w:rFonts w:hint="default" w:ascii="Times New Roman" w:hAnsi="Times New Roman" w:eastAsia="方正仿宋_GBK" w:cs="Times New Roman"/>
          <w:color w:val="000000"/>
          <w:sz w:val="28"/>
          <w:szCs w:val="28"/>
          <w:highlight w:val="none"/>
          <w:lang w:val="en-US" w:eastAsia="zh-CN"/>
        </w:rPr>
        <w:t>乙方指定收款账户：</w:t>
      </w:r>
    </w:p>
    <w:p>
      <w:pPr>
        <w:pageBreakBefore w:val="0"/>
        <w:kinsoku/>
        <w:wordWrap/>
        <w:overflowPunct/>
        <w:topLinePunct w:val="0"/>
        <w:autoSpaceDE/>
        <w:autoSpaceDN/>
        <w:bidi w:val="0"/>
        <w:adjustRightInd/>
        <w:snapToGrid/>
        <w:spacing w:line="600" w:lineRule="exact"/>
        <w:ind w:firstLine="840" w:firstLineChars="3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公司名称：</w:t>
      </w:r>
      <w:r>
        <w:rPr>
          <w:rFonts w:hint="default" w:ascii="Times New Roman" w:hAnsi="Times New Roman" w:eastAsia="方正仿宋_GBK" w:cs="Times New Roman"/>
          <w:color w:val="000000"/>
          <w:sz w:val="28"/>
          <w:szCs w:val="28"/>
          <w:highlight w:val="none"/>
          <w:u w:val="single"/>
        </w:rPr>
        <w:t xml:space="preserve">                           </w:t>
      </w:r>
    </w:p>
    <w:p>
      <w:pPr>
        <w:pageBreakBefore w:val="0"/>
        <w:kinsoku/>
        <w:wordWrap/>
        <w:overflowPunct/>
        <w:topLinePunct w:val="0"/>
        <w:autoSpaceDE/>
        <w:autoSpaceDN/>
        <w:bidi w:val="0"/>
        <w:adjustRightInd/>
        <w:snapToGrid/>
        <w:spacing w:line="600" w:lineRule="exact"/>
        <w:ind w:firstLine="840" w:firstLineChars="300"/>
        <w:rPr>
          <w:rFonts w:hint="default" w:ascii="Times New Roman" w:hAnsi="Times New Roman" w:cs="Times New Roman"/>
          <w:color w:val="000000"/>
          <w:highlight w:val="none"/>
        </w:rPr>
      </w:pPr>
      <w:r>
        <w:rPr>
          <w:rFonts w:hint="default" w:ascii="Times New Roman" w:hAnsi="Times New Roman" w:eastAsia="方正仿宋_GBK" w:cs="Times New Roman"/>
          <w:color w:val="000000"/>
          <w:sz w:val="28"/>
          <w:szCs w:val="28"/>
          <w:highlight w:val="none"/>
        </w:rPr>
        <w:t>社会信用代码：</w:t>
      </w:r>
      <w:r>
        <w:rPr>
          <w:rFonts w:hint="default" w:ascii="Times New Roman" w:hAnsi="Times New Roman" w:eastAsia="方正仿宋_GBK" w:cs="Times New Roman"/>
          <w:color w:val="000000"/>
          <w:sz w:val="28"/>
          <w:szCs w:val="28"/>
          <w:highlight w:val="none"/>
          <w:u w:val="single"/>
        </w:rPr>
        <w:t xml:space="preserve">                       </w:t>
      </w:r>
    </w:p>
    <w:p>
      <w:pPr>
        <w:pageBreakBefore w:val="0"/>
        <w:kinsoku/>
        <w:wordWrap/>
        <w:overflowPunct/>
        <w:topLinePunct w:val="0"/>
        <w:autoSpaceDE/>
        <w:autoSpaceDN/>
        <w:bidi w:val="0"/>
        <w:adjustRightInd/>
        <w:snapToGrid/>
        <w:spacing w:line="600" w:lineRule="exact"/>
        <w:ind w:firstLine="840" w:firstLineChars="3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银行账号：</w:t>
      </w:r>
      <w:r>
        <w:rPr>
          <w:rFonts w:hint="default" w:ascii="Times New Roman" w:hAnsi="Times New Roman" w:eastAsia="方正仿宋_GBK" w:cs="Times New Roman"/>
          <w:color w:val="000000"/>
          <w:sz w:val="28"/>
          <w:szCs w:val="28"/>
          <w:highlight w:val="none"/>
          <w:u w:val="single"/>
        </w:rPr>
        <w:t xml:space="preserve">                           </w:t>
      </w:r>
    </w:p>
    <w:p>
      <w:pPr>
        <w:pageBreakBefore w:val="0"/>
        <w:kinsoku/>
        <w:wordWrap/>
        <w:overflowPunct/>
        <w:topLinePunct w:val="0"/>
        <w:autoSpaceDE/>
        <w:autoSpaceDN/>
        <w:bidi w:val="0"/>
        <w:adjustRightInd/>
        <w:snapToGrid/>
        <w:spacing w:line="600" w:lineRule="exact"/>
        <w:ind w:firstLine="840" w:firstLineChars="300"/>
        <w:rPr>
          <w:rFonts w:hint="default" w:ascii="Times New Roman" w:hAnsi="Times New Roman" w:eastAsia="方正仿宋_GBK" w:cs="Times New Roman"/>
          <w:color w:val="000000"/>
          <w:sz w:val="28"/>
          <w:szCs w:val="28"/>
          <w:highlight w:val="none"/>
          <w:u w:val="single"/>
        </w:rPr>
      </w:pPr>
      <w:r>
        <w:rPr>
          <w:rFonts w:hint="default" w:ascii="Times New Roman" w:hAnsi="Times New Roman" w:eastAsia="方正仿宋_GBK" w:cs="Times New Roman"/>
          <w:color w:val="000000"/>
          <w:sz w:val="28"/>
          <w:szCs w:val="28"/>
          <w:highlight w:val="none"/>
        </w:rPr>
        <w:t>开户银行：</w:t>
      </w:r>
      <w:r>
        <w:rPr>
          <w:rFonts w:hint="default" w:ascii="Times New Roman" w:hAnsi="Times New Roman" w:eastAsia="方正仿宋_GBK" w:cs="Times New Roman"/>
          <w:color w:val="000000"/>
          <w:sz w:val="28"/>
          <w:szCs w:val="28"/>
          <w:highlight w:val="none"/>
          <w:u w:val="single"/>
        </w:rPr>
        <w:t xml:space="preserve">                           </w:t>
      </w:r>
    </w:p>
    <w:p>
      <w:pPr>
        <w:pageBreakBefore w:val="0"/>
        <w:kinsoku/>
        <w:wordWrap/>
        <w:overflowPunct/>
        <w:topLinePunct w:val="0"/>
        <w:autoSpaceDE/>
        <w:autoSpaceDN/>
        <w:bidi w:val="0"/>
        <w:adjustRightInd/>
        <w:snapToGrid/>
        <w:spacing w:line="600" w:lineRule="exact"/>
        <w:ind w:firstLine="840" w:firstLineChars="3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公司地址及电话：</w:t>
      </w:r>
      <w:r>
        <w:rPr>
          <w:rFonts w:hint="default" w:ascii="Times New Roman" w:hAnsi="Times New Roman" w:eastAsia="方正仿宋_GBK" w:cs="Times New Roman"/>
          <w:color w:val="000000"/>
          <w:sz w:val="28"/>
          <w:szCs w:val="28"/>
          <w:highlight w:val="none"/>
          <w:u w:val="single"/>
        </w:rPr>
        <w:t xml:space="preserve">                     </w:t>
      </w:r>
    </w:p>
    <w:p>
      <w:pPr>
        <w:adjustRightInd w:val="0"/>
        <w:spacing w:line="600" w:lineRule="exact"/>
        <w:ind w:firstLine="560" w:firstLineChars="200"/>
        <w:rPr>
          <w:rFonts w:hint="default" w:ascii="Times New Roman" w:hAnsi="Times New Roman" w:eastAsia="方正仿宋_GBK" w:cs="Times New Roman"/>
          <w:bCs/>
          <w:color w:val="000000"/>
          <w:sz w:val="28"/>
          <w:szCs w:val="28"/>
          <w:highlight w:val="none"/>
        </w:rPr>
      </w:pPr>
      <w:r>
        <w:rPr>
          <w:rFonts w:hint="default" w:ascii="Times New Roman" w:hAnsi="Times New Roman" w:eastAsia="方正仿宋_GBK" w:cs="Times New Roman"/>
          <w:color w:val="000000"/>
          <w:sz w:val="28"/>
          <w:szCs w:val="28"/>
          <w:highlight w:val="none"/>
          <w:lang w:val="en-US" w:eastAsia="zh-CN"/>
        </w:rPr>
        <w:t>乙方应确保其收款账户信息正确无误，如导致甲方无法转账或转账错误的，甲方不承担逾期付款等责任，给甲方造成损失的，乙方应当赔偿甲方损失。如乙方的账户资料发生变更，须提前5个工作日以加盖公章的书面文件形式通知甲方，否则一切后果由乙方承担。</w:t>
      </w:r>
    </w:p>
    <w:p>
      <w:pPr>
        <w:adjustRightInd w:val="0"/>
        <w:spacing w:line="600" w:lineRule="exact"/>
        <w:ind w:firstLine="560" w:firstLineChars="200"/>
        <w:rPr>
          <w:rFonts w:hint="default" w:ascii="Times New Roman" w:hAnsi="Times New Roman" w:eastAsia="方正仿宋_GBK" w:cs="Times New Roman"/>
          <w:bCs/>
          <w:color w:val="000000"/>
          <w:sz w:val="28"/>
          <w:szCs w:val="28"/>
          <w:highlight w:val="none"/>
        </w:rPr>
      </w:pPr>
      <w:r>
        <w:rPr>
          <w:rFonts w:hint="default" w:ascii="Times New Roman" w:hAnsi="Times New Roman" w:eastAsia="方正仿宋_GBK" w:cs="Times New Roman"/>
          <w:bCs/>
          <w:color w:val="000000"/>
          <w:sz w:val="28"/>
          <w:szCs w:val="28"/>
          <w:highlight w:val="none"/>
        </w:rPr>
        <w:t>（五）付款要求</w:t>
      </w:r>
    </w:p>
    <w:p>
      <w:pPr>
        <w:adjustRightInd w:val="0"/>
        <w:spacing w:line="600" w:lineRule="exact"/>
        <w:ind w:firstLine="560" w:firstLineChars="200"/>
        <w:jc w:val="left"/>
        <w:rPr>
          <w:rFonts w:hint="default" w:ascii="Times New Roman" w:hAnsi="Times New Roman" w:eastAsia="方正仿宋_GBK" w:cs="Times New Roman"/>
          <w:bCs/>
          <w:color w:val="000000"/>
          <w:kern w:val="0"/>
          <w:sz w:val="28"/>
          <w:szCs w:val="28"/>
          <w:highlight w:val="none"/>
        </w:rPr>
      </w:pPr>
      <w:r>
        <w:rPr>
          <w:rFonts w:hint="default" w:ascii="Times New Roman" w:hAnsi="Times New Roman" w:eastAsia="方正仿宋_GBK" w:cs="Times New Roman"/>
          <w:bCs/>
          <w:color w:val="000000"/>
          <w:kern w:val="0"/>
          <w:sz w:val="28"/>
          <w:szCs w:val="28"/>
          <w:highlight w:val="none"/>
        </w:rPr>
        <w:t>乙方同意：在支付各期维修费用前，甲方有权先行抵扣乙方于相应各期内应承担的违约金、赔偿金</w:t>
      </w:r>
      <w:r>
        <w:rPr>
          <w:rFonts w:hint="eastAsia" w:ascii="Times New Roman" w:hAnsi="Times New Roman" w:eastAsia="方正仿宋_GBK" w:cs="Times New Roman"/>
          <w:bCs/>
          <w:color w:val="000000"/>
          <w:kern w:val="0"/>
          <w:sz w:val="28"/>
          <w:szCs w:val="28"/>
          <w:highlight w:val="none"/>
          <w:lang w:eastAsia="zh-CN"/>
        </w:rPr>
        <w:t>及其他</w:t>
      </w:r>
      <w:r>
        <w:rPr>
          <w:rFonts w:hint="default" w:ascii="Times New Roman" w:hAnsi="Times New Roman" w:eastAsia="方正仿宋_GBK" w:cs="Times New Roman"/>
          <w:bCs/>
          <w:color w:val="000000"/>
          <w:kern w:val="0"/>
          <w:sz w:val="28"/>
          <w:szCs w:val="28"/>
          <w:highlight w:val="none"/>
        </w:rPr>
        <w:t>费用，然后才支付抵扣后的余额</w:t>
      </w:r>
      <w:r>
        <w:rPr>
          <w:rFonts w:hint="eastAsia" w:ascii="Times New Roman" w:hAnsi="Times New Roman" w:eastAsia="方正仿宋_GBK" w:cs="Times New Roman"/>
          <w:bCs/>
          <w:color w:val="000000"/>
          <w:kern w:val="0"/>
          <w:sz w:val="28"/>
          <w:szCs w:val="28"/>
          <w:highlight w:val="none"/>
          <w:lang w:eastAsia="zh-CN"/>
        </w:rPr>
        <w:t>，</w:t>
      </w:r>
      <w:r>
        <w:rPr>
          <w:rFonts w:hint="default" w:ascii="Times New Roman" w:hAnsi="Times New Roman" w:eastAsia="方正仿宋_GBK" w:cs="Times New Roman"/>
          <w:bCs/>
          <w:color w:val="000000"/>
          <w:kern w:val="0"/>
          <w:sz w:val="28"/>
          <w:szCs w:val="28"/>
          <w:highlight w:val="none"/>
        </w:rPr>
        <w:t>乙方按照抵扣后的金额开具发票。乙方提供的维保报告需经甲方确认，未经甲方确认的，甲方有权暂不支付该季度款项。</w:t>
      </w:r>
    </w:p>
    <w:p>
      <w:pPr>
        <w:bidi/>
        <w:adjustRightInd w:val="0"/>
        <w:spacing w:line="600" w:lineRule="exact"/>
        <w:ind w:left="0" w:right="0"/>
        <w:jc w:val="center"/>
        <w:rPr>
          <w:rFonts w:hint="default" w:ascii="Times New Roman" w:hAnsi="Times New Roman" w:eastAsia="方正仿宋_GBK" w:cs="Times New Roman"/>
          <w:b/>
          <w:color w:val="000000"/>
          <w:kern w:val="0"/>
          <w:sz w:val="28"/>
          <w:szCs w:val="28"/>
          <w:highlight w:val="none"/>
        </w:rPr>
      </w:pPr>
      <w:r>
        <w:rPr>
          <w:rFonts w:hint="default" w:ascii="Times New Roman" w:hAnsi="Times New Roman" w:eastAsia="方正仿宋_GBK" w:cs="Times New Roman"/>
          <w:b/>
          <w:color w:val="000000"/>
          <w:kern w:val="0"/>
          <w:sz w:val="28"/>
          <w:szCs w:val="28"/>
          <w:highlight w:val="none"/>
        </w:rPr>
        <w:t>第三条  甲方责任与义务</w:t>
      </w:r>
    </w:p>
    <w:p>
      <w:pPr>
        <w:adjustRightInd w:val="0"/>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kern w:val="0"/>
          <w:sz w:val="28"/>
          <w:szCs w:val="28"/>
          <w:highlight w:val="none"/>
        </w:rPr>
        <w:t>（一）甲方责任</w:t>
      </w:r>
    </w:p>
    <w:p>
      <w:pPr>
        <w:adjustRightInd w:val="0"/>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kern w:val="0"/>
          <w:sz w:val="28"/>
          <w:szCs w:val="28"/>
          <w:highlight w:val="none"/>
        </w:rPr>
        <w:t>1.免费向乙方提供维修保养所需的水、电供应，并协助办理乙方人员进入本维保现场的有关手续。</w:t>
      </w:r>
    </w:p>
    <w:p>
      <w:pPr>
        <w:adjustRightInd w:val="0"/>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2.甲方提供现有货梯供乙方使用。</w:t>
      </w:r>
    </w:p>
    <w:p>
      <w:pPr>
        <w:adjustRightInd w:val="0"/>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kern w:val="0"/>
          <w:sz w:val="28"/>
          <w:szCs w:val="28"/>
          <w:highlight w:val="none"/>
        </w:rPr>
        <w:t>3.接到乙方检修测试报告后，通知各相关方维修保养的工作时间，避免造成不必要的恐慌。</w:t>
      </w:r>
    </w:p>
    <w:p>
      <w:pPr>
        <w:adjustRightInd w:val="0"/>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kern w:val="0"/>
          <w:sz w:val="28"/>
          <w:szCs w:val="28"/>
          <w:highlight w:val="none"/>
        </w:rPr>
        <w:t>4.保证乙方人员能顺利进入为有效执行服务而需要进入的全部地点和现场，但乙方人员应服从甲方的监督和管理，乙方人员因自身原因造成的人身伤害、财产损失由乙方自行负责。</w:t>
      </w:r>
    </w:p>
    <w:p>
      <w:pPr>
        <w:adjustRightInd w:val="0"/>
        <w:spacing w:line="600" w:lineRule="exact"/>
        <w:ind w:firstLine="560" w:firstLineChars="200"/>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5.协助及配合乙方的月检/维保、季检/维保及年检/维保等工作。</w:t>
      </w:r>
    </w:p>
    <w:p>
      <w:pPr>
        <w:adjustRightInd w:val="0"/>
        <w:spacing w:line="600" w:lineRule="exact"/>
        <w:ind w:firstLine="560" w:firstLineChars="200"/>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6.检查乙方的维保质量、进度、安全是否符合有关的文明施工规定和维保的质量要求。</w:t>
      </w:r>
    </w:p>
    <w:p>
      <w:pPr>
        <w:adjustRightInd w:val="0"/>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kern w:val="0"/>
          <w:sz w:val="28"/>
          <w:szCs w:val="28"/>
          <w:highlight w:val="none"/>
        </w:rPr>
        <w:t>7.甲方依法依约配合提供供配电设备设施相关资料（如操作说明），</w:t>
      </w:r>
      <w:r>
        <w:rPr>
          <w:rFonts w:hint="eastAsia" w:ascii="Times New Roman" w:hAnsi="Times New Roman" w:eastAsia="方正仿宋_GBK" w:cs="Times New Roman"/>
          <w:color w:val="000000"/>
          <w:kern w:val="0"/>
          <w:sz w:val="28"/>
          <w:szCs w:val="28"/>
          <w:highlight w:val="none"/>
          <w:lang w:eastAsia="zh-CN"/>
        </w:rPr>
        <w:t>其他</w:t>
      </w:r>
      <w:r>
        <w:rPr>
          <w:rFonts w:hint="default" w:ascii="Times New Roman" w:hAnsi="Times New Roman" w:eastAsia="方正仿宋_GBK" w:cs="Times New Roman"/>
          <w:color w:val="000000"/>
          <w:kern w:val="0"/>
          <w:sz w:val="28"/>
          <w:szCs w:val="28"/>
          <w:highlight w:val="none"/>
        </w:rPr>
        <w:t>工程资料及相关图纸由乙方自行负责。</w:t>
      </w:r>
    </w:p>
    <w:p>
      <w:pPr>
        <w:adjustRightInd w:val="0"/>
        <w:spacing w:line="600" w:lineRule="exact"/>
        <w:jc w:val="center"/>
        <w:rPr>
          <w:rFonts w:hint="default" w:ascii="Times New Roman" w:hAnsi="Times New Roman" w:eastAsia="方正仿宋_GBK" w:cs="Times New Roman"/>
          <w:b/>
          <w:color w:val="000000"/>
          <w:kern w:val="0"/>
          <w:sz w:val="28"/>
          <w:szCs w:val="28"/>
          <w:highlight w:val="none"/>
        </w:rPr>
      </w:pPr>
      <w:r>
        <w:rPr>
          <w:rFonts w:hint="default" w:ascii="Times New Roman" w:hAnsi="Times New Roman" w:eastAsia="方正仿宋_GBK" w:cs="Times New Roman"/>
          <w:b/>
          <w:color w:val="000000"/>
          <w:kern w:val="0"/>
          <w:sz w:val="28"/>
          <w:szCs w:val="28"/>
          <w:highlight w:val="none"/>
        </w:rPr>
        <w:t>第四条  乙方责任与义务</w:t>
      </w:r>
    </w:p>
    <w:p>
      <w:pPr>
        <w:adjustRightInd w:val="0"/>
        <w:spacing w:line="600" w:lineRule="exact"/>
        <w:ind w:firstLine="560" w:firstLineChars="200"/>
        <w:rPr>
          <w:rFonts w:hint="default" w:ascii="Times New Roman" w:hAnsi="Times New Roman" w:eastAsia="方正仿宋_GBK" w:cs="Times New Roman"/>
          <w:bCs/>
          <w:color w:val="000000"/>
          <w:sz w:val="28"/>
          <w:szCs w:val="28"/>
          <w:highlight w:val="none"/>
        </w:rPr>
      </w:pPr>
      <w:r>
        <w:rPr>
          <w:rFonts w:hint="default" w:ascii="Times New Roman" w:hAnsi="Times New Roman" w:eastAsia="方正仿宋_GBK" w:cs="Times New Roman"/>
          <w:bCs/>
          <w:color w:val="000000"/>
          <w:kern w:val="0"/>
          <w:sz w:val="28"/>
          <w:szCs w:val="28"/>
          <w:highlight w:val="none"/>
        </w:rPr>
        <w:t>（一）乙方项目负责人</w:t>
      </w:r>
    </w:p>
    <w:p>
      <w:pPr>
        <w:adjustRightInd w:val="0"/>
        <w:spacing w:line="600" w:lineRule="exact"/>
        <w:ind w:firstLine="560" w:firstLineChars="200"/>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1.乙方任命的项目负责人须具备5年及以上同岗位工作经历，持相应执业资格证书，具有工程类中级及以上职称，若</w:t>
      </w:r>
      <w:r>
        <w:rPr>
          <w:rFonts w:hint="default" w:ascii="Times New Roman" w:hAnsi="Times New Roman" w:eastAsia="方正仿宋_GBK" w:cs="Times New Roman"/>
          <w:bCs/>
          <w:color w:val="000000"/>
          <w:kern w:val="0"/>
          <w:sz w:val="28"/>
          <w:szCs w:val="28"/>
          <w:highlight w:val="none"/>
        </w:rPr>
        <w:t>乙方需更换项目负责人</w:t>
      </w:r>
      <w:r>
        <w:rPr>
          <w:rFonts w:hint="default" w:ascii="Times New Roman" w:hAnsi="Times New Roman" w:eastAsia="方正仿宋_GBK" w:cs="Times New Roman"/>
          <w:color w:val="000000"/>
          <w:kern w:val="0"/>
          <w:sz w:val="28"/>
          <w:szCs w:val="28"/>
          <w:highlight w:val="none"/>
        </w:rPr>
        <w:t>，须书面征得甲方同意，否则视为乙方违约。</w:t>
      </w:r>
    </w:p>
    <w:p>
      <w:pPr>
        <w:adjustRightInd w:val="0"/>
        <w:spacing w:line="600" w:lineRule="exact"/>
        <w:ind w:firstLine="560" w:firstLineChars="200"/>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2.乙方任命的项目负责人负责维修保养及值班工作的落实和管理，并对甲方在维修保养过程中提出的问题进行及时</w:t>
      </w:r>
      <w:r>
        <w:rPr>
          <w:rFonts w:hint="eastAsia" w:ascii="Times New Roman" w:hAnsi="Times New Roman" w:eastAsia="方正仿宋_GBK" w:cs="Times New Roman"/>
          <w:color w:val="000000"/>
          <w:kern w:val="0"/>
          <w:sz w:val="28"/>
          <w:szCs w:val="28"/>
          <w:highlight w:val="none"/>
          <w:lang w:eastAsia="zh-CN"/>
        </w:rPr>
        <w:t>地</w:t>
      </w:r>
      <w:r>
        <w:rPr>
          <w:rFonts w:hint="default" w:ascii="Times New Roman" w:hAnsi="Times New Roman" w:eastAsia="方正仿宋_GBK" w:cs="Times New Roman"/>
          <w:color w:val="000000"/>
          <w:kern w:val="0"/>
          <w:sz w:val="28"/>
          <w:szCs w:val="28"/>
          <w:highlight w:val="none"/>
        </w:rPr>
        <w:t>回复和处理。</w:t>
      </w:r>
    </w:p>
    <w:p>
      <w:pPr>
        <w:adjustRightInd w:val="0"/>
        <w:spacing w:line="600" w:lineRule="exact"/>
        <w:ind w:firstLine="560" w:firstLineChars="200"/>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3.乙方委派</w:t>
      </w:r>
      <w:r>
        <w:rPr>
          <w:rFonts w:hint="default" w:ascii="Times New Roman" w:hAnsi="Times New Roman" w:eastAsia="方正仿宋_GBK" w:cs="Times New Roman"/>
          <w:color w:val="000000"/>
          <w:kern w:val="0"/>
          <w:sz w:val="28"/>
          <w:szCs w:val="28"/>
          <w:highlight w:val="none"/>
          <w:u w:val="single"/>
        </w:rPr>
        <w:t xml:space="preserve">      </w:t>
      </w:r>
      <w:r>
        <w:rPr>
          <w:rFonts w:hint="default" w:ascii="Times New Roman" w:hAnsi="Times New Roman" w:eastAsia="方正仿宋_GBK" w:cs="Times New Roman"/>
          <w:color w:val="000000"/>
          <w:kern w:val="0"/>
          <w:sz w:val="28"/>
          <w:szCs w:val="28"/>
          <w:highlight w:val="none"/>
        </w:rPr>
        <w:t xml:space="preserve"> 作为项目负责人，联系方式（手机：</w:t>
      </w:r>
      <w:r>
        <w:rPr>
          <w:rFonts w:hint="default" w:ascii="Times New Roman" w:hAnsi="Times New Roman" w:eastAsia="方正仿宋_GBK" w:cs="Times New Roman"/>
          <w:color w:val="000000"/>
          <w:kern w:val="0"/>
          <w:sz w:val="28"/>
          <w:szCs w:val="28"/>
          <w:highlight w:val="none"/>
          <w:u w:val="single"/>
        </w:rPr>
        <w:t xml:space="preserve">          </w:t>
      </w:r>
      <w:r>
        <w:rPr>
          <w:rFonts w:hint="default" w:ascii="Times New Roman" w:hAnsi="Times New Roman" w:eastAsia="方正仿宋_GBK" w:cs="Times New Roman"/>
          <w:color w:val="000000"/>
          <w:kern w:val="0"/>
          <w:sz w:val="28"/>
          <w:szCs w:val="28"/>
          <w:highlight w:val="none"/>
        </w:rPr>
        <w:t>）。</w:t>
      </w:r>
    </w:p>
    <w:p>
      <w:pPr>
        <w:adjustRightInd w:val="0"/>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kern w:val="0"/>
          <w:sz w:val="28"/>
          <w:szCs w:val="28"/>
          <w:highlight w:val="none"/>
        </w:rPr>
        <w:t>（二）乙方责任</w:t>
      </w:r>
    </w:p>
    <w:p>
      <w:pPr>
        <w:adjustRightInd w:val="0"/>
        <w:spacing w:line="600" w:lineRule="exact"/>
        <w:ind w:firstLine="560" w:firstLineChars="200"/>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1.依照国家法律法规及行业规范提供服务，包括但不限于按照合同约定、《电气设备预防性试验规程》（DL/T596-2019）、《电气设备交接试验标准》（GB50150-2016）</w:t>
      </w:r>
      <w:r>
        <w:rPr>
          <w:rFonts w:hint="default" w:ascii="Times New Roman" w:hAnsi="Times New Roman" w:eastAsia="方正仿宋_GBK" w:cs="Times New Roman"/>
          <w:color w:val="000000"/>
          <w:sz w:val="28"/>
          <w:szCs w:val="28"/>
          <w:highlight w:val="none"/>
        </w:rPr>
        <w:t>等</w:t>
      </w:r>
      <w:r>
        <w:rPr>
          <w:rFonts w:hint="default" w:ascii="Times New Roman" w:hAnsi="Times New Roman" w:eastAsia="方正仿宋_GBK" w:cs="Times New Roman"/>
          <w:color w:val="000000"/>
          <w:kern w:val="0"/>
          <w:sz w:val="28"/>
          <w:szCs w:val="28"/>
          <w:highlight w:val="none"/>
        </w:rPr>
        <w:t>标准进行维修保养和检测。</w:t>
      </w:r>
    </w:p>
    <w:p>
      <w:pPr>
        <w:adjustRightInd w:val="0"/>
        <w:spacing w:line="600" w:lineRule="exact"/>
        <w:ind w:firstLine="560" w:firstLineChars="200"/>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2.购买不低于100万元赔付额度的公众责任保险和一定赔付额度的雇主责任保险。乙方须按政府有关法规管理，与其维修保养人员签订劳动合同，购买有效、足额的劳动保险及第三者保险。乙方维修保养人员在履行本合同过程中发生的任何工伤、劳动纠纷、意外等事故或第三者索赔责任，概由乙方承担。乙方维修保养人员因维护自身劳动权益而提起劳动仲裁及诉讼时，由乙方承担全部责任，与甲方无关。</w:t>
      </w:r>
    </w:p>
    <w:p>
      <w:pPr>
        <w:adjustRightInd w:val="0"/>
        <w:spacing w:line="600" w:lineRule="exact"/>
        <w:ind w:firstLine="560" w:firstLineChars="200"/>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3.在合同签订生效后，乙方应遵守甲方现场管理规定，对现场各种供配电设备设施进行全面检查，并在15天内向甲方提交书面报告。</w:t>
      </w:r>
    </w:p>
    <w:p>
      <w:pPr>
        <w:adjustRightInd w:val="0"/>
        <w:spacing w:line="600" w:lineRule="exact"/>
        <w:ind w:firstLine="560" w:firstLineChars="200"/>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4.乙方至少派驻4名维保人员至项目，所有技术人员都必须取得国家认可的供配电维保从业资格证书，至少从事同类岗位工作两年。每月至少到场维修保养两次/巡视检查并有记录。乙方每年更换现场维保人员不得超过2人次，每次更换前须征得甲方书面同意，否则视为乙方违约。如遇特殊情况突发事件维修人数不够情况下，乙方应合理增加人数。</w:t>
      </w:r>
    </w:p>
    <w:p>
      <w:pPr>
        <w:adjustRightInd w:val="0"/>
        <w:spacing w:line="600" w:lineRule="exact"/>
        <w:ind w:firstLine="560" w:firstLineChars="200"/>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5.乙方根据相关法律法规及合同要求，对供配电设施设备及相应工具定期检查、维修和保养。在合同签订后十天内，向甲方提供《供配电设备设施年度维修保养计划》，在每月25日前提供下月《供配电设备设施月度维修保养计划》。</w:t>
      </w:r>
    </w:p>
    <w:p>
      <w:pPr>
        <w:adjustRightInd w:val="0"/>
        <w:spacing w:line="600" w:lineRule="exact"/>
        <w:ind w:firstLine="560" w:firstLineChars="200"/>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6.乙方每月按合同条款约定内容进行检查、维保，并出具书面维保报告和记录，次月5日前将检查记录、维保报告交由所在项目服务中心签字确认。经所在项目服务中心审核签字后的维保报告作为季度付款依据。乙方须每年向所在项目提交一份年度维保书面报告，若不能按要求出具书面报告，一次扣罚500元人民币。</w:t>
      </w:r>
    </w:p>
    <w:p>
      <w:pPr>
        <w:adjustRightInd w:val="0"/>
        <w:spacing w:line="600" w:lineRule="exact"/>
        <w:ind w:firstLine="560" w:firstLineChars="200"/>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7.接到甲方配电房故障通知后，乙方应迅速组织维护人员确保在最短时间内对配电设施故障进行排除、维保。原则上，一般故障应4小时内到场，8小时内修复；紧急情况1小时内到场，4小时内修复。在规定时间内不能修复的，必须提前以书面形式通知甲方，内容包括下一步如何处理的方案、计划修复完成的时间和在此时间内的安全措施。若无故不能准时达到，每次扣罚200元人民币。乙方若未能在规定的时间内赶到现场达到三次的将自动解除合同，</w:t>
      </w:r>
      <w:r>
        <w:rPr>
          <w:rFonts w:hint="eastAsia" w:ascii="Times New Roman" w:hAnsi="Times New Roman" w:eastAsia="方正仿宋_GBK" w:cs="Times New Roman"/>
          <w:color w:val="000000"/>
          <w:kern w:val="0"/>
          <w:sz w:val="28"/>
          <w:szCs w:val="28"/>
          <w:highlight w:val="none"/>
          <w:lang w:eastAsia="zh-CN"/>
        </w:rPr>
        <w:t>视同</w:t>
      </w:r>
      <w:r>
        <w:rPr>
          <w:rFonts w:hint="default" w:ascii="Times New Roman" w:hAnsi="Times New Roman" w:eastAsia="方正仿宋_GBK" w:cs="Times New Roman"/>
          <w:color w:val="000000"/>
          <w:kern w:val="0"/>
          <w:sz w:val="28"/>
          <w:szCs w:val="28"/>
          <w:highlight w:val="none"/>
        </w:rPr>
        <w:t>乙方违约并赔付甲方的损失。</w:t>
      </w:r>
    </w:p>
    <w:p>
      <w:pPr>
        <w:adjustRightInd w:val="0"/>
        <w:spacing w:line="600" w:lineRule="exact"/>
        <w:ind w:firstLine="560" w:firstLineChars="200"/>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8.乙方在维修保养过程中，若发现供配电设备设施存在不完善或安全隐患时，应按合同约定要求进行修复整改，如有改进措施应主动通知甲方，并配合甲方进行整改。</w:t>
      </w:r>
    </w:p>
    <w:p>
      <w:pPr>
        <w:adjustRightInd w:val="0"/>
        <w:spacing w:line="600" w:lineRule="exact"/>
        <w:ind w:firstLine="560" w:firstLineChars="200"/>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9.乙方巡检、维保的每一设备、设施均必须按单项进行具体记录。其效果达到本合同约定及相关法律法规的要求。</w:t>
      </w:r>
    </w:p>
    <w:p>
      <w:pPr>
        <w:adjustRightInd w:val="0"/>
        <w:spacing w:line="600" w:lineRule="exact"/>
        <w:ind w:firstLine="560" w:firstLineChars="200"/>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10.在维修保养期中，因乙方人员操作不当造成检查、维保不当，或经甲方提示后，乙方未按甲方的提示要求操作，而造成不良影响和损失的，由乙方负责。非因乙方责任造成的事故，乙方仍须积极配合甲方进行处理。</w:t>
      </w:r>
    </w:p>
    <w:p>
      <w:pPr>
        <w:adjustRightInd w:val="0"/>
        <w:spacing w:line="600" w:lineRule="exact"/>
        <w:ind w:firstLine="560" w:firstLineChars="200"/>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11.乙方值班人员及维修人员必须遵守甲方的管理制度和规定，不得</w:t>
      </w:r>
      <w:r>
        <w:rPr>
          <w:rFonts w:hint="eastAsia" w:ascii="Times New Roman" w:hAnsi="Times New Roman" w:eastAsia="方正仿宋_GBK" w:cs="Times New Roman"/>
          <w:color w:val="000000"/>
          <w:kern w:val="0"/>
          <w:sz w:val="28"/>
          <w:szCs w:val="28"/>
          <w:highlight w:val="none"/>
          <w:lang w:eastAsia="zh-CN"/>
        </w:rPr>
        <w:t>将其他</w:t>
      </w:r>
      <w:r>
        <w:rPr>
          <w:rFonts w:hint="default" w:ascii="Times New Roman" w:hAnsi="Times New Roman" w:eastAsia="方正仿宋_GBK" w:cs="Times New Roman"/>
          <w:color w:val="000000"/>
          <w:kern w:val="0"/>
          <w:sz w:val="28"/>
          <w:szCs w:val="28"/>
          <w:highlight w:val="none"/>
        </w:rPr>
        <w:t>单位的材料、设备带进/带出服务区域。乙方员工上班时应穿着工作服，文明作业。</w:t>
      </w:r>
    </w:p>
    <w:p>
      <w:pPr>
        <w:adjustRightInd w:val="0"/>
        <w:spacing w:line="600" w:lineRule="exact"/>
        <w:ind w:firstLine="560" w:firstLineChars="200"/>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12.免费为甲方相关人员进行供配电设备设施维修保养常识、应急处理等相关知识培训，指导甲方相关人员熟悉和正确使用、操作供配电设备。</w:t>
      </w:r>
    </w:p>
    <w:p>
      <w:pPr>
        <w:adjustRightInd w:val="0"/>
        <w:spacing w:line="600" w:lineRule="exact"/>
        <w:ind w:firstLine="560" w:firstLineChars="200"/>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13.甲方如有重大的项目接待或公众节假日前</w:t>
      </w:r>
      <w:r>
        <w:rPr>
          <w:rFonts w:hint="default" w:ascii="Times New Roman" w:hAnsi="Times New Roman" w:eastAsia="方正仿宋_GBK" w:cs="Times New Roman"/>
          <w:color w:val="000000"/>
          <w:sz w:val="28"/>
          <w:szCs w:val="28"/>
          <w:highlight w:val="none"/>
          <w:shd w:val="clear" w:color="auto" w:fill="FFFFFF"/>
        </w:rPr>
        <w:t>（包括但不限于五一、十一、元旦、春节等）</w:t>
      </w:r>
      <w:r>
        <w:rPr>
          <w:rFonts w:hint="default" w:ascii="Times New Roman" w:hAnsi="Times New Roman" w:eastAsia="方正仿宋_GBK" w:cs="Times New Roman"/>
          <w:color w:val="000000"/>
          <w:kern w:val="0"/>
          <w:sz w:val="28"/>
          <w:szCs w:val="28"/>
          <w:highlight w:val="none"/>
        </w:rPr>
        <w:t>，乙方负责协助甲方进行供配电设备设施设备测试检查；甲方如有临时保养需要（如政府检查或其他原因），甲方提前通知乙方公司或直接通知乙方的维修保养人员，则乙方应在甲方指定期限内提供保养服务。服务标准须符合本合同及附件约定的要求。</w:t>
      </w:r>
    </w:p>
    <w:p>
      <w:pPr>
        <w:adjustRightInd w:val="0"/>
        <w:spacing w:line="600" w:lineRule="exact"/>
        <w:ind w:firstLine="560" w:firstLineChars="200"/>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14.如合同到期不续约，乙方应在合同到期后无条件与甲方选择的维保服务供应商和甲方项目管理处</w:t>
      </w:r>
      <w:r>
        <w:rPr>
          <w:rFonts w:hint="eastAsia" w:ascii="Times New Roman" w:hAnsi="Times New Roman" w:eastAsia="方正仿宋_GBK" w:cs="Times New Roman"/>
          <w:color w:val="000000"/>
          <w:kern w:val="0"/>
          <w:sz w:val="28"/>
          <w:szCs w:val="28"/>
          <w:highlight w:val="none"/>
          <w:lang w:eastAsia="zh-CN"/>
        </w:rPr>
        <w:t>做好</w:t>
      </w:r>
      <w:r>
        <w:rPr>
          <w:rFonts w:hint="default" w:ascii="Times New Roman" w:hAnsi="Times New Roman" w:eastAsia="方正仿宋_GBK" w:cs="Times New Roman"/>
          <w:color w:val="000000"/>
          <w:kern w:val="0"/>
          <w:sz w:val="28"/>
          <w:szCs w:val="28"/>
          <w:highlight w:val="none"/>
        </w:rPr>
        <w:t>书面文件及物品交接工作，否则视为乙方违约，甲方除有权暂停支付最后一季度的维保</w:t>
      </w:r>
      <w:r>
        <w:rPr>
          <w:rFonts w:hint="eastAsia" w:ascii="Times New Roman" w:hAnsi="Times New Roman" w:eastAsia="方正仿宋_GBK" w:cs="Times New Roman"/>
          <w:color w:val="000000"/>
          <w:kern w:val="0"/>
          <w:sz w:val="28"/>
          <w:szCs w:val="28"/>
          <w:highlight w:val="none"/>
          <w:lang w:eastAsia="zh-CN"/>
        </w:rPr>
        <w:t>费用</w:t>
      </w:r>
      <w:r>
        <w:rPr>
          <w:rFonts w:hint="default" w:ascii="Times New Roman" w:hAnsi="Times New Roman" w:eastAsia="方正仿宋_GBK" w:cs="Times New Roman"/>
          <w:color w:val="000000"/>
          <w:kern w:val="0"/>
          <w:sz w:val="28"/>
          <w:szCs w:val="28"/>
          <w:highlight w:val="none"/>
        </w:rPr>
        <w:t>，并有权委托第三方对供配电设备设施进行检查（费用由乙方承担），且乙方应无条件对前述检查发现的问题进行整改。</w:t>
      </w:r>
    </w:p>
    <w:p>
      <w:pPr>
        <w:adjustRightInd w:val="0"/>
        <w:spacing w:line="600" w:lineRule="exact"/>
        <w:ind w:firstLine="560" w:firstLineChars="200"/>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15.乙方对供配电设施设备进行的月度、年度等检测、维保，都必须严格执行以不影响甲方及商户正常经营为原则，将保养和检测工作安排在甲方营业时间之外。</w:t>
      </w:r>
    </w:p>
    <w:p>
      <w:pPr>
        <w:adjustRightInd w:val="0"/>
        <w:spacing w:line="600" w:lineRule="exact"/>
        <w:ind w:firstLine="560" w:firstLineChars="200"/>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16.乙方人员作业时不得损坏甲方管理范围内任何建筑物、财产、设施设备、物品等；否则，乙方应照价赔偿。</w:t>
      </w:r>
    </w:p>
    <w:p>
      <w:pPr>
        <w:adjustRightInd w:val="0"/>
        <w:spacing w:line="600" w:lineRule="exact"/>
        <w:ind w:firstLine="560" w:firstLineChars="200"/>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17.乙方在本工程使用的材料、设备、技术等不得侵犯他人的知识产权，否则因此引起的一切法律责任由乙方承担，并赔偿因此给甲方造成的损失。</w:t>
      </w:r>
    </w:p>
    <w:p>
      <w:pPr>
        <w:adjustRightInd w:val="0"/>
        <w:spacing w:line="600" w:lineRule="exact"/>
        <w:ind w:firstLine="560" w:firstLineChars="200"/>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18.履行本合同及其相关附件约定要求。</w:t>
      </w:r>
    </w:p>
    <w:p>
      <w:pPr>
        <w:spacing w:line="600" w:lineRule="exact"/>
        <w:jc w:val="center"/>
        <w:rPr>
          <w:rFonts w:hint="default" w:ascii="Times New Roman" w:hAnsi="Times New Roman" w:eastAsia="方正仿宋_GBK" w:cs="Times New Roman"/>
          <w:b/>
          <w:bCs/>
          <w:color w:val="000000"/>
          <w:sz w:val="28"/>
          <w:szCs w:val="28"/>
          <w:highlight w:val="none"/>
        </w:rPr>
      </w:pPr>
      <w:r>
        <w:rPr>
          <w:rFonts w:hint="default" w:ascii="Times New Roman" w:hAnsi="Times New Roman" w:eastAsia="方正仿宋_GBK" w:cs="Times New Roman"/>
          <w:b/>
          <w:bCs/>
          <w:color w:val="000000"/>
          <w:sz w:val="28"/>
          <w:szCs w:val="28"/>
          <w:highlight w:val="none"/>
        </w:rPr>
        <w:t>第五条  维修保养标准及书面报告</w:t>
      </w:r>
    </w:p>
    <w:p>
      <w:pPr>
        <w:adjustRightInd w:val="0"/>
        <w:spacing w:line="600" w:lineRule="exact"/>
        <w:ind w:firstLine="560" w:firstLineChars="200"/>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如政府相关主管部门需要，乙方须无偿提供相应主管部门认可的供配电设备设施检查报告，并协助甲方将每月、每年供配电设施设备维修保养的情况和检查结果， 以书面形式向相应主管部门报告。其内容包括：</w:t>
      </w:r>
    </w:p>
    <w:p>
      <w:pPr>
        <w:tabs>
          <w:tab w:val="left" w:pos="1200"/>
        </w:tabs>
        <w:adjustRightInd w:val="0"/>
        <w:spacing w:line="600" w:lineRule="exact"/>
        <w:ind w:firstLine="560" w:firstLineChars="200"/>
        <w:jc w:val="left"/>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kern w:val="0"/>
          <w:sz w:val="28"/>
          <w:szCs w:val="28"/>
          <w:highlight w:val="none"/>
        </w:rPr>
        <w:t>1.供配电设施设备的运转情况；</w:t>
      </w:r>
    </w:p>
    <w:p>
      <w:pPr>
        <w:tabs>
          <w:tab w:val="left" w:pos="1200"/>
        </w:tabs>
        <w:adjustRightInd w:val="0"/>
        <w:spacing w:line="600" w:lineRule="exact"/>
        <w:ind w:firstLine="560" w:firstLineChars="200"/>
        <w:jc w:val="left"/>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kern w:val="0"/>
          <w:sz w:val="28"/>
          <w:szCs w:val="28"/>
          <w:highlight w:val="none"/>
        </w:rPr>
        <w:t>2.维修保养和检查记录；</w:t>
      </w:r>
    </w:p>
    <w:p>
      <w:pPr>
        <w:tabs>
          <w:tab w:val="left" w:pos="1200"/>
        </w:tabs>
        <w:adjustRightInd w:val="0"/>
        <w:spacing w:line="600" w:lineRule="exact"/>
        <w:ind w:firstLine="560" w:firstLineChars="200"/>
        <w:jc w:val="left"/>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kern w:val="0"/>
          <w:sz w:val="28"/>
          <w:szCs w:val="28"/>
          <w:highlight w:val="none"/>
        </w:rPr>
        <w:t>3.供配电设施设备稳定性和可靠性的分析；</w:t>
      </w:r>
    </w:p>
    <w:p>
      <w:pPr>
        <w:tabs>
          <w:tab w:val="left" w:pos="1200"/>
        </w:tabs>
        <w:adjustRightInd w:val="0"/>
        <w:spacing w:line="600" w:lineRule="exact"/>
        <w:ind w:firstLine="560" w:firstLineChars="200"/>
        <w:jc w:val="left"/>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kern w:val="0"/>
          <w:sz w:val="28"/>
          <w:szCs w:val="28"/>
          <w:highlight w:val="none"/>
        </w:rPr>
        <w:t>4.保证供配电设施设备正常运转的有关建议。</w:t>
      </w:r>
    </w:p>
    <w:p>
      <w:pPr>
        <w:adjustRightInd w:val="0"/>
        <w:spacing w:line="600" w:lineRule="exact"/>
        <w:jc w:val="center"/>
        <w:rPr>
          <w:rFonts w:hint="default" w:ascii="Times New Roman" w:hAnsi="Times New Roman" w:eastAsia="方正仿宋_GBK" w:cs="Times New Roman"/>
          <w:b/>
          <w:color w:val="000000"/>
          <w:kern w:val="0"/>
          <w:sz w:val="28"/>
          <w:szCs w:val="28"/>
          <w:highlight w:val="none"/>
        </w:rPr>
      </w:pPr>
      <w:r>
        <w:rPr>
          <w:rFonts w:hint="default" w:ascii="Times New Roman" w:hAnsi="Times New Roman" w:eastAsia="方正仿宋_GBK" w:cs="Times New Roman"/>
          <w:b/>
          <w:color w:val="000000"/>
          <w:kern w:val="0"/>
          <w:sz w:val="28"/>
          <w:szCs w:val="28"/>
          <w:highlight w:val="none"/>
        </w:rPr>
        <w:t>第六条  更换材料、设备的供应</w:t>
      </w:r>
    </w:p>
    <w:p>
      <w:pPr>
        <w:adjustRightInd w:val="0"/>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kern w:val="0"/>
          <w:sz w:val="28"/>
          <w:szCs w:val="28"/>
          <w:highlight w:val="none"/>
        </w:rPr>
        <w:t>（一）保养期内，自然损坏及按产品说明书规定需更换的材料、设备零配件单次价格在</w:t>
      </w:r>
      <w:r>
        <w:rPr>
          <w:rFonts w:hint="default" w:ascii="Times New Roman" w:hAnsi="Times New Roman" w:eastAsia="方正仿宋_GBK" w:cs="Times New Roman"/>
          <w:color w:val="000000"/>
          <w:kern w:val="0"/>
          <w:sz w:val="28"/>
          <w:szCs w:val="28"/>
          <w:highlight w:val="none"/>
          <w:u w:val="single"/>
        </w:rPr>
        <w:t xml:space="preserve"> 300 </w:t>
      </w:r>
      <w:r>
        <w:rPr>
          <w:rFonts w:hint="default" w:ascii="Times New Roman" w:hAnsi="Times New Roman" w:eastAsia="方正仿宋_GBK" w:cs="Times New Roman"/>
          <w:color w:val="000000"/>
          <w:kern w:val="0"/>
          <w:sz w:val="28"/>
          <w:szCs w:val="28"/>
          <w:highlight w:val="none"/>
        </w:rPr>
        <w:t>元以内</w:t>
      </w:r>
      <w:r>
        <w:rPr>
          <w:rFonts w:hint="eastAsia" w:ascii="Times New Roman" w:hAnsi="Times New Roman" w:eastAsia="方正仿宋_GBK" w:cs="Times New Roman"/>
          <w:color w:val="000000"/>
          <w:kern w:val="0"/>
          <w:sz w:val="28"/>
          <w:szCs w:val="28"/>
          <w:highlight w:val="none"/>
          <w:lang w:eastAsia="zh-CN"/>
        </w:rPr>
        <w:t>（</w:t>
      </w:r>
      <w:r>
        <w:rPr>
          <w:rFonts w:hint="default" w:ascii="Times New Roman" w:hAnsi="Times New Roman" w:eastAsia="方正仿宋_GBK" w:cs="Times New Roman"/>
          <w:color w:val="000000"/>
          <w:kern w:val="0"/>
          <w:sz w:val="28"/>
          <w:szCs w:val="28"/>
          <w:highlight w:val="none"/>
        </w:rPr>
        <w:t>含</w:t>
      </w:r>
      <w:r>
        <w:rPr>
          <w:rFonts w:hint="default" w:ascii="Times New Roman" w:hAnsi="Times New Roman" w:eastAsia="方正仿宋_GBK" w:cs="Times New Roman"/>
          <w:color w:val="000000"/>
          <w:kern w:val="0"/>
          <w:sz w:val="28"/>
          <w:szCs w:val="28"/>
          <w:highlight w:val="none"/>
          <w:u w:val="single"/>
        </w:rPr>
        <w:t xml:space="preserve"> 300  </w:t>
      </w:r>
      <w:r>
        <w:rPr>
          <w:rFonts w:hint="default" w:ascii="Times New Roman" w:hAnsi="Times New Roman" w:eastAsia="方正仿宋_GBK" w:cs="Times New Roman"/>
          <w:color w:val="000000"/>
          <w:kern w:val="0"/>
          <w:sz w:val="28"/>
          <w:szCs w:val="28"/>
          <w:highlight w:val="none"/>
        </w:rPr>
        <w:t>元</w:t>
      </w:r>
      <w:r>
        <w:rPr>
          <w:rFonts w:hint="eastAsia" w:ascii="Times New Roman" w:hAnsi="Times New Roman" w:eastAsia="方正仿宋_GBK" w:cs="Times New Roman"/>
          <w:color w:val="000000"/>
          <w:kern w:val="0"/>
          <w:sz w:val="28"/>
          <w:szCs w:val="28"/>
          <w:highlight w:val="none"/>
          <w:lang w:eastAsia="zh-CN"/>
        </w:rPr>
        <w:t>）</w:t>
      </w:r>
      <w:r>
        <w:rPr>
          <w:rFonts w:hint="default" w:ascii="Times New Roman" w:hAnsi="Times New Roman" w:eastAsia="方正仿宋_GBK" w:cs="Times New Roman"/>
          <w:color w:val="000000"/>
          <w:kern w:val="0"/>
          <w:sz w:val="28"/>
          <w:szCs w:val="28"/>
          <w:highlight w:val="none"/>
        </w:rPr>
        <w:t>由乙方承担。每次更换材料、设备零配件，须经甲方书面确认。</w:t>
      </w:r>
    </w:p>
    <w:p>
      <w:pPr>
        <w:adjustRightInd w:val="0"/>
        <w:spacing w:line="600" w:lineRule="exact"/>
        <w:ind w:firstLine="560" w:firstLineChars="200"/>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（二）单件零配件维修、更换费用在</w:t>
      </w:r>
      <w:r>
        <w:rPr>
          <w:rFonts w:hint="default" w:ascii="Times New Roman" w:hAnsi="Times New Roman" w:eastAsia="方正仿宋_GBK" w:cs="Times New Roman"/>
          <w:color w:val="000000"/>
          <w:kern w:val="0"/>
          <w:sz w:val="28"/>
          <w:szCs w:val="28"/>
          <w:highlight w:val="none"/>
          <w:u w:val="single"/>
        </w:rPr>
        <w:t xml:space="preserve"> 300  </w:t>
      </w:r>
      <w:r>
        <w:rPr>
          <w:rFonts w:hint="default" w:ascii="Times New Roman" w:hAnsi="Times New Roman" w:eastAsia="方正仿宋_GBK" w:cs="Times New Roman"/>
          <w:color w:val="000000"/>
          <w:kern w:val="0"/>
          <w:sz w:val="28"/>
          <w:szCs w:val="28"/>
          <w:highlight w:val="none"/>
        </w:rPr>
        <w:t>元以上的，由乙方提出更换报告和清单，甲方如需乙方代购的，经甲方书面同意后，乙方方可代为采购，购置费用由甲方承担。乙方保证所提供的零部件是原厂原装、合格的产品，并提供有效符合要求的增值税专用发票，拆除的零配件由甲方收回。</w:t>
      </w:r>
    </w:p>
    <w:p>
      <w:pPr>
        <w:adjustRightInd w:val="0"/>
        <w:spacing w:line="600" w:lineRule="exact"/>
        <w:jc w:val="center"/>
        <w:rPr>
          <w:rFonts w:hint="default" w:ascii="Times New Roman" w:hAnsi="Times New Roman" w:eastAsia="方正仿宋_GBK" w:cs="Times New Roman"/>
          <w:b/>
          <w:color w:val="000000"/>
          <w:kern w:val="0"/>
          <w:sz w:val="28"/>
          <w:szCs w:val="28"/>
          <w:highlight w:val="none"/>
        </w:rPr>
      </w:pPr>
      <w:r>
        <w:rPr>
          <w:rFonts w:hint="default" w:ascii="Times New Roman" w:hAnsi="Times New Roman" w:eastAsia="方正仿宋_GBK" w:cs="Times New Roman"/>
          <w:b/>
          <w:color w:val="000000"/>
          <w:kern w:val="0"/>
          <w:sz w:val="28"/>
          <w:szCs w:val="28"/>
          <w:highlight w:val="none"/>
        </w:rPr>
        <w:t>第七条  违约责任</w:t>
      </w:r>
    </w:p>
    <w:p>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一）合同期内，乙方应派出足够的维修和管理人员负责维保工作，保证服务的质量及效果，如乙方工作未符合本合同、附件约定及甲方要求，在甲方发出通知后二十四小时内仍未能改善者，甲方有权单方解除本合同，</w:t>
      </w:r>
      <w:r>
        <w:rPr>
          <w:rFonts w:hint="default" w:ascii="Times New Roman" w:hAnsi="Times New Roman" w:eastAsia="方正仿宋_GBK" w:cs="Times New Roman"/>
          <w:color w:val="000000"/>
          <w:kern w:val="2"/>
          <w:sz w:val="28"/>
          <w:szCs w:val="28"/>
          <w:highlight w:val="none"/>
          <w:lang w:bidi="ar"/>
        </w:rPr>
        <w:t>并要求乙方支付</w:t>
      </w:r>
      <w:r>
        <w:rPr>
          <w:rFonts w:hint="default" w:ascii="Times New Roman" w:hAnsi="Times New Roman" w:eastAsia="方正仿宋_GBK" w:cs="Times New Roman"/>
          <w:color w:val="000000"/>
          <w:kern w:val="2"/>
          <w:sz w:val="28"/>
          <w:szCs w:val="28"/>
          <w:highlight w:val="none"/>
          <w:lang w:val="en-US" w:eastAsia="zh-CN" w:bidi="ar"/>
        </w:rPr>
        <w:t>本</w:t>
      </w:r>
      <w:r>
        <w:rPr>
          <w:rFonts w:hint="default" w:ascii="Times New Roman" w:hAnsi="Times New Roman" w:eastAsia="方正仿宋_GBK" w:cs="Times New Roman"/>
          <w:color w:val="000000"/>
          <w:kern w:val="2"/>
          <w:sz w:val="28"/>
          <w:szCs w:val="28"/>
          <w:highlight w:val="none"/>
          <w:lang w:bidi="ar"/>
        </w:rPr>
        <w:t>合同总金额20%的违约金。</w:t>
      </w:r>
      <w:r>
        <w:rPr>
          <w:rFonts w:hint="default" w:ascii="Times New Roman" w:hAnsi="Times New Roman" w:eastAsia="方正仿宋_GBK" w:cs="Times New Roman"/>
          <w:color w:val="000000"/>
          <w:sz w:val="28"/>
          <w:szCs w:val="28"/>
          <w:highlight w:val="none"/>
        </w:rPr>
        <w:t>由于乙方责任，造成甲方或第三方人身或经济损失的，乙方承担全部赔偿责任。经甲方管理人员检查发现乙方现场作业人员未持证上岗的，每人每次扣款</w:t>
      </w:r>
      <w:r>
        <w:rPr>
          <w:rFonts w:hint="default" w:ascii="Times New Roman" w:hAnsi="Times New Roman" w:eastAsia="方正仿宋_GBK" w:cs="Times New Roman"/>
          <w:color w:val="000000"/>
          <w:sz w:val="28"/>
          <w:szCs w:val="28"/>
          <w:highlight w:val="none"/>
          <w:u w:val="single"/>
        </w:rPr>
        <w:t>1000</w:t>
      </w:r>
      <w:r>
        <w:rPr>
          <w:rFonts w:hint="default" w:ascii="Times New Roman" w:hAnsi="Times New Roman" w:eastAsia="方正仿宋_GBK" w:cs="Times New Roman"/>
          <w:color w:val="000000"/>
          <w:sz w:val="28"/>
          <w:szCs w:val="28"/>
          <w:highlight w:val="none"/>
        </w:rPr>
        <w:t>元。</w:t>
      </w:r>
    </w:p>
    <w:p>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二）因乙方未能按约履行维护保养义务或者在本合同项内标的物出现故障通知乙方后，乙方未能在规定时间内赶到现场排除故障，甲方有权委托第三方进行维修或保养，所产生该部分额外费用由乙方承担。该情形每出现一次，乙方应按</w:t>
      </w:r>
      <w:r>
        <w:rPr>
          <w:rFonts w:hint="default" w:ascii="Times New Roman" w:hAnsi="Times New Roman" w:eastAsia="方正仿宋_GBK" w:cs="Times New Roman"/>
          <w:color w:val="000000"/>
          <w:sz w:val="28"/>
          <w:szCs w:val="28"/>
          <w:highlight w:val="none"/>
          <w:u w:val="single"/>
        </w:rPr>
        <w:t>1000</w:t>
      </w:r>
      <w:r>
        <w:rPr>
          <w:rFonts w:hint="default" w:ascii="Times New Roman" w:hAnsi="Times New Roman" w:eastAsia="方正仿宋_GBK" w:cs="Times New Roman"/>
          <w:color w:val="000000"/>
          <w:sz w:val="28"/>
          <w:szCs w:val="28"/>
          <w:highlight w:val="none"/>
        </w:rPr>
        <w:t>元/次为标准向甲方支付违约金，出现三次以上</w:t>
      </w: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含三次</w:t>
      </w: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的，乙方应以当月承包费为标准向甲方支付违约金，且甲方有权单方解除本合同并不被视为违约。</w:t>
      </w:r>
    </w:p>
    <w:p>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（三）对同一故障乙方维修二次后，本合同项内标的物再出现类似问题，乙方除须再次进行维修外，乙方每次每项还需向甲方支付工作成本及违约金人民币</w:t>
      </w:r>
      <w:r>
        <w:rPr>
          <w:rFonts w:hint="default" w:ascii="Times New Roman" w:hAnsi="Times New Roman" w:eastAsia="方正仿宋_GBK" w:cs="Times New Roman"/>
          <w:color w:val="000000"/>
          <w:sz w:val="28"/>
          <w:szCs w:val="28"/>
          <w:highlight w:val="none"/>
          <w:u w:val="single"/>
        </w:rPr>
        <w:t>2000</w:t>
      </w:r>
      <w:r>
        <w:rPr>
          <w:rFonts w:hint="default" w:ascii="Times New Roman" w:hAnsi="Times New Roman" w:eastAsia="方正仿宋_GBK" w:cs="Times New Roman"/>
          <w:color w:val="000000"/>
          <w:sz w:val="28"/>
          <w:szCs w:val="28"/>
          <w:highlight w:val="none"/>
        </w:rPr>
        <w:t>元。如经历三次以上</w:t>
      </w: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含三次</w:t>
      </w: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维修，仍然不能解决问题，甲方有权另行聘请第三方进行维修，由此引起的一切费用和责任由乙方承担（设备被盗、遗失或非乙方人为原因造成的除外）。</w:t>
      </w:r>
    </w:p>
    <w:p>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（四）现场维保工作完成后，乙方负责将施工现场清理干净，否则甲方有权自行或委托第三方清理打扫</w:t>
      </w: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所产生的费用</w:t>
      </w: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包括但不限于卫生清理运输费等</w:t>
      </w: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由乙方承担。维修过程中给甲方、第三方造成损失的，由乙方赔偿。</w:t>
      </w:r>
    </w:p>
    <w:p>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（五）未经甲方同意，乙方不得将合同项内工作进行转包、分包，否则甲方有权立即解除合同并要求乙方承担</w:t>
      </w:r>
      <w:r>
        <w:rPr>
          <w:rFonts w:hint="default" w:ascii="Times New Roman" w:hAnsi="Times New Roman" w:eastAsia="方正仿宋_GBK" w:cs="Times New Roman"/>
          <w:color w:val="000000"/>
          <w:sz w:val="28"/>
          <w:szCs w:val="28"/>
          <w:highlight w:val="none"/>
          <w:lang w:val="en-US" w:eastAsia="zh-CN"/>
        </w:rPr>
        <w:t>本</w:t>
      </w:r>
      <w:r>
        <w:rPr>
          <w:rFonts w:hint="default" w:ascii="Times New Roman" w:hAnsi="Times New Roman" w:eastAsia="方正仿宋_GBK" w:cs="Times New Roman"/>
          <w:color w:val="000000"/>
          <w:sz w:val="28"/>
          <w:szCs w:val="28"/>
          <w:highlight w:val="none"/>
        </w:rPr>
        <w:t>合同总金额</w:t>
      </w:r>
      <w:r>
        <w:rPr>
          <w:rFonts w:hint="default" w:ascii="Times New Roman" w:hAnsi="Times New Roman" w:eastAsia="方正仿宋_GBK" w:cs="Times New Roman"/>
          <w:color w:val="000000"/>
          <w:sz w:val="28"/>
          <w:szCs w:val="28"/>
          <w:highlight w:val="none"/>
          <w:u w:val="single"/>
        </w:rPr>
        <w:t>20%</w:t>
      </w:r>
      <w:r>
        <w:rPr>
          <w:rFonts w:hint="default" w:ascii="Times New Roman" w:hAnsi="Times New Roman" w:eastAsia="方正仿宋_GBK" w:cs="Times New Roman"/>
          <w:color w:val="000000"/>
          <w:sz w:val="28"/>
          <w:szCs w:val="28"/>
          <w:highlight w:val="none"/>
        </w:rPr>
        <w:t>的违约金。</w:t>
      </w:r>
    </w:p>
    <w:p>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（六）合同期内项目负责人更换次数不超过一次，维保人员更换不超过拟派驻人员的50%，每次更换前必须提供书面申请且需取得甲方同意后方可更换，否则视为违约，乙方应按</w:t>
      </w:r>
      <w:r>
        <w:rPr>
          <w:rFonts w:hint="default" w:ascii="Times New Roman" w:hAnsi="Times New Roman" w:eastAsia="方正仿宋_GBK" w:cs="Times New Roman"/>
          <w:color w:val="000000"/>
          <w:sz w:val="28"/>
          <w:szCs w:val="28"/>
          <w:highlight w:val="none"/>
          <w:u w:val="single"/>
        </w:rPr>
        <w:t>2000</w:t>
      </w:r>
      <w:r>
        <w:rPr>
          <w:rFonts w:hint="default" w:ascii="Times New Roman" w:hAnsi="Times New Roman" w:eastAsia="方正仿宋_GBK" w:cs="Times New Roman"/>
          <w:color w:val="000000"/>
          <w:sz w:val="28"/>
          <w:szCs w:val="28"/>
          <w:highlight w:val="none"/>
        </w:rPr>
        <w:t>元/人为标准向甲方支付违约金。</w:t>
      </w:r>
    </w:p>
    <w:p>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（七）乙方未按本合同约定的各项标准、要求提供服务的，甲方可每次计收</w:t>
      </w:r>
      <w:r>
        <w:rPr>
          <w:rFonts w:hint="default" w:ascii="Times New Roman" w:hAnsi="Times New Roman" w:eastAsia="方正仿宋_GBK" w:cs="Times New Roman"/>
          <w:color w:val="000000"/>
          <w:sz w:val="28"/>
          <w:szCs w:val="28"/>
          <w:highlight w:val="none"/>
          <w:lang w:val="en-US" w:eastAsia="zh-CN"/>
        </w:rPr>
        <w:t>该项目</w:t>
      </w:r>
      <w:r>
        <w:rPr>
          <w:rFonts w:hint="default" w:ascii="Times New Roman" w:hAnsi="Times New Roman" w:eastAsia="方正仿宋_GBK" w:cs="Times New Roman"/>
          <w:color w:val="000000"/>
          <w:sz w:val="28"/>
          <w:szCs w:val="28"/>
          <w:highlight w:val="none"/>
        </w:rPr>
        <w:t>季度维保总服务费</w:t>
      </w:r>
      <w:r>
        <w:rPr>
          <w:rFonts w:hint="default" w:ascii="Times New Roman" w:hAnsi="Times New Roman" w:eastAsia="方正仿宋_GBK" w:cs="Times New Roman"/>
          <w:color w:val="000000"/>
          <w:sz w:val="28"/>
          <w:szCs w:val="28"/>
          <w:highlight w:val="none"/>
          <w:u w:val="single"/>
        </w:rPr>
        <w:t>5%</w:t>
      </w:r>
      <w:r>
        <w:rPr>
          <w:rFonts w:hint="default" w:ascii="Times New Roman" w:hAnsi="Times New Roman" w:eastAsia="方正仿宋_GBK" w:cs="Times New Roman"/>
          <w:color w:val="000000"/>
          <w:sz w:val="28"/>
          <w:szCs w:val="28"/>
          <w:highlight w:val="none"/>
        </w:rPr>
        <w:t>的违约金。</w:t>
      </w:r>
    </w:p>
    <w:p>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w:t>
      </w:r>
      <w:r>
        <w:rPr>
          <w:rFonts w:hint="default" w:ascii="Times New Roman" w:hAnsi="Times New Roman" w:eastAsia="方正仿宋_GBK" w:cs="Times New Roman"/>
          <w:color w:val="000000"/>
          <w:sz w:val="28"/>
          <w:szCs w:val="28"/>
          <w:highlight w:val="none"/>
          <w:lang w:val="en-US" w:eastAsia="zh-CN"/>
        </w:rPr>
        <w:t>八</w:t>
      </w:r>
      <w:r>
        <w:rPr>
          <w:rFonts w:hint="default" w:ascii="Times New Roman" w:hAnsi="Times New Roman" w:eastAsia="方正仿宋_GBK" w:cs="Times New Roman"/>
          <w:color w:val="000000"/>
          <w:sz w:val="28"/>
          <w:szCs w:val="28"/>
          <w:highlight w:val="none"/>
        </w:rPr>
        <w:t>）</w:t>
      </w:r>
      <w:r>
        <w:rPr>
          <w:rFonts w:hint="eastAsia" w:eastAsia="方正仿宋_GBK" w:cs="Times New Roman"/>
          <w:color w:val="000000"/>
          <w:sz w:val="28"/>
          <w:szCs w:val="28"/>
          <w:highlight w:val="none"/>
          <w:lang w:eastAsia="zh-CN"/>
        </w:rPr>
        <w:t>除合同约定的解约条款外，</w:t>
      </w:r>
      <w:r>
        <w:rPr>
          <w:rFonts w:hint="default" w:ascii="Times New Roman" w:hAnsi="Times New Roman" w:eastAsia="方正仿宋_GBK" w:cs="Times New Roman"/>
          <w:color w:val="000000"/>
          <w:sz w:val="28"/>
          <w:szCs w:val="28"/>
          <w:highlight w:val="none"/>
          <w:lang w:val="en-US" w:eastAsia="zh-CN"/>
        </w:rPr>
        <w:t>甲乙双方任何一方不得</w:t>
      </w:r>
      <w:r>
        <w:rPr>
          <w:rFonts w:hint="default" w:ascii="Times New Roman" w:hAnsi="Times New Roman" w:eastAsia="方正仿宋_GBK" w:cs="Times New Roman"/>
          <w:color w:val="000000"/>
          <w:sz w:val="28"/>
          <w:szCs w:val="28"/>
          <w:highlight w:val="none"/>
        </w:rPr>
        <w:t>提前终止本</w:t>
      </w:r>
      <w:r>
        <w:rPr>
          <w:rFonts w:hint="default" w:ascii="Times New Roman" w:hAnsi="Times New Roman" w:eastAsia="方正仿宋_GBK" w:cs="Times New Roman"/>
          <w:color w:val="000000"/>
          <w:sz w:val="28"/>
          <w:szCs w:val="28"/>
          <w:highlight w:val="none"/>
          <w:lang w:val="en-US" w:eastAsia="zh-CN"/>
        </w:rPr>
        <w:t>合同</w:t>
      </w:r>
      <w:r>
        <w:rPr>
          <w:rFonts w:hint="default" w:ascii="Times New Roman" w:hAnsi="Times New Roman" w:eastAsia="方正仿宋_GBK" w:cs="Times New Roman"/>
          <w:color w:val="000000"/>
          <w:sz w:val="28"/>
          <w:szCs w:val="28"/>
          <w:highlight w:val="none"/>
        </w:rPr>
        <w:t>，</w:t>
      </w:r>
      <w:r>
        <w:rPr>
          <w:rFonts w:hint="default" w:ascii="Times New Roman" w:hAnsi="Times New Roman" w:eastAsia="方正仿宋_GBK" w:cs="Times New Roman"/>
          <w:color w:val="000000"/>
          <w:sz w:val="28"/>
          <w:szCs w:val="28"/>
          <w:highlight w:val="none"/>
          <w:lang w:val="en-US" w:eastAsia="zh-CN"/>
        </w:rPr>
        <w:t>如提前终止本合同，违约方</w:t>
      </w:r>
      <w:r>
        <w:rPr>
          <w:rFonts w:hint="default" w:ascii="Times New Roman" w:hAnsi="Times New Roman" w:eastAsia="方正仿宋_GBK" w:cs="Times New Roman"/>
          <w:color w:val="000000"/>
          <w:sz w:val="28"/>
          <w:szCs w:val="28"/>
          <w:highlight w:val="none"/>
        </w:rPr>
        <w:t>应按照本</w:t>
      </w:r>
      <w:r>
        <w:rPr>
          <w:rFonts w:hint="default" w:ascii="Times New Roman" w:hAnsi="Times New Roman" w:eastAsia="方正仿宋_GBK" w:cs="Times New Roman"/>
          <w:color w:val="000000"/>
          <w:sz w:val="28"/>
          <w:szCs w:val="28"/>
          <w:highlight w:val="none"/>
          <w:lang w:val="en-US" w:eastAsia="zh-CN"/>
        </w:rPr>
        <w:t>合同</w:t>
      </w:r>
      <w:r>
        <w:rPr>
          <w:rFonts w:hint="default" w:ascii="Times New Roman" w:hAnsi="Times New Roman" w:eastAsia="方正仿宋_GBK" w:cs="Times New Roman"/>
          <w:color w:val="000000"/>
          <w:sz w:val="28"/>
          <w:szCs w:val="28"/>
          <w:highlight w:val="none"/>
        </w:rPr>
        <w:t>总金额的</w:t>
      </w:r>
      <w:r>
        <w:rPr>
          <w:rFonts w:hint="default" w:ascii="Times New Roman" w:hAnsi="Times New Roman" w:eastAsia="方正仿宋_GBK" w:cs="Times New Roman"/>
          <w:color w:val="000000"/>
          <w:sz w:val="28"/>
          <w:szCs w:val="28"/>
          <w:highlight w:val="none"/>
          <w:u w:val="single"/>
        </w:rPr>
        <w:t>20%</w:t>
      </w:r>
      <w:r>
        <w:rPr>
          <w:rFonts w:hint="default" w:ascii="Times New Roman" w:hAnsi="Times New Roman" w:eastAsia="方正仿宋_GBK" w:cs="Times New Roman"/>
          <w:color w:val="000000"/>
          <w:sz w:val="28"/>
          <w:szCs w:val="28"/>
          <w:highlight w:val="none"/>
        </w:rPr>
        <w:t>向</w:t>
      </w:r>
      <w:r>
        <w:rPr>
          <w:rFonts w:hint="default" w:ascii="Times New Roman" w:hAnsi="Times New Roman" w:eastAsia="方正仿宋_GBK" w:cs="Times New Roman"/>
          <w:color w:val="000000"/>
          <w:sz w:val="28"/>
          <w:szCs w:val="28"/>
          <w:highlight w:val="none"/>
          <w:lang w:val="en-US" w:eastAsia="zh-CN"/>
        </w:rPr>
        <w:t>守约方</w:t>
      </w:r>
      <w:r>
        <w:rPr>
          <w:rFonts w:hint="default" w:ascii="Times New Roman" w:hAnsi="Times New Roman" w:eastAsia="方正仿宋_GBK" w:cs="Times New Roman"/>
          <w:color w:val="000000"/>
          <w:sz w:val="28"/>
          <w:szCs w:val="28"/>
          <w:highlight w:val="none"/>
        </w:rPr>
        <w:t>支付违约金。</w:t>
      </w:r>
    </w:p>
    <w:p>
      <w:pPr>
        <w:spacing w:line="600" w:lineRule="exact"/>
        <w:jc w:val="center"/>
        <w:rPr>
          <w:rFonts w:hint="default" w:ascii="Times New Roman" w:hAnsi="Times New Roman" w:eastAsia="方正仿宋_GBK" w:cs="Times New Roman"/>
          <w:b/>
          <w:bCs/>
          <w:color w:val="000000"/>
          <w:sz w:val="28"/>
          <w:szCs w:val="28"/>
          <w:highlight w:val="none"/>
        </w:rPr>
      </w:pPr>
      <w:r>
        <w:rPr>
          <w:rFonts w:hint="default" w:ascii="Times New Roman" w:hAnsi="Times New Roman" w:eastAsia="方正仿宋_GBK" w:cs="Times New Roman"/>
          <w:b/>
          <w:bCs/>
          <w:color w:val="000000"/>
          <w:sz w:val="28"/>
          <w:szCs w:val="28"/>
          <w:highlight w:val="none"/>
        </w:rPr>
        <w:t>第八条  安全工作</w:t>
      </w:r>
      <w:r>
        <w:rPr>
          <w:rFonts w:hint="eastAsia" w:ascii="Times New Roman" w:hAnsi="Times New Roman" w:eastAsia="方正仿宋_GBK" w:cs="Times New Roman"/>
          <w:b/>
          <w:bCs/>
          <w:color w:val="000000"/>
          <w:sz w:val="28"/>
          <w:szCs w:val="28"/>
          <w:highlight w:val="none"/>
          <w:lang w:val="en-US" w:eastAsia="zh-CN"/>
        </w:rPr>
        <w:t>及</w:t>
      </w:r>
      <w:r>
        <w:rPr>
          <w:rFonts w:hint="default" w:ascii="Times New Roman" w:hAnsi="Times New Roman" w:eastAsia="方正仿宋_GBK" w:cs="Times New Roman"/>
          <w:b/>
          <w:bCs/>
          <w:color w:val="000000"/>
          <w:sz w:val="28"/>
          <w:szCs w:val="28"/>
          <w:highlight w:val="none"/>
        </w:rPr>
        <w:t>考核扣分标准</w:t>
      </w:r>
    </w:p>
    <w:p>
      <w:pPr>
        <w:spacing w:line="600" w:lineRule="exact"/>
        <w:ind w:firstLine="560" w:firstLineChars="200"/>
        <w:jc w:val="left"/>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（一）乙方应按安全工作有关规定，采取严格、科学的安全防护措施，由于乙方原因（包含乙方工作人员操作失误）造成的事故，所产生的一切责任（包括但不限于人身伤亡、财产损失等责任）由乙方自行承担。</w:t>
      </w:r>
    </w:p>
    <w:p>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（二）乙方现场人员若发生重大伤亡事故，乙方应按有关规定立即报告政府相应管理部门并通知甲方代表。甲方为抢救提供必要条件，发生的一切费用由乙方承担。</w:t>
      </w:r>
    </w:p>
    <w:p>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三）乙方在动力设备、易燃易爆和高空作业、有限空间进行维修保养时，应拟定书面安全保护措施，经有资格的相关部门审核后方可施工。施工期间，应乙方要求，甲方可指派人员进行跟进和协调。乙方应当为其提供安全保护措施和因乙方操作不当引起的安全事故负责。</w:t>
      </w:r>
    </w:p>
    <w:p>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（四）在有毒有害环境中施工，乙方必须按有关规定提供相应的防护措施，并承担相关的费用支出。</w:t>
      </w:r>
    </w:p>
    <w:p>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（五）合同履行的考核方法和考核扣分标准按本合同附件三《供配电维保工作考核标准》执行，每月考核得分不得低于90分，得分低于90分，扣除当月服务费</w:t>
      </w:r>
      <w:r>
        <w:rPr>
          <w:rFonts w:hint="default" w:ascii="Times New Roman" w:hAnsi="Times New Roman" w:eastAsia="方正仿宋_GBK" w:cs="Times New Roman"/>
          <w:color w:val="000000"/>
          <w:sz w:val="28"/>
          <w:szCs w:val="28"/>
          <w:highlight w:val="none"/>
          <w:u w:val="single"/>
        </w:rPr>
        <w:t>5％</w:t>
      </w:r>
      <w:r>
        <w:rPr>
          <w:rFonts w:hint="default" w:ascii="Times New Roman" w:hAnsi="Times New Roman" w:eastAsia="方正仿宋_GBK" w:cs="Times New Roman"/>
          <w:color w:val="000000"/>
          <w:sz w:val="28"/>
          <w:szCs w:val="28"/>
          <w:highlight w:val="none"/>
        </w:rPr>
        <w:t>；得分低于85分，扣除当月服务费</w:t>
      </w:r>
      <w:r>
        <w:rPr>
          <w:rFonts w:hint="default" w:ascii="Times New Roman" w:hAnsi="Times New Roman" w:eastAsia="方正仿宋_GBK" w:cs="Times New Roman"/>
          <w:color w:val="000000"/>
          <w:sz w:val="28"/>
          <w:szCs w:val="28"/>
          <w:highlight w:val="none"/>
          <w:u w:val="single"/>
        </w:rPr>
        <w:t>10％</w:t>
      </w:r>
      <w:r>
        <w:rPr>
          <w:rFonts w:hint="default" w:ascii="Times New Roman" w:hAnsi="Times New Roman" w:eastAsia="方正仿宋_GBK" w:cs="Times New Roman"/>
          <w:color w:val="000000"/>
          <w:sz w:val="28"/>
          <w:szCs w:val="28"/>
          <w:highlight w:val="none"/>
        </w:rPr>
        <w:t>；得分低于80分，扣除当月服务费</w:t>
      </w:r>
      <w:r>
        <w:rPr>
          <w:rFonts w:hint="default" w:ascii="Times New Roman" w:hAnsi="Times New Roman" w:eastAsia="方正仿宋_GBK" w:cs="Times New Roman"/>
          <w:color w:val="000000"/>
          <w:sz w:val="28"/>
          <w:szCs w:val="28"/>
          <w:highlight w:val="none"/>
          <w:u w:val="single"/>
        </w:rPr>
        <w:t>20％</w:t>
      </w:r>
      <w:r>
        <w:rPr>
          <w:rFonts w:hint="default" w:ascii="Times New Roman" w:hAnsi="Times New Roman" w:eastAsia="方正仿宋_GBK" w:cs="Times New Roman"/>
          <w:color w:val="000000"/>
          <w:sz w:val="28"/>
          <w:szCs w:val="28"/>
          <w:highlight w:val="none"/>
        </w:rPr>
        <w:t>；连续2次出现或合同期内累积出现3次月考核分低于80分的，甲方有权单方解除合同，履约保证金不予退还且不被视为违约</w:t>
      </w:r>
      <w:r>
        <w:rPr>
          <w:rFonts w:hint="default"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并要求乙方支付</w:t>
      </w:r>
      <w:r>
        <w:rPr>
          <w:rFonts w:hint="default" w:ascii="Times New Roman" w:hAnsi="Times New Roman" w:eastAsia="方正仿宋_GBK" w:cs="Times New Roman"/>
          <w:color w:val="000000"/>
          <w:sz w:val="28"/>
          <w:szCs w:val="28"/>
          <w:highlight w:val="none"/>
          <w:lang w:val="en-US" w:eastAsia="zh-CN"/>
        </w:rPr>
        <w:t>本</w:t>
      </w:r>
      <w:r>
        <w:rPr>
          <w:rFonts w:hint="default" w:ascii="Times New Roman" w:hAnsi="Times New Roman" w:eastAsia="方正仿宋_GBK" w:cs="Times New Roman"/>
          <w:color w:val="000000"/>
          <w:sz w:val="28"/>
          <w:szCs w:val="28"/>
          <w:highlight w:val="none"/>
        </w:rPr>
        <w:t>合同总金额20%的违约金</w:t>
      </w:r>
      <w:r>
        <w:rPr>
          <w:rFonts w:hint="eastAsia" w:ascii="Times New Roman" w:hAnsi="Times New Roman" w:eastAsia="方正仿宋_GBK" w:cs="Times New Roman"/>
          <w:color w:val="000000"/>
          <w:sz w:val="28"/>
          <w:szCs w:val="28"/>
          <w:highlight w:val="none"/>
          <w:lang w:eastAsia="zh-CN"/>
        </w:rPr>
        <w:t>【</w:t>
      </w:r>
      <w:r>
        <w:rPr>
          <w:rFonts w:hint="eastAsia" w:ascii="Times New Roman" w:hAnsi="Times New Roman" w:eastAsia="方正仿宋_GBK" w:cs="Times New Roman"/>
          <w:color w:val="000000"/>
          <w:sz w:val="28"/>
          <w:szCs w:val="28"/>
          <w:highlight w:val="none"/>
          <w:lang w:val="en-US" w:eastAsia="zh-CN"/>
        </w:rPr>
        <w:t>补充说明：履约保证金，是指乙方中选后，其缴纳的</w:t>
      </w:r>
      <w:r>
        <w:rPr>
          <w:rFonts w:hint="eastAsia" w:ascii="Times New Roman" w:hAnsi="Times New Roman" w:eastAsia="方正仿宋_GBK" w:cs="Times New Roman"/>
          <w:color w:val="000000"/>
          <w:sz w:val="28"/>
          <w:szCs w:val="28"/>
          <w:highlight w:val="none"/>
          <w:lang w:eastAsia="zh-CN"/>
        </w:rPr>
        <w:t>比选保证金</w:t>
      </w:r>
      <w:r>
        <w:rPr>
          <w:rFonts w:hint="eastAsia" w:ascii="Times New Roman" w:hAnsi="Times New Roman" w:eastAsia="方正仿宋_GBK" w:cs="Times New Roman"/>
          <w:color w:val="000000"/>
          <w:sz w:val="28"/>
          <w:szCs w:val="28"/>
          <w:highlight w:val="none"/>
          <w:lang w:val="en-US" w:eastAsia="zh-CN"/>
        </w:rPr>
        <w:t>直接</w:t>
      </w:r>
      <w:r>
        <w:rPr>
          <w:rFonts w:hint="eastAsia" w:ascii="Times New Roman" w:hAnsi="Times New Roman" w:eastAsia="方正仿宋_GBK" w:cs="Times New Roman"/>
          <w:color w:val="000000"/>
          <w:sz w:val="28"/>
          <w:szCs w:val="28"/>
          <w:highlight w:val="none"/>
          <w:lang w:eastAsia="zh-CN"/>
        </w:rPr>
        <w:t>转为履约保证金，履约保证金在合同期满，且经</w:t>
      </w:r>
      <w:r>
        <w:rPr>
          <w:rFonts w:hint="eastAsia" w:ascii="Times New Roman" w:hAnsi="Times New Roman" w:eastAsia="方正仿宋_GBK" w:cs="Times New Roman"/>
          <w:color w:val="000000"/>
          <w:sz w:val="28"/>
          <w:szCs w:val="28"/>
          <w:highlight w:val="none"/>
          <w:lang w:val="en-US" w:eastAsia="zh-CN"/>
        </w:rPr>
        <w:t>甲方</w:t>
      </w:r>
      <w:r>
        <w:rPr>
          <w:rFonts w:hint="eastAsia" w:ascii="Times New Roman" w:hAnsi="Times New Roman" w:eastAsia="方正仿宋_GBK" w:cs="Times New Roman"/>
          <w:color w:val="000000"/>
          <w:sz w:val="28"/>
          <w:szCs w:val="28"/>
          <w:highlight w:val="none"/>
          <w:lang w:eastAsia="zh-CN"/>
        </w:rPr>
        <w:t>确认</w:t>
      </w:r>
      <w:r>
        <w:rPr>
          <w:rFonts w:hint="eastAsia" w:ascii="Times New Roman" w:hAnsi="Times New Roman" w:eastAsia="方正仿宋_GBK" w:cs="Times New Roman"/>
          <w:color w:val="000000"/>
          <w:sz w:val="28"/>
          <w:szCs w:val="28"/>
          <w:highlight w:val="none"/>
          <w:lang w:val="en-US" w:eastAsia="zh-CN"/>
        </w:rPr>
        <w:t>乙方</w:t>
      </w:r>
      <w:r>
        <w:rPr>
          <w:rFonts w:hint="eastAsia" w:ascii="Times New Roman" w:hAnsi="Times New Roman" w:eastAsia="方正仿宋_GBK" w:cs="Times New Roman"/>
          <w:color w:val="000000"/>
          <w:sz w:val="28"/>
          <w:szCs w:val="28"/>
          <w:highlight w:val="none"/>
          <w:lang w:eastAsia="zh-CN"/>
        </w:rPr>
        <w:t>无违约欠款或其他应付未付款项后，</w:t>
      </w:r>
      <w:r>
        <w:rPr>
          <w:rFonts w:hint="eastAsia" w:ascii="Times New Roman" w:hAnsi="Times New Roman" w:eastAsia="方正仿宋_GBK" w:cs="Times New Roman"/>
          <w:color w:val="000000"/>
          <w:sz w:val="28"/>
          <w:szCs w:val="28"/>
          <w:highlight w:val="none"/>
          <w:lang w:val="en-US" w:eastAsia="zh-CN"/>
        </w:rPr>
        <w:t>甲方</w:t>
      </w:r>
      <w:r>
        <w:rPr>
          <w:rFonts w:hint="eastAsia" w:ascii="Times New Roman" w:hAnsi="Times New Roman" w:eastAsia="方正仿宋_GBK" w:cs="Times New Roman"/>
          <w:color w:val="000000"/>
          <w:sz w:val="28"/>
          <w:szCs w:val="28"/>
          <w:highlight w:val="none"/>
          <w:lang w:eastAsia="zh-CN"/>
        </w:rPr>
        <w:t>收到</w:t>
      </w:r>
      <w:r>
        <w:rPr>
          <w:rFonts w:hint="eastAsia" w:ascii="Times New Roman" w:hAnsi="Times New Roman" w:eastAsia="方正仿宋_GBK" w:cs="Times New Roman"/>
          <w:color w:val="000000"/>
          <w:sz w:val="28"/>
          <w:szCs w:val="28"/>
          <w:highlight w:val="none"/>
          <w:lang w:val="en-US" w:eastAsia="zh-CN"/>
        </w:rPr>
        <w:t>乙方</w:t>
      </w:r>
      <w:r>
        <w:rPr>
          <w:rFonts w:hint="eastAsia" w:ascii="Times New Roman" w:hAnsi="Times New Roman" w:eastAsia="方正仿宋_GBK" w:cs="Times New Roman"/>
          <w:color w:val="000000"/>
          <w:sz w:val="28"/>
          <w:szCs w:val="28"/>
          <w:highlight w:val="none"/>
          <w:lang w:eastAsia="zh-CN"/>
        </w:rPr>
        <w:t>的履约保证金缴纳收据原件后15个工作日内无息退还；</w:t>
      </w:r>
      <w:r>
        <w:rPr>
          <w:rFonts w:hint="eastAsia" w:ascii="Times New Roman" w:hAnsi="Times New Roman" w:eastAsia="方正仿宋_GBK" w:cs="Times New Roman"/>
          <w:color w:val="000000"/>
          <w:sz w:val="28"/>
          <w:szCs w:val="28"/>
          <w:highlight w:val="none"/>
          <w:lang w:val="en-US" w:eastAsia="zh-CN"/>
        </w:rPr>
        <w:t>乙方在服务过程中因违约产生违约金或给甲方造成损失的，甲方有权从履约保证金中扣除违约金及损失赔偿金，履约保证金不足以扣除的，乙方应按照甲方书面通知规定的时间及金额即时给付甲方。同时，乙方须于甲方发出通知之日起7天内一次性补足履约保证金，乙方逾期补足的，每逾期一日，乙方以逾期未补足金额0.5‰的标准向甲方支付滞纳金</w:t>
      </w: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w:t>
      </w:r>
    </w:p>
    <w:p>
      <w:pPr>
        <w:adjustRightInd w:val="0"/>
        <w:spacing w:line="600" w:lineRule="exact"/>
        <w:jc w:val="center"/>
        <w:rPr>
          <w:rFonts w:hint="default" w:ascii="Times New Roman" w:hAnsi="Times New Roman" w:eastAsia="方正仿宋_GBK" w:cs="Times New Roman"/>
          <w:b/>
          <w:color w:val="000000"/>
          <w:kern w:val="0"/>
          <w:sz w:val="28"/>
          <w:szCs w:val="28"/>
          <w:highlight w:val="none"/>
        </w:rPr>
      </w:pPr>
      <w:r>
        <w:rPr>
          <w:rFonts w:hint="default" w:ascii="Times New Roman" w:hAnsi="Times New Roman" w:eastAsia="方正仿宋_GBK" w:cs="Times New Roman"/>
          <w:b/>
          <w:color w:val="000000"/>
          <w:kern w:val="0"/>
          <w:sz w:val="28"/>
          <w:szCs w:val="28"/>
          <w:highlight w:val="none"/>
        </w:rPr>
        <w:t>第九条  反商业贿赂</w:t>
      </w:r>
    </w:p>
    <w:p>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（一）基本定义</w:t>
      </w:r>
    </w:p>
    <w:p>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1.本条（协议）所指的商业贿赂是指：乙方为获取与甲方（含甲方关联公司及机构，下文中“甲方”均指此范围）的合作及合作的利益，乙方或乙方工作人员给予甲方工作人员或其指定关系人的相关直接或间接的不正当利益。</w:t>
      </w:r>
    </w:p>
    <w:p>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2.其中不正当利益是指：乙方或乙方工作人员以乙方或个人名义向甲方工作人员或其指定关系人直接或间接赠送礼金、物品、有价证券或采取其他变相手段提供不正当利益，包括但不限于：1）促销费、宣传费、赞助费、科研费、劳务费、咨询费、佣金或报销各种费用、含有金额的会员卡、代币卡（</w:t>
      </w:r>
      <w:r>
        <w:rPr>
          <w:rFonts w:hint="eastAsia" w:ascii="Times New Roman" w:hAnsi="Times New Roman" w:eastAsia="方正仿宋_GBK" w:cs="Times New Roman"/>
          <w:color w:val="000000"/>
          <w:sz w:val="28"/>
          <w:szCs w:val="28"/>
          <w:highlight w:val="none"/>
          <w:lang w:eastAsia="zh-CN"/>
        </w:rPr>
        <w:t>券</w:t>
      </w:r>
      <w:r>
        <w:rPr>
          <w:rFonts w:hint="default" w:ascii="Times New Roman" w:hAnsi="Times New Roman" w:eastAsia="方正仿宋_GBK" w:cs="Times New Roman"/>
          <w:color w:val="000000"/>
          <w:sz w:val="28"/>
          <w:szCs w:val="28"/>
          <w:highlight w:val="none"/>
        </w:rPr>
        <w:t>）、旅游、考察、房屋装修等；2</w:t>
      </w: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借款、融资担保、商品赊销、回扣、购物折扣、置业、礼品（如纪念品、节日礼品等）、馈赠、娱乐、招待等；3）提供或介绍就业、就学、参股或参与经营机会等；4）通过分包、转包等形式对甲方工作人员或其指定关系人进行利益输送。</w:t>
      </w:r>
    </w:p>
    <w:p>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（二）协助义务与违约责任</w:t>
      </w:r>
    </w:p>
    <w:p>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1.乙方理解并同意，甲方任何工作人员、部门不得以任何名义向乙方或乙方工作人员索取或收受商业贿赂；乙方或乙方工作人员不得以任何名义向甲方工作人员或其指定关系人进行商业贿赂。</w:t>
      </w:r>
    </w:p>
    <w:p>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2.乙方理解并同意，如违反约定向甲方工作人员或其指定关系人提供商业贿赂的，将构成乙方根本违约，无论是否造成损害结果，甲方有权采取下列一项或多项措施：1）立即解除双方签订的合作协议，终止合作；2）冻结应付款项等直至甲方相关案件调查结束，且无需承担任何违约责任；3）要求乙方向甲方支付</w:t>
      </w:r>
      <w:r>
        <w:rPr>
          <w:rFonts w:hint="default" w:ascii="Times New Roman" w:hAnsi="Times New Roman" w:eastAsia="方正仿宋_GBK" w:cs="Times New Roman"/>
          <w:color w:val="000000"/>
          <w:sz w:val="28"/>
          <w:szCs w:val="28"/>
          <w:highlight w:val="none"/>
          <w:u w:val="single"/>
        </w:rPr>
        <w:t>5万元</w:t>
      </w:r>
      <w:r>
        <w:rPr>
          <w:rFonts w:hint="default" w:ascii="Times New Roman" w:hAnsi="Times New Roman" w:eastAsia="方正仿宋_GBK" w:cs="Times New Roman"/>
          <w:color w:val="000000"/>
          <w:sz w:val="28"/>
          <w:szCs w:val="28"/>
          <w:highlight w:val="none"/>
        </w:rPr>
        <w:t>违约金或者支付所涉合同金额的</w:t>
      </w:r>
      <w:r>
        <w:rPr>
          <w:rFonts w:hint="default" w:ascii="Times New Roman" w:hAnsi="Times New Roman" w:eastAsia="方正仿宋_GBK" w:cs="Times New Roman"/>
          <w:color w:val="000000"/>
          <w:sz w:val="28"/>
          <w:szCs w:val="28"/>
          <w:highlight w:val="none"/>
          <w:u w:val="single"/>
        </w:rPr>
        <w:t>20%</w:t>
      </w:r>
      <w:r>
        <w:rPr>
          <w:rFonts w:hint="default" w:ascii="Times New Roman" w:hAnsi="Times New Roman" w:eastAsia="方正仿宋_GBK" w:cs="Times New Roman"/>
          <w:color w:val="000000"/>
          <w:sz w:val="28"/>
          <w:szCs w:val="28"/>
          <w:highlight w:val="none"/>
        </w:rPr>
        <w:t>作为违约金，以两者中较高者为准。同时，乙方应于甲方发现违约行为之日起5个工作日内支付违约金，如未及时支付，甲方有权从合同款项中直接扣除。</w:t>
      </w:r>
    </w:p>
    <w:p>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3.对于乙方，无论是主动还是被动向甲方工作人员或其指定关系人提供商业贿赂的，如果主动向甲方进行投诉举报、提供有效证据或信息、协助甲方追究相关人员责任并挽回经济损失的，甲方将根据实际情形进行考量给予乙方继续合作的机会和/或减免上述违约责任，对于上述情形的处理甲方有完全的判断权和自主权。</w:t>
      </w:r>
    </w:p>
    <w:p>
      <w:pPr>
        <w:adjustRightInd w:val="0"/>
        <w:spacing w:line="600" w:lineRule="exact"/>
        <w:jc w:val="center"/>
        <w:rPr>
          <w:rFonts w:hint="default" w:ascii="Times New Roman" w:hAnsi="Times New Roman" w:eastAsia="方正仿宋_GBK" w:cs="Times New Roman"/>
          <w:b/>
          <w:color w:val="000000"/>
          <w:sz w:val="28"/>
          <w:szCs w:val="28"/>
          <w:highlight w:val="none"/>
        </w:rPr>
      </w:pPr>
      <w:r>
        <w:rPr>
          <w:rFonts w:hint="default" w:ascii="Times New Roman" w:hAnsi="Times New Roman" w:eastAsia="方正仿宋_GBK" w:cs="Times New Roman"/>
          <w:b/>
          <w:color w:val="000000"/>
          <w:kern w:val="0"/>
          <w:sz w:val="28"/>
          <w:szCs w:val="28"/>
          <w:highlight w:val="none"/>
        </w:rPr>
        <w:t>第十条  争议解决</w:t>
      </w:r>
    </w:p>
    <w:p>
      <w:pPr>
        <w:spacing w:line="600" w:lineRule="exact"/>
        <w:ind w:firstLine="560" w:firstLineChars="200"/>
        <w:jc w:val="left"/>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双方在履行合同中产生争议，应协商解决，协</w:t>
      </w:r>
      <w:r>
        <w:rPr>
          <w:rFonts w:hint="default" w:ascii="Times New Roman" w:hAnsi="Times New Roman" w:eastAsia="方正仿宋_GBK" w:cs="Times New Roman"/>
          <w:color w:val="000000"/>
          <w:kern w:val="0"/>
          <w:sz w:val="28"/>
          <w:szCs w:val="28"/>
          <w:highlight w:val="none"/>
        </w:rPr>
        <w:drawing>
          <wp:anchor distT="0" distB="0" distL="114300" distR="114300" simplePos="0" relativeHeight="251663360" behindDoc="0" locked="0" layoutInCell="1" allowOverlap="0">
            <wp:simplePos x="0" y="0"/>
            <wp:positionH relativeFrom="page">
              <wp:posOffset>347345</wp:posOffset>
            </wp:positionH>
            <wp:positionV relativeFrom="page">
              <wp:posOffset>3279140</wp:posOffset>
            </wp:positionV>
            <wp:extent cx="8890" cy="4445"/>
            <wp:effectExtent l="0" t="0" r="0" b="0"/>
            <wp:wrapSquare wrapText="bothSides"/>
            <wp:docPr id="3" name="Picture 15577"/>
            <wp:cNvGraphicFramePr/>
            <a:graphic xmlns:a="http://schemas.openxmlformats.org/drawingml/2006/main">
              <a:graphicData uri="http://schemas.openxmlformats.org/drawingml/2006/picture">
                <pic:pic xmlns:pic="http://schemas.openxmlformats.org/drawingml/2006/picture">
                  <pic:nvPicPr>
                    <pic:cNvPr id="3" name="Picture 15577"/>
                    <pic:cNvPicPr/>
                  </pic:nvPicPr>
                  <pic:blipFill>
                    <a:blip r:embed="rId19"/>
                    <a:stretch>
                      <a:fillRect/>
                    </a:stretch>
                  </pic:blipFill>
                  <pic:spPr>
                    <a:xfrm>
                      <a:off x="0" y="0"/>
                      <a:ext cx="8890" cy="4445"/>
                    </a:xfrm>
                    <a:prstGeom prst="rect">
                      <a:avLst/>
                    </a:prstGeom>
                    <a:noFill/>
                    <a:ln>
                      <a:noFill/>
                    </a:ln>
                  </pic:spPr>
                </pic:pic>
              </a:graphicData>
            </a:graphic>
          </wp:anchor>
        </w:drawing>
      </w:r>
      <w:r>
        <w:rPr>
          <w:rFonts w:hint="default" w:ascii="Times New Roman" w:hAnsi="Times New Roman" w:eastAsia="方正仿宋_GBK" w:cs="Times New Roman"/>
          <w:color w:val="000000"/>
          <w:kern w:val="0"/>
          <w:sz w:val="28"/>
          <w:szCs w:val="28"/>
          <w:highlight w:val="none"/>
        </w:rPr>
        <w:t>商不能达成一致时，应向甲方所在地人民法院提起诉讼。因维权产生的律师费、调查费、公告催告费、诉讼费、保全费、执行费、差旅费、保全担保费等维权费用均由违约方承担。甲乙双方确认双方的工作联系往来文件、发生争议时人民法院送达法律文书除直接送达外，均可按照如下地址及方式送</w:t>
      </w:r>
      <w:r>
        <w:rPr>
          <w:rFonts w:hint="eastAsia" w:ascii="Times New Roman" w:hAnsi="Times New Roman" w:eastAsia="方正仿宋_GBK" w:cs="Times New Roman"/>
          <w:color w:val="000000"/>
          <w:kern w:val="0"/>
          <w:sz w:val="28"/>
          <w:szCs w:val="28"/>
          <w:highlight w:val="none"/>
          <w:lang w:eastAsia="zh-CN"/>
        </w:rPr>
        <w:t>达</w:t>
      </w:r>
      <w:r>
        <w:rPr>
          <w:rFonts w:hint="default" w:ascii="Times New Roman" w:hAnsi="Times New Roman" w:eastAsia="方正仿宋_GBK" w:cs="Times New Roman"/>
          <w:color w:val="000000"/>
          <w:kern w:val="0"/>
          <w:sz w:val="28"/>
          <w:szCs w:val="28"/>
          <w:highlight w:val="none"/>
        </w:rPr>
        <w:t>：</w:t>
      </w:r>
    </w:p>
    <w:p>
      <w:pPr>
        <w:spacing w:line="600" w:lineRule="exact"/>
        <w:ind w:firstLine="562" w:firstLineChars="200"/>
        <w:jc w:val="left"/>
        <w:rPr>
          <w:rFonts w:hint="default" w:ascii="Times New Roman" w:hAnsi="Times New Roman" w:eastAsia="方正仿宋_GBK" w:cs="Times New Roman"/>
          <w:b/>
          <w:bCs/>
          <w:color w:val="000000"/>
          <w:kern w:val="0"/>
          <w:sz w:val="28"/>
          <w:szCs w:val="28"/>
          <w:highlight w:val="none"/>
        </w:rPr>
      </w:pPr>
      <w:r>
        <w:rPr>
          <w:rFonts w:hint="default" w:ascii="Times New Roman" w:hAnsi="Times New Roman" w:eastAsia="方正仿宋_GBK" w:cs="Times New Roman"/>
          <w:b/>
          <w:bCs/>
          <w:color w:val="000000"/>
          <w:kern w:val="0"/>
          <w:sz w:val="28"/>
          <w:szCs w:val="28"/>
          <w:highlight w:val="none"/>
        </w:rPr>
        <w:t>甲方</w:t>
      </w:r>
    </w:p>
    <w:p>
      <w:pPr>
        <w:spacing w:line="600" w:lineRule="exact"/>
        <w:ind w:firstLine="560" w:firstLineChars="200"/>
        <w:jc w:val="left"/>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联系人</w:t>
      </w:r>
      <w:r>
        <w:rPr>
          <w:rFonts w:hint="eastAsia" w:ascii="Times New Roman" w:hAnsi="Times New Roman" w:eastAsia="方正仿宋_GBK" w:cs="Times New Roman"/>
          <w:color w:val="000000"/>
          <w:kern w:val="0"/>
          <w:sz w:val="28"/>
          <w:szCs w:val="28"/>
          <w:highlight w:val="none"/>
          <w:lang w:eastAsia="zh-CN"/>
        </w:rPr>
        <w:t>：</w:t>
      </w:r>
    </w:p>
    <w:p>
      <w:pPr>
        <w:spacing w:line="600" w:lineRule="exact"/>
        <w:ind w:firstLine="560" w:firstLineChars="200"/>
        <w:jc w:val="left"/>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联系电话：</w:t>
      </w:r>
    </w:p>
    <w:p>
      <w:pPr>
        <w:spacing w:line="600" w:lineRule="exact"/>
        <w:ind w:firstLine="560" w:firstLineChars="200"/>
        <w:jc w:val="left"/>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联系地址：</w:t>
      </w:r>
    </w:p>
    <w:p>
      <w:pPr>
        <w:spacing w:line="600" w:lineRule="exact"/>
        <w:ind w:firstLine="562" w:firstLineChars="200"/>
        <w:jc w:val="left"/>
        <w:rPr>
          <w:rFonts w:hint="default" w:ascii="Times New Roman" w:hAnsi="Times New Roman" w:eastAsia="方正仿宋_GBK" w:cs="Times New Roman"/>
          <w:b/>
          <w:bCs/>
          <w:color w:val="000000"/>
          <w:kern w:val="0"/>
          <w:sz w:val="28"/>
          <w:szCs w:val="28"/>
          <w:highlight w:val="none"/>
        </w:rPr>
      </w:pPr>
      <w:r>
        <w:rPr>
          <w:rFonts w:hint="default" w:ascii="Times New Roman" w:hAnsi="Times New Roman" w:eastAsia="方正仿宋_GBK" w:cs="Times New Roman"/>
          <w:b/>
          <w:bCs/>
          <w:color w:val="000000"/>
          <w:kern w:val="0"/>
          <w:sz w:val="28"/>
          <w:szCs w:val="28"/>
          <w:highlight w:val="none"/>
        </w:rPr>
        <w:t>乙方</w:t>
      </w:r>
    </w:p>
    <w:p>
      <w:pPr>
        <w:spacing w:line="600" w:lineRule="exact"/>
        <w:ind w:firstLine="560" w:firstLineChars="200"/>
        <w:jc w:val="left"/>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联系人：</w:t>
      </w:r>
    </w:p>
    <w:p>
      <w:pPr>
        <w:spacing w:line="600" w:lineRule="exact"/>
        <w:ind w:firstLine="560" w:firstLineChars="200"/>
        <w:jc w:val="left"/>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联系电话：</w:t>
      </w:r>
    </w:p>
    <w:p>
      <w:pPr>
        <w:spacing w:line="600" w:lineRule="exact"/>
        <w:ind w:firstLine="560" w:firstLineChars="200"/>
        <w:jc w:val="left"/>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联系地址：</w:t>
      </w:r>
    </w:p>
    <w:p>
      <w:pPr>
        <w:spacing w:line="600" w:lineRule="exact"/>
        <w:ind w:firstLine="560" w:firstLineChars="200"/>
        <w:jc w:val="left"/>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按照</w:t>
      </w:r>
      <w:r>
        <w:rPr>
          <w:rFonts w:hint="default" w:ascii="Times New Roman" w:hAnsi="Times New Roman" w:eastAsia="方正仿宋_GBK" w:cs="Times New Roman"/>
          <w:color w:val="000000"/>
          <w:kern w:val="0"/>
          <w:sz w:val="28"/>
          <w:szCs w:val="28"/>
          <w:highlight w:val="none"/>
          <w:lang w:val="en-US" w:eastAsia="zh-CN"/>
        </w:rPr>
        <w:t>该</w:t>
      </w:r>
      <w:r>
        <w:rPr>
          <w:rFonts w:hint="default" w:ascii="Times New Roman" w:hAnsi="Times New Roman" w:eastAsia="方正仿宋_GBK" w:cs="Times New Roman"/>
          <w:color w:val="000000"/>
          <w:kern w:val="0"/>
          <w:sz w:val="28"/>
          <w:szCs w:val="28"/>
          <w:highlight w:val="none"/>
        </w:rPr>
        <w:t>地址送达的，视为当事人签收；受送达人拒收的，不影响送达效力。一方变更地址的应当提前三日书面通知对方，否则按照前述地址送达的视为有效送达。</w:t>
      </w:r>
    </w:p>
    <w:p>
      <w:pPr>
        <w:adjustRightInd w:val="0"/>
        <w:spacing w:line="600" w:lineRule="exact"/>
        <w:jc w:val="center"/>
        <w:rPr>
          <w:rFonts w:hint="default" w:ascii="Times New Roman" w:hAnsi="Times New Roman" w:eastAsia="方正仿宋_GBK" w:cs="Times New Roman"/>
          <w:b/>
          <w:color w:val="000000"/>
          <w:kern w:val="0"/>
          <w:sz w:val="28"/>
          <w:szCs w:val="28"/>
          <w:highlight w:val="none"/>
        </w:rPr>
      </w:pPr>
      <w:r>
        <w:rPr>
          <w:rFonts w:hint="default" w:ascii="Times New Roman" w:hAnsi="Times New Roman" w:eastAsia="方正仿宋_GBK" w:cs="Times New Roman"/>
          <w:b/>
          <w:color w:val="000000"/>
          <w:kern w:val="0"/>
          <w:sz w:val="28"/>
          <w:szCs w:val="28"/>
          <w:highlight w:val="none"/>
        </w:rPr>
        <w:t>第十一条  合同的生效、解除与终止</w:t>
      </w:r>
    </w:p>
    <w:p>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（一）合同甲、乙双方法定代表人或其授权委托人签字并加盖单位公章后合同生效，合同期满后，合同自动失效。</w:t>
      </w:r>
    </w:p>
    <w:p>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（二）本合同有效期到期前三十天，甲、乙双方可以商定合同的延续或终止事宜。</w:t>
      </w:r>
    </w:p>
    <w:p>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（三）合同期内甲方对乙方的供配电维保工作每月进行一次全面评估，若评估的结果为乙方连续2次出现或合同期内累积出现3次月考核分低于80分，甲方有权解除本合同</w:t>
      </w:r>
      <w:r>
        <w:rPr>
          <w:rFonts w:hint="default" w:ascii="Times New Roman" w:hAnsi="Times New Roman" w:eastAsia="方正仿宋_GBK" w:cs="Times New Roman"/>
          <w:color w:val="000000"/>
          <w:sz w:val="28"/>
          <w:szCs w:val="28"/>
          <w:highlight w:val="none"/>
          <w:lang w:eastAsia="zh-TW"/>
        </w:rPr>
        <w:t>而不必</w:t>
      </w:r>
      <w:r>
        <w:rPr>
          <w:rFonts w:hint="eastAsia" w:ascii="Times New Roman" w:hAnsi="Times New Roman" w:eastAsia="方正仿宋_GBK" w:cs="Times New Roman"/>
          <w:color w:val="000000"/>
          <w:sz w:val="28"/>
          <w:szCs w:val="28"/>
          <w:highlight w:val="none"/>
          <w:lang w:eastAsia="zh-CN"/>
        </w:rPr>
        <w:t>做任何赔偿</w:t>
      </w:r>
      <w:r>
        <w:rPr>
          <w:rFonts w:hint="default" w:ascii="Times New Roman" w:hAnsi="Times New Roman" w:eastAsia="方正仿宋_GBK" w:cs="Times New Roman"/>
          <w:color w:val="000000"/>
          <w:sz w:val="28"/>
          <w:szCs w:val="28"/>
          <w:highlight w:val="none"/>
        </w:rPr>
        <w:t>。</w:t>
      </w:r>
    </w:p>
    <w:p>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（四）合同期满后，甲、乙双方协商移交事项，确认</w:t>
      </w:r>
      <w:r>
        <w:rPr>
          <w:rFonts w:hint="eastAsia" w:ascii="Times New Roman" w:hAnsi="Times New Roman" w:eastAsia="方正仿宋_GBK" w:cs="Times New Roman"/>
          <w:color w:val="000000"/>
          <w:sz w:val="28"/>
          <w:szCs w:val="28"/>
          <w:highlight w:val="none"/>
          <w:lang w:eastAsia="zh-CN"/>
        </w:rPr>
        <w:t>所有</w:t>
      </w:r>
      <w:r>
        <w:rPr>
          <w:rFonts w:hint="default" w:ascii="Times New Roman" w:hAnsi="Times New Roman" w:eastAsia="方正仿宋_GBK" w:cs="Times New Roman"/>
          <w:color w:val="000000"/>
          <w:sz w:val="28"/>
          <w:szCs w:val="28"/>
          <w:highlight w:val="none"/>
        </w:rPr>
        <w:t>保养系统正常运行后，甲方书面确认合同履行完毕并于1个月内结清所有余款。</w:t>
      </w:r>
    </w:p>
    <w:p>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（五）本合同未尽事宜，按《中华人民共和国民法典》有关规定办理。</w:t>
      </w:r>
    </w:p>
    <w:p>
      <w:pPr>
        <w:adjustRightInd w:val="0"/>
        <w:spacing w:line="600" w:lineRule="exact"/>
        <w:jc w:val="center"/>
        <w:rPr>
          <w:rFonts w:hint="default" w:ascii="Times New Roman" w:hAnsi="Times New Roman" w:eastAsia="方正仿宋_GBK" w:cs="Times New Roman"/>
          <w:b/>
          <w:color w:val="000000"/>
          <w:kern w:val="0"/>
          <w:sz w:val="28"/>
          <w:szCs w:val="28"/>
          <w:highlight w:val="none"/>
        </w:rPr>
      </w:pPr>
      <w:r>
        <w:rPr>
          <w:rFonts w:hint="default" w:ascii="Times New Roman" w:hAnsi="Times New Roman" w:eastAsia="方正仿宋_GBK" w:cs="Times New Roman"/>
          <w:b/>
          <w:color w:val="000000"/>
          <w:kern w:val="0"/>
          <w:sz w:val="28"/>
          <w:szCs w:val="28"/>
          <w:highlight w:val="none"/>
        </w:rPr>
        <w:t>第十二条  不可抗力</w:t>
      </w:r>
    </w:p>
    <w:p>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（一）不可抗力条件</w:t>
      </w:r>
    </w:p>
    <w:p>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是指签约双方中的一方由于战争及严重的火灾、水灾、台风、地震等不可抗力事件影响合同的执行。</w:t>
      </w:r>
    </w:p>
    <w:p>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（二）不可抗力的处理办法</w:t>
      </w:r>
    </w:p>
    <w:p>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lang w:eastAsia="zh-CN"/>
        </w:rPr>
      </w:pPr>
      <w:r>
        <w:rPr>
          <w:rFonts w:hint="default" w:ascii="Times New Roman" w:hAnsi="Times New Roman" w:eastAsia="方正仿宋_GBK" w:cs="Times New Roman"/>
          <w:color w:val="000000"/>
          <w:sz w:val="28"/>
          <w:szCs w:val="28"/>
          <w:highlight w:val="none"/>
        </w:rPr>
        <w:t>1.受事件影响的一方应尽快将所发生的不可抗力事件的情况以电传或传真通知另一方，并在14日内以特快专递将有关当局出具的证明文件提交给另一方审阅确认</w:t>
      </w:r>
      <w:r>
        <w:rPr>
          <w:rFonts w:hint="default" w:ascii="Times New Roman" w:hAnsi="Times New Roman" w:eastAsia="方正仿宋_GBK" w:cs="Times New Roman"/>
          <w:color w:val="000000"/>
          <w:sz w:val="28"/>
          <w:szCs w:val="28"/>
          <w:highlight w:val="none"/>
          <w:lang w:eastAsia="zh-CN"/>
        </w:rPr>
        <w:t>。</w:t>
      </w:r>
    </w:p>
    <w:p>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lang w:eastAsia="zh-CN"/>
        </w:rPr>
      </w:pPr>
      <w:r>
        <w:rPr>
          <w:rFonts w:hint="default" w:ascii="Times New Roman" w:hAnsi="Times New Roman" w:eastAsia="方正仿宋_GBK" w:cs="Times New Roman"/>
          <w:color w:val="000000"/>
          <w:sz w:val="28"/>
          <w:szCs w:val="28"/>
          <w:highlight w:val="none"/>
        </w:rPr>
        <w:t>2.如不可抗力事件延续到20日以上时，双方应通过友好协商解决合同继续履行的问题</w:t>
      </w:r>
      <w:r>
        <w:rPr>
          <w:rFonts w:hint="default" w:ascii="Times New Roman" w:hAnsi="Times New Roman" w:eastAsia="方正仿宋_GBK" w:cs="Times New Roman"/>
          <w:color w:val="000000"/>
          <w:sz w:val="28"/>
          <w:szCs w:val="28"/>
          <w:highlight w:val="none"/>
          <w:lang w:eastAsia="zh-CN"/>
        </w:rPr>
        <w:t>。</w:t>
      </w:r>
    </w:p>
    <w:p>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lang w:eastAsia="zh-CN"/>
        </w:rPr>
      </w:pPr>
      <w:r>
        <w:rPr>
          <w:rFonts w:hint="default" w:ascii="Times New Roman" w:hAnsi="Times New Roman" w:eastAsia="方正仿宋_GBK" w:cs="Times New Roman"/>
          <w:color w:val="000000"/>
          <w:sz w:val="28"/>
          <w:szCs w:val="28"/>
          <w:highlight w:val="none"/>
        </w:rPr>
        <w:t>3.发生事件的一方应采取一切合理措施以减少由于不可抗力所导致的拖期</w:t>
      </w:r>
      <w:r>
        <w:rPr>
          <w:rFonts w:hint="default" w:ascii="Times New Roman" w:hAnsi="Times New Roman" w:eastAsia="方正仿宋_GBK" w:cs="Times New Roman"/>
          <w:color w:val="000000"/>
          <w:sz w:val="28"/>
          <w:szCs w:val="28"/>
          <w:highlight w:val="none"/>
          <w:lang w:eastAsia="zh-CN"/>
        </w:rPr>
        <w:t>。</w:t>
      </w:r>
    </w:p>
    <w:p>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lang w:eastAsia="zh-CN"/>
        </w:rPr>
      </w:pPr>
      <w:r>
        <w:rPr>
          <w:rFonts w:hint="default" w:ascii="Times New Roman" w:hAnsi="Times New Roman" w:eastAsia="方正仿宋_GBK" w:cs="Times New Roman"/>
          <w:color w:val="000000"/>
          <w:sz w:val="28"/>
          <w:szCs w:val="28"/>
          <w:highlight w:val="none"/>
        </w:rPr>
        <w:t>4.当不可抗力事件消除后，受事件影响的一方应尽快以电传或传真通知另一方，并以特快专递证实</w:t>
      </w:r>
      <w:r>
        <w:rPr>
          <w:rFonts w:hint="default" w:ascii="Times New Roman" w:hAnsi="Times New Roman" w:eastAsia="方正仿宋_GBK" w:cs="Times New Roman"/>
          <w:color w:val="000000"/>
          <w:sz w:val="28"/>
          <w:szCs w:val="28"/>
          <w:highlight w:val="none"/>
          <w:lang w:eastAsia="zh-CN"/>
        </w:rPr>
        <w:t>。</w:t>
      </w:r>
    </w:p>
    <w:p>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5.当事人迟延履行后再次发生不可抗力的，不能免除责任。</w:t>
      </w:r>
    </w:p>
    <w:p>
      <w:pPr>
        <w:adjustRightInd w:val="0"/>
        <w:spacing w:line="600" w:lineRule="exact"/>
        <w:jc w:val="center"/>
        <w:rPr>
          <w:rFonts w:hint="default" w:ascii="Times New Roman" w:hAnsi="Times New Roman" w:eastAsia="方正仿宋_GBK" w:cs="Times New Roman"/>
          <w:b/>
          <w:color w:val="000000"/>
          <w:kern w:val="0"/>
          <w:sz w:val="28"/>
          <w:szCs w:val="28"/>
          <w:highlight w:val="none"/>
        </w:rPr>
      </w:pPr>
      <w:r>
        <w:rPr>
          <w:rFonts w:hint="default" w:ascii="Times New Roman" w:hAnsi="Times New Roman" w:eastAsia="方正仿宋_GBK" w:cs="Times New Roman"/>
          <w:b/>
          <w:color w:val="000000"/>
          <w:kern w:val="0"/>
          <w:sz w:val="28"/>
          <w:szCs w:val="28"/>
          <w:highlight w:val="none"/>
        </w:rPr>
        <w:t>第十</w:t>
      </w:r>
      <w:r>
        <w:rPr>
          <w:rFonts w:hint="default" w:ascii="Times New Roman" w:hAnsi="Times New Roman" w:eastAsia="方正仿宋_GBK" w:cs="Times New Roman"/>
          <w:b/>
          <w:color w:val="000000"/>
          <w:kern w:val="0"/>
          <w:sz w:val="28"/>
          <w:szCs w:val="28"/>
          <w:highlight w:val="none"/>
          <w:lang w:val="en-US" w:eastAsia="zh-CN"/>
        </w:rPr>
        <w:t>三</w:t>
      </w:r>
      <w:r>
        <w:rPr>
          <w:rFonts w:hint="default" w:ascii="Times New Roman" w:hAnsi="Times New Roman" w:eastAsia="方正仿宋_GBK" w:cs="Times New Roman"/>
          <w:b/>
          <w:color w:val="000000"/>
          <w:kern w:val="0"/>
          <w:sz w:val="28"/>
          <w:szCs w:val="28"/>
          <w:highlight w:val="none"/>
        </w:rPr>
        <w:t xml:space="preserve">条  附件及附件效力 </w:t>
      </w:r>
    </w:p>
    <w:p>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 xml:space="preserve">（一）附件与合同具有同等的法律效力。但条款有冲突时，以本合同为准。本合同附件包括但不限于： </w:t>
      </w:r>
    </w:p>
    <w:p>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附件一</w:t>
      </w: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 xml:space="preserve"> 《供配电维保工作考核标准》</w:t>
      </w:r>
    </w:p>
    <w:p>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附件二</w:t>
      </w: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 xml:space="preserve"> 《免费维修、更换材料清单》</w:t>
      </w:r>
    </w:p>
    <w:p>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附件三</w:t>
      </w:r>
      <w:r>
        <w:rPr>
          <w:rFonts w:hint="eastAsia" w:ascii="Times New Roman" w:hAnsi="Times New Roman" w:eastAsia="方正仿宋_GBK" w:cs="Times New Roman"/>
          <w:color w:val="000000"/>
          <w:sz w:val="28"/>
          <w:szCs w:val="28"/>
          <w:highlight w:val="none"/>
          <w:lang w:eastAsia="zh-CN"/>
        </w:rPr>
        <w:t>：</w:t>
      </w:r>
      <w:r>
        <w:rPr>
          <w:rFonts w:hint="default" w:ascii="Times New Roman" w:hAnsi="Times New Roman" w:eastAsia="方正仿宋_GBK" w:cs="Times New Roman"/>
          <w:color w:val="000000"/>
          <w:sz w:val="28"/>
          <w:szCs w:val="28"/>
          <w:highlight w:val="none"/>
        </w:rPr>
        <w:t xml:space="preserve"> 《外委单位安全管理协议》</w:t>
      </w:r>
    </w:p>
    <w:p>
      <w:pPr>
        <w:pStyle w:val="19"/>
        <w:spacing w:before="0" w:beforeAutospacing="0" w:after="0" w:afterAutospacing="0" w:line="600" w:lineRule="exact"/>
        <w:ind w:firstLine="560" w:firstLineChars="200"/>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附件四：乙方营业执照及资质证明</w:t>
      </w:r>
    </w:p>
    <w:p>
      <w:pPr>
        <w:pStyle w:val="19"/>
        <w:spacing w:before="0" w:beforeAutospacing="0" w:after="0" w:afterAutospacing="0" w:line="600" w:lineRule="exact"/>
        <w:ind w:firstLine="560" w:firstLineChars="200"/>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附件五：拟指派工作人员信息及资质证明</w:t>
      </w:r>
    </w:p>
    <w:p>
      <w:pPr>
        <w:pStyle w:val="19"/>
        <w:spacing w:before="0" w:beforeAutospacing="0" w:after="0" w:afterAutospacing="0" w:line="600" w:lineRule="exact"/>
        <w:ind w:firstLine="560" w:firstLineChars="200"/>
        <w:rPr>
          <w:rFonts w:hint="default" w:ascii="Times New Roman" w:hAnsi="Times New Roman" w:eastAsia="方正仿宋_GBK" w:cs="Times New Roman"/>
          <w:color w:val="000000"/>
          <w:sz w:val="28"/>
          <w:szCs w:val="28"/>
          <w:highlight w:val="none"/>
        </w:rPr>
      </w:pPr>
    </w:p>
    <w:p>
      <w:pPr>
        <w:adjustRightInd w:val="0"/>
        <w:spacing w:line="600" w:lineRule="exact"/>
        <w:jc w:val="center"/>
        <w:rPr>
          <w:rFonts w:hint="default" w:ascii="Times New Roman" w:hAnsi="Times New Roman" w:eastAsia="方正仿宋_GBK" w:cs="Times New Roman"/>
          <w:b/>
          <w:color w:val="000000"/>
          <w:kern w:val="0"/>
          <w:sz w:val="28"/>
          <w:szCs w:val="28"/>
          <w:highlight w:val="none"/>
        </w:rPr>
      </w:pPr>
      <w:r>
        <w:rPr>
          <w:rFonts w:hint="default" w:ascii="Times New Roman" w:hAnsi="Times New Roman" w:eastAsia="方正仿宋_GBK" w:cs="Times New Roman"/>
          <w:b/>
          <w:color w:val="000000"/>
          <w:kern w:val="0"/>
          <w:sz w:val="28"/>
          <w:szCs w:val="28"/>
          <w:highlight w:val="none"/>
        </w:rPr>
        <w:t>第十</w:t>
      </w:r>
      <w:r>
        <w:rPr>
          <w:rFonts w:hint="default" w:ascii="Times New Roman" w:hAnsi="Times New Roman" w:eastAsia="方正仿宋_GBK" w:cs="Times New Roman"/>
          <w:b/>
          <w:color w:val="000000"/>
          <w:kern w:val="0"/>
          <w:sz w:val="28"/>
          <w:szCs w:val="28"/>
          <w:highlight w:val="none"/>
          <w:lang w:val="en-US" w:eastAsia="zh-CN"/>
        </w:rPr>
        <w:t>四</w:t>
      </w:r>
      <w:r>
        <w:rPr>
          <w:rFonts w:hint="default" w:ascii="Times New Roman" w:hAnsi="Times New Roman" w:eastAsia="方正仿宋_GBK" w:cs="Times New Roman"/>
          <w:b/>
          <w:color w:val="000000"/>
          <w:kern w:val="0"/>
          <w:sz w:val="28"/>
          <w:szCs w:val="28"/>
          <w:highlight w:val="none"/>
        </w:rPr>
        <w:t>条  合同的份数</w:t>
      </w:r>
    </w:p>
    <w:p>
      <w:pPr>
        <w:spacing w:line="600" w:lineRule="exact"/>
        <w:ind w:firstLine="560" w:firstLineChars="200"/>
        <w:jc w:val="left"/>
        <w:rPr>
          <w:rFonts w:hint="default" w:ascii="Times New Roman" w:hAnsi="Times New Roman" w:eastAsia="方正仿宋_GBK" w:cs="Times New Roman"/>
          <w:color w:val="000000"/>
          <w:kern w:val="0"/>
          <w:sz w:val="28"/>
          <w:szCs w:val="28"/>
          <w:highlight w:val="none"/>
        </w:rPr>
      </w:pPr>
      <w:r>
        <w:rPr>
          <w:rFonts w:hint="default" w:ascii="Times New Roman" w:hAnsi="Times New Roman" w:eastAsia="方正仿宋_GBK" w:cs="Times New Roman"/>
          <w:color w:val="000000"/>
          <w:kern w:val="0"/>
          <w:sz w:val="28"/>
          <w:szCs w:val="28"/>
          <w:highlight w:val="none"/>
        </w:rPr>
        <w:t>本合同一式捌份，甲方持伍份，乙方持叁份，均</w:t>
      </w:r>
      <w:r>
        <w:rPr>
          <w:rFonts w:hint="eastAsia" w:ascii="Times New Roman" w:hAnsi="Times New Roman" w:eastAsia="方正仿宋_GBK" w:cs="Times New Roman"/>
          <w:color w:val="000000"/>
          <w:kern w:val="0"/>
          <w:sz w:val="28"/>
          <w:szCs w:val="28"/>
          <w:highlight w:val="none"/>
          <w:lang w:eastAsia="zh-CN"/>
        </w:rPr>
        <w:t>具有</w:t>
      </w:r>
      <w:r>
        <w:rPr>
          <w:rFonts w:hint="default" w:ascii="Times New Roman" w:hAnsi="Times New Roman" w:eastAsia="方正仿宋_GBK" w:cs="Times New Roman"/>
          <w:color w:val="000000"/>
          <w:kern w:val="0"/>
          <w:sz w:val="28"/>
          <w:szCs w:val="28"/>
          <w:highlight w:val="none"/>
        </w:rPr>
        <w:t>同等法律效力，本合同经双方签字并盖章后生效。</w:t>
      </w:r>
    </w:p>
    <w:p>
      <w:pPr>
        <w:spacing w:line="560" w:lineRule="exact"/>
        <w:rPr>
          <w:rFonts w:hint="default" w:ascii="Times New Roman" w:hAnsi="Times New Roman" w:eastAsia="方正仿宋_GBK" w:cs="Times New Roman"/>
          <w:bCs/>
          <w:color w:val="000000"/>
          <w:sz w:val="28"/>
          <w:szCs w:val="28"/>
          <w:highlight w:val="none"/>
        </w:rPr>
      </w:pPr>
    </w:p>
    <w:p>
      <w:pPr>
        <w:spacing w:line="560" w:lineRule="exact"/>
        <w:rPr>
          <w:rFonts w:hint="default" w:ascii="Times New Roman" w:hAnsi="Times New Roman" w:eastAsia="方正仿宋_GBK" w:cs="Times New Roman"/>
          <w:bCs/>
          <w:color w:val="000000"/>
          <w:sz w:val="28"/>
          <w:szCs w:val="28"/>
          <w:highlight w:val="none"/>
        </w:rPr>
      </w:pPr>
    </w:p>
    <w:p>
      <w:pPr>
        <w:spacing w:line="560" w:lineRule="exact"/>
        <w:rPr>
          <w:rFonts w:hint="default" w:ascii="Times New Roman" w:hAnsi="Times New Roman" w:eastAsia="方正仿宋_GBK" w:cs="Times New Roman"/>
          <w:bCs/>
          <w:color w:val="000000"/>
          <w:sz w:val="28"/>
          <w:szCs w:val="28"/>
          <w:highlight w:val="none"/>
        </w:rPr>
      </w:pPr>
      <w:r>
        <w:rPr>
          <w:rFonts w:hint="default" w:ascii="Times New Roman" w:hAnsi="Times New Roman" w:eastAsia="方正仿宋_GBK" w:cs="Times New Roman"/>
          <w:bCs/>
          <w:color w:val="000000"/>
          <w:sz w:val="28"/>
          <w:szCs w:val="28"/>
          <w:highlight w:val="none"/>
        </w:rPr>
        <w:t xml:space="preserve">甲 方（盖章）：                    </w:t>
      </w:r>
    </w:p>
    <w:p>
      <w:pPr>
        <w:spacing w:line="560" w:lineRule="exact"/>
        <w:rPr>
          <w:rFonts w:hint="default" w:ascii="Times New Roman" w:hAnsi="Times New Roman" w:eastAsia="方正仿宋_GBK" w:cs="Times New Roman"/>
          <w:bCs/>
          <w:color w:val="000000"/>
          <w:sz w:val="28"/>
          <w:szCs w:val="28"/>
          <w:highlight w:val="none"/>
        </w:rPr>
      </w:pPr>
      <w:r>
        <w:rPr>
          <w:rFonts w:hint="default" w:ascii="Times New Roman" w:hAnsi="Times New Roman" w:eastAsia="方正仿宋_GBK" w:cs="Times New Roman"/>
          <w:bCs/>
          <w:color w:val="000000"/>
          <w:sz w:val="28"/>
          <w:szCs w:val="28"/>
          <w:highlight w:val="none"/>
        </w:rPr>
        <w:t>法定代表人或代理人：</w:t>
      </w:r>
    </w:p>
    <w:p>
      <w:pPr>
        <w:spacing w:line="560" w:lineRule="exact"/>
        <w:rPr>
          <w:rFonts w:hint="default" w:ascii="Times New Roman" w:hAnsi="Times New Roman" w:eastAsia="方正仿宋_GBK" w:cs="Times New Roman"/>
          <w:bCs/>
          <w:color w:val="000000"/>
          <w:sz w:val="28"/>
          <w:szCs w:val="28"/>
          <w:highlight w:val="none"/>
        </w:rPr>
      </w:pPr>
      <w:r>
        <w:rPr>
          <w:rFonts w:hint="default" w:ascii="Times New Roman" w:hAnsi="Times New Roman" w:eastAsia="方正仿宋_GBK" w:cs="Times New Roman"/>
          <w:bCs/>
          <w:color w:val="000000"/>
          <w:sz w:val="28"/>
          <w:szCs w:val="28"/>
          <w:highlight w:val="none"/>
        </w:rPr>
        <w:t xml:space="preserve">经办人：                                                       </w:t>
      </w:r>
    </w:p>
    <w:p>
      <w:pPr>
        <w:spacing w:line="560" w:lineRule="exact"/>
        <w:rPr>
          <w:rFonts w:hint="default" w:ascii="Times New Roman" w:hAnsi="Times New Roman" w:cs="Times New Roman"/>
          <w:color w:val="000000"/>
          <w:highlight w:val="none"/>
        </w:rPr>
      </w:pPr>
      <w:r>
        <w:rPr>
          <w:rFonts w:hint="default" w:ascii="Times New Roman" w:hAnsi="Times New Roman" w:eastAsia="方正仿宋_GBK" w:cs="Times New Roman"/>
          <w:bCs/>
          <w:color w:val="000000"/>
          <w:sz w:val="28"/>
          <w:szCs w:val="28"/>
          <w:highlight w:val="none"/>
        </w:rPr>
        <w:t xml:space="preserve">签署时间：   年   月   日             </w:t>
      </w:r>
    </w:p>
    <w:p>
      <w:pPr>
        <w:spacing w:line="560" w:lineRule="exact"/>
        <w:rPr>
          <w:rFonts w:hint="default" w:ascii="Times New Roman" w:hAnsi="Times New Roman" w:eastAsia="方正仿宋_GBK" w:cs="Times New Roman"/>
          <w:bCs/>
          <w:color w:val="000000"/>
          <w:sz w:val="28"/>
          <w:szCs w:val="28"/>
          <w:highlight w:val="none"/>
        </w:rPr>
      </w:pPr>
    </w:p>
    <w:p>
      <w:pPr>
        <w:pStyle w:val="3"/>
        <w:rPr>
          <w:rFonts w:hint="default"/>
          <w:color w:val="000000"/>
          <w:highlight w:val="none"/>
        </w:rPr>
      </w:pPr>
    </w:p>
    <w:p>
      <w:pPr>
        <w:spacing w:line="560" w:lineRule="exact"/>
        <w:rPr>
          <w:rFonts w:hint="default" w:ascii="Times New Roman" w:hAnsi="Times New Roman" w:eastAsia="方正仿宋_GBK" w:cs="Times New Roman"/>
          <w:bCs/>
          <w:color w:val="000000"/>
          <w:sz w:val="28"/>
          <w:szCs w:val="28"/>
          <w:highlight w:val="none"/>
        </w:rPr>
      </w:pPr>
      <w:r>
        <w:rPr>
          <w:rFonts w:hint="default" w:ascii="Times New Roman" w:hAnsi="Times New Roman" w:eastAsia="方正仿宋_GBK" w:cs="Times New Roman"/>
          <w:bCs/>
          <w:color w:val="000000"/>
          <w:sz w:val="28"/>
          <w:szCs w:val="28"/>
          <w:highlight w:val="none"/>
        </w:rPr>
        <w:t>乙 方（盖章）：</w:t>
      </w:r>
    </w:p>
    <w:p>
      <w:pPr>
        <w:spacing w:line="560" w:lineRule="exact"/>
        <w:rPr>
          <w:rFonts w:hint="default" w:ascii="Times New Roman" w:hAnsi="Times New Roman" w:eastAsia="方正仿宋_GBK" w:cs="Times New Roman"/>
          <w:bCs/>
          <w:color w:val="000000"/>
          <w:sz w:val="28"/>
          <w:szCs w:val="28"/>
          <w:highlight w:val="none"/>
        </w:rPr>
      </w:pPr>
      <w:r>
        <w:rPr>
          <w:rFonts w:hint="default" w:ascii="Times New Roman" w:hAnsi="Times New Roman" w:eastAsia="方正仿宋_GBK" w:cs="Times New Roman"/>
          <w:bCs/>
          <w:color w:val="000000"/>
          <w:sz w:val="28"/>
          <w:szCs w:val="28"/>
          <w:highlight w:val="none"/>
        </w:rPr>
        <w:t>法定代表人或代理人：</w:t>
      </w:r>
    </w:p>
    <w:p>
      <w:pPr>
        <w:spacing w:line="560" w:lineRule="exact"/>
        <w:rPr>
          <w:rFonts w:hint="default" w:ascii="Times New Roman" w:hAnsi="Times New Roman" w:eastAsia="方正仿宋_GBK" w:cs="Times New Roman"/>
          <w:bCs/>
          <w:color w:val="000000"/>
          <w:sz w:val="28"/>
          <w:szCs w:val="28"/>
          <w:highlight w:val="none"/>
        </w:rPr>
      </w:pPr>
      <w:r>
        <w:rPr>
          <w:rFonts w:hint="default" w:ascii="Times New Roman" w:hAnsi="Times New Roman" w:eastAsia="方正仿宋_GBK" w:cs="Times New Roman"/>
          <w:bCs/>
          <w:color w:val="000000"/>
          <w:sz w:val="28"/>
          <w:szCs w:val="28"/>
          <w:highlight w:val="none"/>
        </w:rPr>
        <w:t>经办人：</w:t>
      </w:r>
    </w:p>
    <w:p>
      <w:pPr>
        <w:spacing w:line="560" w:lineRule="exact"/>
        <w:rPr>
          <w:rFonts w:hint="default" w:ascii="Times New Roman" w:hAnsi="Times New Roman" w:eastAsia="方正仿宋_GBK" w:cs="Times New Roman"/>
          <w:color w:val="000000"/>
          <w:sz w:val="28"/>
          <w:szCs w:val="28"/>
          <w:highlight w:val="none"/>
        </w:rPr>
        <w:sectPr>
          <w:footerReference r:id="rId5" w:type="default"/>
          <w:pgSz w:w="11900" w:h="16840"/>
          <w:pgMar w:top="1440" w:right="1134" w:bottom="1440" w:left="1134" w:header="920" w:footer="918" w:gutter="0"/>
          <w:pgNumType w:fmt="decimal" w:start="1"/>
          <w:cols w:space="720" w:num="1"/>
          <w:docGrid w:type="lines" w:linePitch="1" w:charSpace="0"/>
        </w:sectPr>
      </w:pPr>
      <w:r>
        <w:rPr>
          <w:rFonts w:hint="default" w:ascii="Times New Roman" w:hAnsi="Times New Roman" w:eastAsia="方正仿宋_GBK" w:cs="Times New Roman"/>
          <w:bCs/>
          <w:color w:val="000000"/>
          <w:sz w:val="28"/>
          <w:szCs w:val="28"/>
          <w:highlight w:val="none"/>
        </w:rPr>
        <w:t>签署时间：   年   月   日</w:t>
      </w:r>
    </w:p>
    <w:p>
      <w:pPr>
        <w:adjustRightInd w:val="0"/>
        <w:spacing w:line="600" w:lineRule="exact"/>
        <w:jc w:val="left"/>
        <w:rPr>
          <w:rFonts w:hint="default" w:ascii="Times New Roman" w:hAnsi="Times New Roman" w:eastAsia="方正仿宋_GBK" w:cs="Times New Roman"/>
          <w:b/>
          <w:color w:val="000000"/>
          <w:kern w:val="0"/>
          <w:sz w:val="28"/>
          <w:szCs w:val="28"/>
          <w:highlight w:val="none"/>
        </w:rPr>
      </w:pPr>
      <w:r>
        <w:rPr>
          <w:rFonts w:hint="default" w:ascii="Times New Roman" w:hAnsi="Times New Roman" w:eastAsia="方正仿宋_GBK" w:cs="Times New Roman"/>
          <w:b/>
          <w:color w:val="000000"/>
          <w:kern w:val="0"/>
          <w:sz w:val="28"/>
          <w:szCs w:val="28"/>
          <w:highlight w:val="none"/>
        </w:rPr>
        <w:t>附件一：供配电维保工作考核标准</w:t>
      </w:r>
    </w:p>
    <w:p>
      <w:pPr>
        <w:adjustRightInd w:val="0"/>
        <w:spacing w:line="360" w:lineRule="auto"/>
        <w:jc w:val="center"/>
        <w:rPr>
          <w:rFonts w:hint="default" w:ascii="Times New Roman" w:hAnsi="Times New Roman" w:eastAsia="方正仿宋_GBK" w:cs="Times New Roman"/>
          <w:b/>
          <w:color w:val="000000"/>
          <w:kern w:val="0"/>
          <w:sz w:val="2"/>
          <w:szCs w:val="2"/>
          <w:highlight w:val="none"/>
        </w:rPr>
      </w:pPr>
    </w:p>
    <w:tbl>
      <w:tblPr>
        <w:tblStyle w:val="23"/>
        <w:tblW w:w="10325" w:type="dxa"/>
        <w:tblInd w:w="-7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6200"/>
        <w:gridCol w:w="1028"/>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206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jc w:val="center"/>
              <w:rPr>
                <w:rFonts w:hint="default" w:ascii="Times New Roman" w:hAnsi="Times New Roman" w:eastAsia="方正仿宋_GBK" w:cs="Times New Roman"/>
                <w:color w:val="000000"/>
                <w:szCs w:val="21"/>
                <w:highlight w:val="none"/>
              </w:rPr>
            </w:pPr>
            <w:r>
              <w:rPr>
                <w:rFonts w:hint="default" w:ascii="Times New Roman" w:hAnsi="Times New Roman" w:eastAsia="方正仿宋_GBK" w:cs="Times New Roman"/>
                <w:color w:val="000000"/>
                <w:kern w:val="0"/>
                <w:szCs w:val="21"/>
                <w:highlight w:val="none"/>
              </w:rPr>
              <w:t>项目</w:t>
            </w:r>
          </w:p>
          <w:p>
            <w:pPr>
              <w:adjustRightInd w:val="0"/>
              <w:spacing w:line="300" w:lineRule="exact"/>
              <w:jc w:val="center"/>
              <w:rPr>
                <w:rFonts w:hint="default" w:ascii="Times New Roman" w:hAnsi="Times New Roman" w:eastAsia="方正仿宋_GBK" w:cs="Times New Roman"/>
                <w:color w:val="000000"/>
                <w:szCs w:val="21"/>
                <w:highlight w:val="none"/>
              </w:rPr>
            </w:pPr>
          </w:p>
        </w:tc>
        <w:tc>
          <w:tcPr>
            <w:tcW w:w="620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jc w:val="center"/>
              <w:rPr>
                <w:rFonts w:hint="default" w:ascii="Times New Roman" w:hAnsi="Times New Roman" w:eastAsia="方正仿宋_GBK" w:cs="Times New Roman"/>
                <w:color w:val="000000"/>
                <w:szCs w:val="21"/>
                <w:highlight w:val="none"/>
              </w:rPr>
            </w:pPr>
            <w:r>
              <w:rPr>
                <w:rFonts w:hint="default" w:ascii="Times New Roman" w:hAnsi="Times New Roman" w:eastAsia="方正仿宋_GBK" w:cs="Times New Roman"/>
                <w:color w:val="000000"/>
                <w:kern w:val="0"/>
                <w:szCs w:val="21"/>
                <w:highlight w:val="none"/>
              </w:rPr>
              <w:t>考核内容</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jc w:val="center"/>
              <w:rPr>
                <w:rFonts w:hint="default" w:ascii="Times New Roman" w:hAnsi="Times New Roman" w:eastAsia="方正仿宋_GBK" w:cs="Times New Roman"/>
                <w:color w:val="000000"/>
                <w:szCs w:val="21"/>
                <w:highlight w:val="none"/>
              </w:rPr>
            </w:pPr>
            <w:r>
              <w:rPr>
                <w:rFonts w:hint="default" w:ascii="Times New Roman" w:hAnsi="Times New Roman" w:eastAsia="方正仿宋_GBK" w:cs="Times New Roman"/>
                <w:color w:val="000000"/>
                <w:kern w:val="0"/>
                <w:szCs w:val="21"/>
                <w:highlight w:val="none"/>
              </w:rPr>
              <w:t>扣分值</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kern w:val="0"/>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exact"/>
        </w:trPr>
        <w:tc>
          <w:tcPr>
            <w:tcW w:w="2069" w:type="dxa"/>
            <w:vMerge w:val="restart"/>
            <w:tcBorders>
              <w:top w:val="single" w:color="auto" w:sz="4" w:space="0"/>
              <w:left w:val="single" w:color="auto" w:sz="4" w:space="0"/>
              <w:right w:val="single" w:color="auto" w:sz="4" w:space="0"/>
            </w:tcBorders>
            <w:noWrap w:val="0"/>
            <w:vAlign w:val="center"/>
          </w:tcPr>
          <w:p>
            <w:pPr>
              <w:adjustRightInd w:val="0"/>
              <w:spacing w:line="30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kern w:val="0"/>
                <w:szCs w:val="21"/>
                <w:highlight w:val="none"/>
              </w:rPr>
              <w:t>人员要求</w:t>
            </w:r>
          </w:p>
        </w:tc>
        <w:tc>
          <w:tcPr>
            <w:tcW w:w="6200" w:type="dxa"/>
            <w:tcBorders>
              <w:top w:val="single" w:color="auto" w:sz="4" w:space="0"/>
              <w:left w:val="single" w:color="auto" w:sz="4" w:space="0"/>
              <w:right w:val="single" w:color="auto" w:sz="4" w:space="0"/>
            </w:tcBorders>
            <w:noWrap w:val="0"/>
            <w:vAlign w:val="center"/>
          </w:tcPr>
          <w:p>
            <w:pPr>
              <w:adjustRightInd w:val="0"/>
              <w:spacing w:line="300" w:lineRule="exact"/>
              <w:rPr>
                <w:rFonts w:hint="default" w:ascii="Times New Roman" w:hAnsi="Times New Roman" w:eastAsia="方正仿宋_GBK" w:cs="Times New Roman"/>
                <w:color w:val="000000"/>
                <w:kern w:val="0"/>
                <w:szCs w:val="21"/>
                <w:highlight w:val="none"/>
              </w:rPr>
            </w:pPr>
            <w:r>
              <w:rPr>
                <w:rFonts w:hint="eastAsia" w:ascii="Times New Roman" w:hAnsi="Times New Roman" w:eastAsia="方正仿宋_GBK" w:cs="Times New Roman"/>
                <w:color w:val="000000"/>
                <w:kern w:val="0"/>
                <w:szCs w:val="21"/>
                <w:highlight w:val="none"/>
                <w:lang w:eastAsia="zh-CN"/>
              </w:rPr>
              <w:t>1.</w:t>
            </w:r>
            <w:r>
              <w:rPr>
                <w:rFonts w:hint="default" w:ascii="Times New Roman" w:hAnsi="Times New Roman" w:eastAsia="方正仿宋_GBK" w:cs="Times New Roman"/>
                <w:color w:val="000000"/>
                <w:kern w:val="0"/>
                <w:szCs w:val="21"/>
                <w:highlight w:val="none"/>
              </w:rPr>
              <w:t>维保人员持有相应操作证书；</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kern w:val="0"/>
                <w:szCs w:val="21"/>
                <w:highlight w:val="none"/>
              </w:rPr>
              <w:t>1分/次</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rPr>
                <w:rFonts w:hint="default" w:ascii="Times New Roman" w:hAnsi="Times New Roman" w:eastAsia="方正仿宋_GBK" w:cs="Times New Roman"/>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2069" w:type="dxa"/>
            <w:vMerge w:val="continue"/>
            <w:tcBorders>
              <w:left w:val="single" w:color="auto" w:sz="4" w:space="0"/>
              <w:bottom w:val="single" w:color="auto" w:sz="4" w:space="0"/>
              <w:right w:val="single" w:color="auto" w:sz="4" w:space="0"/>
            </w:tcBorders>
            <w:noWrap w:val="0"/>
            <w:vAlign w:val="center"/>
          </w:tcPr>
          <w:p>
            <w:pPr>
              <w:adjustRightInd w:val="0"/>
              <w:spacing w:line="300" w:lineRule="exact"/>
              <w:jc w:val="center"/>
              <w:rPr>
                <w:rFonts w:hint="default" w:ascii="Times New Roman" w:hAnsi="Times New Roman" w:eastAsia="方正仿宋_GBK" w:cs="Times New Roman"/>
                <w:color w:val="000000"/>
                <w:kern w:val="0"/>
                <w:szCs w:val="21"/>
                <w:highlight w:val="none"/>
              </w:rPr>
            </w:pPr>
          </w:p>
        </w:tc>
        <w:tc>
          <w:tcPr>
            <w:tcW w:w="6200" w:type="dxa"/>
            <w:tcBorders>
              <w:left w:val="single" w:color="auto" w:sz="4" w:space="0"/>
              <w:bottom w:val="single" w:color="auto" w:sz="4" w:space="0"/>
              <w:right w:val="single" w:color="auto" w:sz="4" w:space="0"/>
            </w:tcBorders>
            <w:noWrap w:val="0"/>
            <w:vAlign w:val="center"/>
          </w:tcPr>
          <w:p>
            <w:pPr>
              <w:adjustRightInd w:val="0"/>
              <w:spacing w:line="300" w:lineRule="exact"/>
              <w:rPr>
                <w:rFonts w:hint="default" w:ascii="Times New Roman" w:hAnsi="Times New Roman" w:eastAsia="方正仿宋_GBK" w:cs="Times New Roman"/>
                <w:color w:val="000000"/>
                <w:kern w:val="0"/>
                <w:szCs w:val="21"/>
                <w:highlight w:val="none"/>
              </w:rPr>
            </w:pPr>
            <w:r>
              <w:rPr>
                <w:rFonts w:hint="eastAsia" w:ascii="Times New Roman" w:hAnsi="Times New Roman" w:eastAsia="方正仿宋_GBK" w:cs="Times New Roman"/>
                <w:color w:val="000000"/>
                <w:kern w:val="0"/>
                <w:szCs w:val="21"/>
                <w:highlight w:val="none"/>
                <w:lang w:eastAsia="zh-CN"/>
              </w:rPr>
              <w:t>2.</w:t>
            </w:r>
            <w:r>
              <w:rPr>
                <w:rFonts w:hint="default" w:ascii="Times New Roman" w:hAnsi="Times New Roman" w:eastAsia="方正仿宋_GBK" w:cs="Times New Roman"/>
                <w:color w:val="000000"/>
                <w:kern w:val="0"/>
                <w:szCs w:val="21"/>
                <w:highlight w:val="none"/>
              </w:rPr>
              <w:t>乙方人员统一着装及佩戴工作证；</w:t>
            </w:r>
          </w:p>
          <w:p>
            <w:pPr>
              <w:adjustRightInd w:val="0"/>
              <w:spacing w:line="300" w:lineRule="exact"/>
              <w:rPr>
                <w:rFonts w:hint="default" w:ascii="Times New Roman" w:hAnsi="Times New Roman" w:eastAsia="方正仿宋_GBK" w:cs="Times New Roman"/>
                <w:color w:val="000000"/>
                <w:kern w:val="0"/>
                <w:szCs w:val="21"/>
                <w:highlight w:val="none"/>
              </w:rPr>
            </w:pPr>
            <w:r>
              <w:rPr>
                <w:rFonts w:hint="eastAsia" w:ascii="Times New Roman" w:hAnsi="Times New Roman" w:eastAsia="方正仿宋_GBK" w:cs="Times New Roman"/>
                <w:color w:val="000000"/>
                <w:kern w:val="0"/>
                <w:szCs w:val="21"/>
                <w:highlight w:val="none"/>
                <w:lang w:eastAsia="zh-CN"/>
              </w:rPr>
              <w:t>3.</w:t>
            </w:r>
            <w:r>
              <w:rPr>
                <w:rFonts w:hint="default" w:ascii="Times New Roman" w:hAnsi="Times New Roman" w:eastAsia="方正仿宋_GBK" w:cs="Times New Roman"/>
                <w:color w:val="000000"/>
                <w:kern w:val="0"/>
                <w:szCs w:val="21"/>
                <w:highlight w:val="none"/>
              </w:rPr>
              <w:t>工作中未能遵守甲方管理要求及各项规章制度；</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kern w:val="0"/>
                <w:szCs w:val="21"/>
                <w:highlight w:val="none"/>
              </w:rPr>
              <w:t>1分/次</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rPr>
                <w:rFonts w:hint="default" w:ascii="Times New Roman" w:hAnsi="Times New Roman" w:eastAsia="方正仿宋_GBK" w:cs="Times New Roman"/>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exact"/>
        </w:trPr>
        <w:tc>
          <w:tcPr>
            <w:tcW w:w="2069"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kern w:val="0"/>
                <w:szCs w:val="21"/>
                <w:highlight w:val="none"/>
              </w:rPr>
              <w:t>项目现场管理</w:t>
            </w:r>
          </w:p>
        </w:tc>
        <w:tc>
          <w:tcPr>
            <w:tcW w:w="620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rPr>
                <w:rFonts w:hint="default" w:ascii="Times New Roman" w:hAnsi="Times New Roman" w:eastAsia="方正仿宋_GBK" w:cs="Times New Roman"/>
                <w:color w:val="000000"/>
                <w:kern w:val="0"/>
                <w:szCs w:val="21"/>
                <w:highlight w:val="none"/>
              </w:rPr>
            </w:pPr>
            <w:r>
              <w:rPr>
                <w:rFonts w:hint="eastAsia" w:ascii="Times New Roman" w:hAnsi="Times New Roman" w:eastAsia="方正仿宋_GBK" w:cs="Times New Roman"/>
                <w:color w:val="000000"/>
                <w:kern w:val="0"/>
                <w:szCs w:val="21"/>
                <w:highlight w:val="none"/>
                <w:lang w:eastAsia="zh-CN"/>
              </w:rPr>
              <w:t>1.</w:t>
            </w:r>
            <w:r>
              <w:rPr>
                <w:rFonts w:hint="default" w:ascii="Times New Roman" w:hAnsi="Times New Roman" w:eastAsia="方正仿宋_GBK" w:cs="Times New Roman"/>
                <w:color w:val="000000"/>
                <w:kern w:val="0"/>
                <w:szCs w:val="21"/>
                <w:highlight w:val="none"/>
              </w:rPr>
              <w:t>常用配件材料库存不足，影响工作进度；</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kern w:val="0"/>
                <w:szCs w:val="21"/>
                <w:highlight w:val="none"/>
              </w:rPr>
              <w:t>2分/次</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rPr>
                <w:rFonts w:hint="default" w:ascii="Times New Roman" w:hAnsi="Times New Roman" w:eastAsia="方正仿宋_GBK" w:cs="Times New Roman"/>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exact"/>
        </w:trPr>
        <w:tc>
          <w:tcPr>
            <w:tcW w:w="2069"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jc w:val="center"/>
              <w:rPr>
                <w:rFonts w:hint="default" w:ascii="Times New Roman" w:hAnsi="Times New Roman" w:eastAsia="方正仿宋_GBK" w:cs="Times New Roman"/>
                <w:color w:val="000000"/>
                <w:kern w:val="0"/>
                <w:szCs w:val="21"/>
                <w:highlight w:val="none"/>
              </w:rPr>
            </w:pPr>
          </w:p>
        </w:tc>
        <w:tc>
          <w:tcPr>
            <w:tcW w:w="620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rPr>
                <w:rFonts w:hint="default" w:ascii="Times New Roman" w:hAnsi="Times New Roman" w:eastAsia="方正仿宋_GBK" w:cs="Times New Roman"/>
                <w:color w:val="000000"/>
                <w:kern w:val="0"/>
                <w:szCs w:val="21"/>
                <w:highlight w:val="none"/>
              </w:rPr>
            </w:pPr>
            <w:r>
              <w:rPr>
                <w:rFonts w:hint="eastAsia" w:ascii="Times New Roman" w:hAnsi="Times New Roman" w:eastAsia="方正仿宋_GBK" w:cs="Times New Roman"/>
                <w:color w:val="000000"/>
                <w:kern w:val="0"/>
                <w:szCs w:val="21"/>
                <w:highlight w:val="none"/>
                <w:lang w:eastAsia="zh-CN"/>
              </w:rPr>
              <w:t>2.</w:t>
            </w:r>
            <w:r>
              <w:rPr>
                <w:rFonts w:hint="default" w:ascii="Times New Roman" w:hAnsi="Times New Roman" w:eastAsia="方正仿宋_GBK" w:cs="Times New Roman"/>
                <w:color w:val="000000"/>
                <w:kern w:val="0"/>
                <w:szCs w:val="21"/>
                <w:highlight w:val="none"/>
              </w:rPr>
              <w:t>对</w:t>
            </w:r>
            <w:r>
              <w:rPr>
                <w:rFonts w:hint="eastAsia" w:ascii="Times New Roman" w:hAnsi="Times New Roman" w:eastAsia="方正仿宋_GBK" w:cs="Times New Roman"/>
                <w:color w:val="000000"/>
                <w:kern w:val="0"/>
                <w:szCs w:val="21"/>
                <w:highlight w:val="none"/>
                <w:lang w:eastAsia="zh-CN"/>
              </w:rPr>
              <w:t>客户</w:t>
            </w:r>
            <w:r>
              <w:rPr>
                <w:rFonts w:hint="default" w:ascii="Times New Roman" w:hAnsi="Times New Roman" w:eastAsia="方正仿宋_GBK" w:cs="Times New Roman"/>
                <w:color w:val="000000"/>
                <w:kern w:val="0"/>
                <w:szCs w:val="21"/>
                <w:highlight w:val="none"/>
              </w:rPr>
              <w:t>服务质量不到位，服务态度不佳，以致客户书面投诉；</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kern w:val="0"/>
                <w:szCs w:val="21"/>
                <w:highlight w:val="none"/>
              </w:rPr>
              <w:t>10分/次</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rPr>
                <w:rFonts w:hint="default" w:ascii="Times New Roman" w:hAnsi="Times New Roman" w:eastAsia="方正仿宋_GBK" w:cs="Times New Roman"/>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1" w:hRule="exact"/>
        </w:trPr>
        <w:tc>
          <w:tcPr>
            <w:tcW w:w="2069"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kern w:val="0"/>
                <w:szCs w:val="21"/>
                <w:highlight w:val="none"/>
              </w:rPr>
              <w:t>日常工作质量</w:t>
            </w:r>
          </w:p>
        </w:tc>
        <w:tc>
          <w:tcPr>
            <w:tcW w:w="620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rPr>
                <w:rFonts w:hint="default" w:ascii="Times New Roman" w:hAnsi="Times New Roman" w:eastAsia="方正仿宋_GBK" w:cs="Times New Roman"/>
                <w:color w:val="000000"/>
                <w:kern w:val="0"/>
                <w:szCs w:val="21"/>
                <w:highlight w:val="none"/>
              </w:rPr>
            </w:pPr>
            <w:r>
              <w:rPr>
                <w:rFonts w:hint="eastAsia" w:ascii="Times New Roman" w:hAnsi="Times New Roman" w:eastAsia="方正仿宋_GBK" w:cs="Times New Roman"/>
                <w:color w:val="000000"/>
                <w:kern w:val="0"/>
                <w:szCs w:val="21"/>
                <w:highlight w:val="none"/>
                <w:lang w:eastAsia="zh-CN"/>
              </w:rPr>
              <w:t>1.</w:t>
            </w:r>
            <w:r>
              <w:rPr>
                <w:rFonts w:hint="default" w:ascii="Times New Roman" w:hAnsi="Times New Roman" w:eastAsia="方正仿宋_GBK" w:cs="Times New Roman"/>
                <w:color w:val="000000"/>
                <w:kern w:val="0"/>
                <w:szCs w:val="21"/>
                <w:highlight w:val="none"/>
              </w:rPr>
              <w:t>日常维保工作未能完成，当日须向所在项目工程负责人回复完成情况，以工作单所填时间为准，否则视为未完成；</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kern w:val="0"/>
                <w:szCs w:val="21"/>
                <w:highlight w:val="none"/>
              </w:rPr>
              <w:t>1分/次</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rPr>
                <w:rFonts w:hint="default" w:ascii="Times New Roman" w:hAnsi="Times New Roman" w:eastAsia="方正仿宋_GBK" w:cs="Times New Roman"/>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exact"/>
        </w:trPr>
        <w:tc>
          <w:tcPr>
            <w:tcW w:w="2069"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jc w:val="center"/>
              <w:rPr>
                <w:rFonts w:hint="default" w:ascii="Times New Roman" w:hAnsi="Times New Roman" w:eastAsia="方正仿宋_GBK" w:cs="Times New Roman"/>
                <w:color w:val="000000"/>
                <w:kern w:val="0"/>
                <w:szCs w:val="21"/>
                <w:highlight w:val="none"/>
              </w:rPr>
            </w:pPr>
          </w:p>
        </w:tc>
        <w:tc>
          <w:tcPr>
            <w:tcW w:w="620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rPr>
                <w:rFonts w:hint="eastAsia" w:ascii="Times New Roman" w:hAnsi="Times New Roman" w:eastAsia="方正仿宋_GBK" w:cs="Times New Roman"/>
                <w:color w:val="000000"/>
                <w:kern w:val="0"/>
                <w:szCs w:val="21"/>
                <w:highlight w:val="none"/>
                <w:lang w:eastAsia="zh-CN"/>
              </w:rPr>
            </w:pPr>
            <w:r>
              <w:rPr>
                <w:rFonts w:hint="eastAsia" w:ascii="Times New Roman" w:hAnsi="Times New Roman" w:eastAsia="方正仿宋_GBK" w:cs="Times New Roman"/>
                <w:color w:val="000000"/>
                <w:kern w:val="0"/>
                <w:szCs w:val="21"/>
                <w:highlight w:val="none"/>
                <w:lang w:eastAsia="zh-CN"/>
              </w:rPr>
              <w:t>2.</w:t>
            </w:r>
            <w:r>
              <w:rPr>
                <w:rFonts w:hint="default" w:ascii="Times New Roman" w:hAnsi="Times New Roman" w:eastAsia="方正仿宋_GBK" w:cs="Times New Roman"/>
                <w:color w:val="000000"/>
                <w:kern w:val="0"/>
                <w:szCs w:val="21"/>
                <w:highlight w:val="none"/>
              </w:rPr>
              <w:t>月度保养工作未按计划完成（抽检不合格视为未完成，如有特殊情况未能完成计划，需事先征得甲方同意）</w:t>
            </w:r>
            <w:r>
              <w:rPr>
                <w:rFonts w:hint="eastAsia" w:ascii="Times New Roman" w:hAnsi="Times New Roman" w:eastAsia="方正仿宋_GBK" w:cs="Times New Roman"/>
                <w:color w:val="000000"/>
                <w:kern w:val="0"/>
                <w:szCs w:val="21"/>
                <w:highlight w:val="none"/>
                <w:lang w:eastAsia="zh-CN"/>
              </w:rPr>
              <w:t>；</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kern w:val="0"/>
                <w:szCs w:val="21"/>
                <w:highlight w:val="none"/>
              </w:rPr>
              <w:t>2分/项</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rPr>
                <w:rFonts w:hint="default" w:ascii="Times New Roman" w:hAnsi="Times New Roman" w:eastAsia="方正仿宋_GBK" w:cs="Times New Roman"/>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exact"/>
        </w:trPr>
        <w:tc>
          <w:tcPr>
            <w:tcW w:w="2069"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jc w:val="center"/>
              <w:rPr>
                <w:rFonts w:hint="default" w:ascii="Times New Roman" w:hAnsi="Times New Roman" w:eastAsia="方正仿宋_GBK" w:cs="Times New Roman"/>
                <w:color w:val="000000"/>
                <w:kern w:val="0"/>
                <w:szCs w:val="21"/>
                <w:highlight w:val="none"/>
              </w:rPr>
            </w:pPr>
          </w:p>
        </w:tc>
        <w:tc>
          <w:tcPr>
            <w:tcW w:w="620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rPr>
                <w:rFonts w:hint="default" w:ascii="Times New Roman" w:hAnsi="Times New Roman" w:eastAsia="方正仿宋_GBK" w:cs="Times New Roman"/>
                <w:color w:val="000000"/>
                <w:kern w:val="0"/>
                <w:szCs w:val="21"/>
                <w:highlight w:val="none"/>
              </w:rPr>
            </w:pPr>
            <w:r>
              <w:rPr>
                <w:rFonts w:hint="eastAsia" w:ascii="Times New Roman" w:hAnsi="Times New Roman" w:eastAsia="方正仿宋_GBK" w:cs="Times New Roman"/>
                <w:color w:val="000000"/>
                <w:kern w:val="0"/>
                <w:szCs w:val="21"/>
                <w:highlight w:val="none"/>
                <w:lang w:eastAsia="zh-CN"/>
              </w:rPr>
              <w:t>3.</w:t>
            </w:r>
            <w:r>
              <w:rPr>
                <w:rFonts w:hint="default" w:ascii="Times New Roman" w:hAnsi="Times New Roman" w:eastAsia="方正仿宋_GBK" w:cs="Times New Roman"/>
                <w:color w:val="000000"/>
                <w:kern w:val="0"/>
                <w:szCs w:val="21"/>
                <w:highlight w:val="none"/>
              </w:rPr>
              <w:t>未按时提交工作报告（当月维保月度报告须在次月的5日前提交，次月工作计划须于上月25日前送达各站场）；</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kern w:val="0"/>
                <w:szCs w:val="21"/>
                <w:highlight w:val="none"/>
              </w:rPr>
              <w:t>2分/次</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rPr>
                <w:rFonts w:hint="default" w:ascii="Times New Roman" w:hAnsi="Times New Roman" w:eastAsia="方正仿宋_GBK" w:cs="Times New Roman"/>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trPr>
        <w:tc>
          <w:tcPr>
            <w:tcW w:w="2069"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jc w:val="center"/>
              <w:rPr>
                <w:rFonts w:hint="default" w:ascii="Times New Roman" w:hAnsi="Times New Roman" w:eastAsia="方正仿宋_GBK" w:cs="Times New Roman"/>
                <w:color w:val="000000"/>
                <w:kern w:val="0"/>
                <w:szCs w:val="21"/>
                <w:highlight w:val="none"/>
              </w:rPr>
            </w:pPr>
          </w:p>
        </w:tc>
        <w:tc>
          <w:tcPr>
            <w:tcW w:w="620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rPr>
                <w:rFonts w:hint="default" w:ascii="Times New Roman" w:hAnsi="Times New Roman" w:eastAsia="方正仿宋_GBK" w:cs="Times New Roman"/>
                <w:color w:val="000000"/>
                <w:kern w:val="0"/>
                <w:szCs w:val="21"/>
                <w:highlight w:val="none"/>
              </w:rPr>
            </w:pPr>
            <w:r>
              <w:rPr>
                <w:rFonts w:hint="eastAsia" w:ascii="Times New Roman" w:hAnsi="Times New Roman" w:eastAsia="方正仿宋_GBK" w:cs="Times New Roman"/>
                <w:color w:val="000000"/>
                <w:kern w:val="0"/>
                <w:szCs w:val="21"/>
                <w:highlight w:val="none"/>
                <w:lang w:eastAsia="zh-CN"/>
              </w:rPr>
              <w:t>4.</w:t>
            </w:r>
            <w:r>
              <w:rPr>
                <w:rFonts w:hint="default" w:ascii="Times New Roman" w:hAnsi="Times New Roman" w:eastAsia="方正仿宋_GBK" w:cs="Times New Roman"/>
                <w:color w:val="000000"/>
                <w:kern w:val="0"/>
                <w:szCs w:val="21"/>
                <w:highlight w:val="none"/>
              </w:rPr>
              <w:t>维修不及时，故障处理超过约定时限未完成；</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kern w:val="0"/>
                <w:szCs w:val="21"/>
                <w:highlight w:val="none"/>
              </w:rPr>
              <w:t>3分/次</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rPr>
                <w:rFonts w:hint="default" w:ascii="Times New Roman" w:hAnsi="Times New Roman" w:eastAsia="方正仿宋_GBK" w:cs="Times New Roman"/>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exact"/>
        </w:trPr>
        <w:tc>
          <w:tcPr>
            <w:tcW w:w="2069"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jc w:val="center"/>
              <w:rPr>
                <w:rFonts w:hint="default" w:ascii="Times New Roman" w:hAnsi="Times New Roman" w:eastAsia="方正仿宋_GBK" w:cs="Times New Roman"/>
                <w:color w:val="000000"/>
                <w:kern w:val="0"/>
                <w:szCs w:val="21"/>
                <w:highlight w:val="none"/>
              </w:rPr>
            </w:pPr>
          </w:p>
        </w:tc>
        <w:tc>
          <w:tcPr>
            <w:tcW w:w="620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rPr>
                <w:rFonts w:hint="default" w:ascii="Times New Roman" w:hAnsi="Times New Roman" w:eastAsia="方正仿宋_GBK" w:cs="Times New Roman"/>
                <w:color w:val="000000"/>
                <w:kern w:val="0"/>
                <w:szCs w:val="21"/>
                <w:highlight w:val="none"/>
              </w:rPr>
            </w:pPr>
            <w:r>
              <w:rPr>
                <w:rFonts w:hint="eastAsia" w:ascii="Times New Roman" w:hAnsi="Times New Roman" w:eastAsia="方正仿宋_GBK" w:cs="Times New Roman"/>
                <w:color w:val="000000"/>
                <w:kern w:val="0"/>
                <w:szCs w:val="21"/>
                <w:highlight w:val="none"/>
                <w:lang w:eastAsia="zh-CN"/>
              </w:rPr>
              <w:t>5.</w:t>
            </w:r>
            <w:r>
              <w:rPr>
                <w:rFonts w:hint="default" w:ascii="Times New Roman" w:hAnsi="Times New Roman" w:eastAsia="方正仿宋_GBK" w:cs="Times New Roman"/>
                <w:color w:val="000000"/>
                <w:kern w:val="0"/>
                <w:szCs w:val="21"/>
                <w:highlight w:val="none"/>
              </w:rPr>
              <w:t>遗留工作未按约定计划完成；</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kern w:val="0"/>
                <w:szCs w:val="21"/>
                <w:highlight w:val="none"/>
              </w:rPr>
              <w:t>5分/次</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rPr>
                <w:rFonts w:hint="default" w:ascii="Times New Roman" w:hAnsi="Times New Roman" w:eastAsia="方正仿宋_GBK" w:cs="Times New Roman"/>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2069" w:type="dxa"/>
            <w:tcBorders>
              <w:top w:val="single" w:color="auto" w:sz="4" w:space="0"/>
              <w:left w:val="single" w:color="auto" w:sz="4" w:space="0"/>
              <w:right w:val="single" w:color="auto" w:sz="4" w:space="0"/>
            </w:tcBorders>
            <w:noWrap w:val="0"/>
            <w:vAlign w:val="center"/>
          </w:tcPr>
          <w:p>
            <w:pPr>
              <w:adjustRightInd w:val="0"/>
              <w:spacing w:line="30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kern w:val="0"/>
                <w:szCs w:val="21"/>
                <w:highlight w:val="none"/>
              </w:rPr>
              <w:t>突发事件处理</w:t>
            </w:r>
          </w:p>
        </w:tc>
        <w:tc>
          <w:tcPr>
            <w:tcW w:w="620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rPr>
                <w:rFonts w:hint="default" w:ascii="Times New Roman" w:hAnsi="Times New Roman" w:eastAsia="方正仿宋_GBK" w:cs="Times New Roman"/>
                <w:color w:val="000000"/>
                <w:kern w:val="0"/>
                <w:szCs w:val="21"/>
                <w:highlight w:val="none"/>
              </w:rPr>
            </w:pPr>
            <w:r>
              <w:rPr>
                <w:rFonts w:hint="eastAsia" w:ascii="Times New Roman" w:hAnsi="Times New Roman" w:eastAsia="方正仿宋_GBK" w:cs="Times New Roman"/>
                <w:color w:val="000000"/>
                <w:kern w:val="0"/>
                <w:szCs w:val="21"/>
                <w:highlight w:val="none"/>
                <w:lang w:eastAsia="zh-CN"/>
              </w:rPr>
              <w:t>1.</w:t>
            </w:r>
            <w:r>
              <w:rPr>
                <w:rFonts w:hint="default" w:ascii="Times New Roman" w:hAnsi="Times New Roman" w:eastAsia="方正仿宋_GBK" w:cs="Times New Roman"/>
                <w:color w:val="000000"/>
                <w:kern w:val="0"/>
                <w:szCs w:val="21"/>
                <w:highlight w:val="none"/>
              </w:rPr>
              <w:t>发生紧急事件未能在1小时内到达现</w:t>
            </w:r>
            <w:r>
              <w:rPr>
                <w:rFonts w:hint="eastAsia" w:ascii="Times New Roman" w:hAnsi="Times New Roman" w:eastAsia="方正仿宋_GBK" w:cs="Times New Roman"/>
                <w:color w:val="000000"/>
                <w:kern w:val="0"/>
                <w:szCs w:val="21"/>
                <w:highlight w:val="none"/>
                <w:lang w:eastAsia="zh-CN"/>
              </w:rPr>
              <w:t>场处</w:t>
            </w:r>
            <w:r>
              <w:rPr>
                <w:rFonts w:hint="default" w:ascii="Times New Roman" w:hAnsi="Times New Roman" w:eastAsia="方正仿宋_GBK" w:cs="Times New Roman"/>
                <w:color w:val="000000"/>
                <w:kern w:val="0"/>
                <w:szCs w:val="21"/>
                <w:highlight w:val="none"/>
              </w:rPr>
              <w:t>理；</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kern w:val="0"/>
                <w:szCs w:val="21"/>
                <w:highlight w:val="none"/>
              </w:rPr>
              <w:t>5分/次</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rPr>
                <w:rFonts w:hint="default" w:ascii="Times New Roman" w:hAnsi="Times New Roman" w:eastAsia="方正仿宋_GBK" w:cs="Times New Roman"/>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exact"/>
        </w:trPr>
        <w:tc>
          <w:tcPr>
            <w:tcW w:w="2069"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kern w:val="0"/>
                <w:szCs w:val="21"/>
                <w:highlight w:val="none"/>
              </w:rPr>
              <w:t>重大违约事件</w:t>
            </w:r>
          </w:p>
        </w:tc>
        <w:tc>
          <w:tcPr>
            <w:tcW w:w="620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rPr>
                <w:rFonts w:hint="default" w:ascii="Times New Roman" w:hAnsi="Times New Roman" w:eastAsia="方正仿宋_GBK" w:cs="Times New Roman"/>
                <w:color w:val="000000"/>
                <w:kern w:val="0"/>
                <w:szCs w:val="21"/>
                <w:highlight w:val="none"/>
              </w:rPr>
            </w:pPr>
            <w:r>
              <w:rPr>
                <w:rFonts w:hint="eastAsia" w:ascii="Times New Roman" w:hAnsi="Times New Roman" w:eastAsia="方正仿宋_GBK" w:cs="Times New Roman"/>
                <w:color w:val="000000"/>
                <w:kern w:val="0"/>
                <w:szCs w:val="21"/>
                <w:highlight w:val="none"/>
                <w:lang w:eastAsia="zh-CN"/>
              </w:rPr>
              <w:t>1.</w:t>
            </w:r>
            <w:r>
              <w:rPr>
                <w:rFonts w:hint="default" w:ascii="Times New Roman" w:hAnsi="Times New Roman" w:eastAsia="方正仿宋_GBK" w:cs="Times New Roman"/>
                <w:color w:val="000000"/>
                <w:kern w:val="0"/>
                <w:szCs w:val="21"/>
                <w:highlight w:val="none"/>
              </w:rPr>
              <w:t>未经甲方书面批准擅自拆除设备及配件（紧急情况除外，但应征得甲方同意）；</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kern w:val="0"/>
                <w:szCs w:val="21"/>
                <w:highlight w:val="none"/>
              </w:rPr>
              <w:t>10分/次</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rPr>
                <w:rFonts w:hint="default" w:ascii="Times New Roman" w:hAnsi="Times New Roman" w:eastAsia="方正仿宋_GBK" w:cs="Times New Roman"/>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exact"/>
        </w:trPr>
        <w:tc>
          <w:tcPr>
            <w:tcW w:w="2069"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rPr>
                <w:rFonts w:hint="default" w:ascii="Times New Roman" w:hAnsi="Times New Roman" w:eastAsia="方正仿宋_GBK" w:cs="Times New Roman"/>
                <w:color w:val="000000"/>
                <w:kern w:val="0"/>
                <w:szCs w:val="21"/>
                <w:highlight w:val="none"/>
              </w:rPr>
            </w:pPr>
          </w:p>
        </w:tc>
        <w:tc>
          <w:tcPr>
            <w:tcW w:w="620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rPr>
                <w:rFonts w:hint="default" w:ascii="Times New Roman" w:hAnsi="Times New Roman" w:eastAsia="方正仿宋_GBK" w:cs="Times New Roman"/>
                <w:color w:val="000000"/>
                <w:kern w:val="0"/>
                <w:szCs w:val="21"/>
                <w:highlight w:val="none"/>
              </w:rPr>
            </w:pPr>
            <w:r>
              <w:rPr>
                <w:rFonts w:hint="eastAsia" w:ascii="Times New Roman" w:hAnsi="Times New Roman" w:eastAsia="方正仿宋_GBK" w:cs="Times New Roman"/>
                <w:color w:val="000000"/>
                <w:kern w:val="0"/>
                <w:szCs w:val="21"/>
                <w:highlight w:val="none"/>
                <w:lang w:eastAsia="zh-CN"/>
              </w:rPr>
              <w:t>2.</w:t>
            </w:r>
            <w:r>
              <w:rPr>
                <w:rFonts w:hint="default" w:ascii="Times New Roman" w:hAnsi="Times New Roman" w:eastAsia="方正仿宋_GBK" w:cs="Times New Roman"/>
                <w:color w:val="000000"/>
                <w:kern w:val="0"/>
                <w:szCs w:val="21"/>
                <w:highlight w:val="none"/>
              </w:rPr>
              <w:t>重大供配电设备故障（高、低压供配电设备等）处理不及时；</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kern w:val="0"/>
                <w:szCs w:val="21"/>
                <w:highlight w:val="none"/>
              </w:rPr>
              <w:t>10分/次</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rPr>
                <w:rFonts w:hint="default" w:ascii="Times New Roman" w:hAnsi="Times New Roman" w:eastAsia="方正仿宋_GBK" w:cs="Times New Roman"/>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exact"/>
        </w:trPr>
        <w:tc>
          <w:tcPr>
            <w:tcW w:w="2069"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rPr>
                <w:rFonts w:hint="default" w:ascii="Times New Roman" w:hAnsi="Times New Roman" w:eastAsia="方正仿宋_GBK" w:cs="Times New Roman"/>
                <w:color w:val="000000"/>
                <w:kern w:val="0"/>
                <w:szCs w:val="21"/>
                <w:highlight w:val="none"/>
              </w:rPr>
            </w:pPr>
          </w:p>
        </w:tc>
        <w:tc>
          <w:tcPr>
            <w:tcW w:w="6200"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rPr>
                <w:rFonts w:hint="default" w:ascii="Times New Roman" w:hAnsi="Times New Roman" w:eastAsia="方正仿宋_GBK" w:cs="Times New Roman"/>
                <w:color w:val="000000"/>
                <w:kern w:val="0"/>
                <w:szCs w:val="21"/>
                <w:highlight w:val="none"/>
              </w:rPr>
            </w:pPr>
            <w:r>
              <w:rPr>
                <w:rFonts w:hint="eastAsia" w:ascii="Times New Roman" w:hAnsi="Times New Roman" w:eastAsia="方正仿宋_GBK" w:cs="Times New Roman"/>
                <w:color w:val="000000"/>
                <w:kern w:val="0"/>
                <w:szCs w:val="21"/>
                <w:highlight w:val="none"/>
                <w:lang w:eastAsia="zh-CN"/>
              </w:rPr>
              <w:t>3.</w:t>
            </w:r>
            <w:r>
              <w:rPr>
                <w:rFonts w:hint="default" w:ascii="Times New Roman" w:hAnsi="Times New Roman" w:eastAsia="方正仿宋_GBK" w:cs="Times New Roman"/>
                <w:color w:val="000000"/>
                <w:kern w:val="0"/>
                <w:szCs w:val="21"/>
                <w:highlight w:val="none"/>
              </w:rPr>
              <w:t>人为因素造成小修时间超过2天；人为因素造成中修时间超过5天；人为因素造成大修时间超过30天；</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jc w:val="center"/>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kern w:val="0"/>
                <w:szCs w:val="21"/>
                <w:highlight w:val="none"/>
              </w:rPr>
              <w:t>10分/次</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rPr>
                <w:rFonts w:hint="default" w:ascii="Times New Roman" w:hAnsi="Times New Roman" w:eastAsia="方正仿宋_GBK" w:cs="Times New Roman"/>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trPr>
        <w:tc>
          <w:tcPr>
            <w:tcW w:w="9297"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jc w:val="center"/>
              <w:rPr>
                <w:rFonts w:hint="eastAsia" w:ascii="Times New Roman" w:hAnsi="Times New Roman" w:eastAsia="方正仿宋_GBK" w:cs="Times New Roman"/>
                <w:color w:val="000000"/>
                <w:kern w:val="0"/>
                <w:szCs w:val="21"/>
                <w:highlight w:val="none"/>
                <w:lang w:eastAsia="zh-CN"/>
              </w:rPr>
            </w:pPr>
            <w:r>
              <w:rPr>
                <w:rFonts w:hint="eastAsia" w:ascii="Times New Roman" w:hAnsi="Times New Roman" w:eastAsia="方正仿宋_GBK" w:cs="Times New Roman"/>
                <w:color w:val="000000"/>
                <w:kern w:val="0"/>
                <w:szCs w:val="21"/>
                <w:highlight w:val="none"/>
                <w:lang w:eastAsia="zh-CN"/>
              </w:rPr>
              <w:t>得分</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rPr>
                <w:rFonts w:hint="default" w:ascii="Times New Roman" w:hAnsi="Times New Roman" w:eastAsia="方正仿宋_GBK" w:cs="Times New Roman"/>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4" w:hRule="exact"/>
        </w:trPr>
        <w:tc>
          <w:tcPr>
            <w:tcW w:w="10325"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kern w:val="0"/>
                <w:szCs w:val="21"/>
                <w:highlight w:val="none"/>
              </w:rPr>
              <w:t>说明：</w:t>
            </w:r>
          </w:p>
          <w:p>
            <w:pPr>
              <w:adjustRightInd w:val="0"/>
              <w:spacing w:line="300" w:lineRule="exact"/>
              <w:ind w:firstLine="400" w:firstLineChars="200"/>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szCs w:val="21"/>
                <w:highlight w:val="none"/>
              </w:rPr>
              <w:t>总分为100分，每月考核得分不得低于90分，得分低于90分，扣除当月服务费</w:t>
            </w:r>
            <w:r>
              <w:rPr>
                <w:rFonts w:hint="default" w:ascii="Times New Roman" w:hAnsi="Times New Roman" w:eastAsia="方正仿宋_GBK" w:cs="Times New Roman"/>
                <w:color w:val="000000"/>
                <w:szCs w:val="21"/>
                <w:highlight w:val="none"/>
                <w:u w:val="single"/>
              </w:rPr>
              <w:t>5％</w:t>
            </w:r>
            <w:r>
              <w:rPr>
                <w:rFonts w:hint="default" w:ascii="Times New Roman" w:hAnsi="Times New Roman" w:eastAsia="方正仿宋_GBK" w:cs="Times New Roman"/>
                <w:color w:val="000000"/>
                <w:szCs w:val="21"/>
                <w:highlight w:val="none"/>
              </w:rPr>
              <w:t>；得分低于85分，扣除当月服务费</w:t>
            </w:r>
            <w:r>
              <w:rPr>
                <w:rFonts w:hint="default" w:ascii="Times New Roman" w:hAnsi="Times New Roman" w:eastAsia="方正仿宋_GBK" w:cs="Times New Roman"/>
                <w:color w:val="000000"/>
                <w:szCs w:val="21"/>
                <w:highlight w:val="none"/>
                <w:u w:val="single"/>
              </w:rPr>
              <w:t>10％</w:t>
            </w:r>
            <w:r>
              <w:rPr>
                <w:rFonts w:hint="default" w:ascii="Times New Roman" w:hAnsi="Times New Roman" w:eastAsia="方正仿宋_GBK" w:cs="Times New Roman"/>
                <w:color w:val="000000"/>
                <w:szCs w:val="21"/>
                <w:highlight w:val="none"/>
              </w:rPr>
              <w:t>；得分低于80分，扣除当月服务费</w:t>
            </w:r>
            <w:r>
              <w:rPr>
                <w:rFonts w:hint="default" w:ascii="Times New Roman" w:hAnsi="Times New Roman" w:eastAsia="方正仿宋_GBK" w:cs="Times New Roman"/>
                <w:color w:val="000000"/>
                <w:szCs w:val="21"/>
                <w:highlight w:val="none"/>
                <w:u w:val="single"/>
              </w:rPr>
              <w:t>20％</w:t>
            </w:r>
            <w:r>
              <w:rPr>
                <w:rFonts w:hint="default" w:ascii="Times New Roman" w:hAnsi="Times New Roman" w:eastAsia="方正仿宋_GBK" w:cs="Times New Roman"/>
                <w:color w:val="000000"/>
                <w:szCs w:val="21"/>
                <w:highlight w:val="none"/>
              </w:rPr>
              <w:t>；连续2次出现或合同期内累积出现3次</w:t>
            </w:r>
            <w:r>
              <w:rPr>
                <w:rFonts w:hint="default" w:ascii="Times New Roman" w:hAnsi="Times New Roman" w:eastAsia="方正仿宋_GBK" w:cs="Times New Roman"/>
                <w:color w:val="000000"/>
                <w:sz w:val="24"/>
                <w:highlight w:val="none"/>
              </w:rPr>
              <w:t>月考核分</w:t>
            </w:r>
            <w:r>
              <w:rPr>
                <w:rFonts w:hint="default" w:ascii="Times New Roman" w:hAnsi="Times New Roman" w:eastAsia="方正仿宋_GBK" w:cs="Times New Roman"/>
                <w:color w:val="000000"/>
                <w:szCs w:val="21"/>
                <w:highlight w:val="none"/>
              </w:rPr>
              <w:t>低于80分的，甲方有权单方解除合同，同时履约保证金不予退还且不被视为违约。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exact"/>
        </w:trPr>
        <w:tc>
          <w:tcPr>
            <w:tcW w:w="10325"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pacing w:line="300" w:lineRule="exact"/>
              <w:rPr>
                <w:rFonts w:hint="default" w:ascii="Times New Roman" w:hAnsi="Times New Roman" w:eastAsia="方正仿宋_GBK" w:cs="Times New Roman"/>
                <w:color w:val="000000"/>
                <w:kern w:val="0"/>
                <w:szCs w:val="21"/>
                <w:highlight w:val="none"/>
              </w:rPr>
            </w:pPr>
            <w:r>
              <w:rPr>
                <w:rFonts w:hint="eastAsia" w:ascii="Times New Roman" w:hAnsi="Times New Roman" w:eastAsia="方正仿宋_GBK" w:cs="Times New Roman"/>
                <w:color w:val="000000"/>
                <w:kern w:val="0"/>
                <w:szCs w:val="21"/>
                <w:highlight w:val="none"/>
                <w:lang w:eastAsia="zh-CN"/>
              </w:rPr>
              <w:t>服务中心</w:t>
            </w:r>
            <w:r>
              <w:rPr>
                <w:rFonts w:hint="default" w:ascii="Times New Roman" w:hAnsi="Times New Roman" w:eastAsia="方正仿宋_GBK" w:cs="Times New Roman"/>
                <w:color w:val="000000"/>
                <w:kern w:val="0"/>
                <w:szCs w:val="21"/>
                <w:highlight w:val="none"/>
              </w:rPr>
              <w:t>/项目部：                                            被考核单位：</w:t>
            </w:r>
          </w:p>
          <w:p>
            <w:pPr>
              <w:adjustRightInd w:val="0"/>
              <w:spacing w:line="300" w:lineRule="exact"/>
              <w:rPr>
                <w:rFonts w:hint="default" w:ascii="Times New Roman" w:hAnsi="Times New Roman" w:eastAsia="方正仿宋_GBK" w:cs="Times New Roman"/>
                <w:color w:val="000000"/>
                <w:kern w:val="0"/>
                <w:szCs w:val="21"/>
                <w:highlight w:val="none"/>
              </w:rPr>
            </w:pPr>
            <w:r>
              <w:rPr>
                <w:rFonts w:hint="default" w:ascii="Times New Roman" w:hAnsi="Times New Roman" w:eastAsia="方正仿宋_GBK" w:cs="Times New Roman"/>
                <w:color w:val="000000"/>
                <w:kern w:val="0"/>
                <w:szCs w:val="21"/>
                <w:highlight w:val="none"/>
              </w:rPr>
              <w:t>日  期：                                                          日  期：</w:t>
            </w:r>
          </w:p>
        </w:tc>
      </w:tr>
    </w:tbl>
    <w:p>
      <w:pPr>
        <w:pStyle w:val="11"/>
        <w:snapToGrid w:val="0"/>
        <w:ind w:firstLine="480"/>
        <w:jc w:val="center"/>
        <w:rPr>
          <w:rFonts w:hint="default" w:ascii="Times New Roman" w:hAnsi="Times New Roman" w:eastAsia="黑体" w:cs="Times New Roman"/>
          <w:b/>
          <w:bCs/>
          <w:color w:val="000000"/>
          <w:sz w:val="32"/>
          <w:szCs w:val="32"/>
          <w:highlight w:val="none"/>
        </w:rPr>
        <w:sectPr>
          <w:footerReference r:id="rId6" w:type="default"/>
          <w:pgSz w:w="11906" w:h="16838"/>
          <w:pgMar w:top="1270" w:right="1417" w:bottom="624" w:left="1417" w:header="851" w:footer="992" w:gutter="0"/>
          <w:pgNumType w:fmt="decimal"/>
          <w:cols w:space="720" w:num="1"/>
          <w:docGrid w:type="lines" w:linePitch="312" w:charSpace="0"/>
        </w:sectPr>
      </w:pPr>
    </w:p>
    <w:p>
      <w:pPr>
        <w:adjustRightInd w:val="0"/>
        <w:spacing w:line="600" w:lineRule="exact"/>
        <w:jc w:val="left"/>
        <w:rPr>
          <w:rFonts w:hint="default" w:ascii="Times New Roman" w:hAnsi="Times New Roman" w:eastAsia="方正仿宋_GBK" w:cs="Times New Roman"/>
          <w:b/>
          <w:color w:val="000000"/>
          <w:kern w:val="0"/>
          <w:sz w:val="28"/>
          <w:szCs w:val="28"/>
          <w:highlight w:val="none"/>
        </w:rPr>
      </w:pPr>
      <w:r>
        <w:rPr>
          <w:rFonts w:hint="default" w:ascii="Times New Roman" w:hAnsi="Times New Roman" w:eastAsia="方正仿宋_GBK" w:cs="Times New Roman"/>
          <w:b/>
          <w:color w:val="000000"/>
          <w:kern w:val="0"/>
          <w:sz w:val="28"/>
          <w:szCs w:val="28"/>
          <w:highlight w:val="none"/>
        </w:rPr>
        <w:t>附件二：免费零配件清单</w:t>
      </w:r>
    </w:p>
    <w:tbl>
      <w:tblPr>
        <w:tblStyle w:val="23"/>
        <w:tblpPr w:leftFromText="180" w:rightFromText="180" w:vertAnchor="text" w:horzAnchor="page" w:tblpX="1087" w:tblpY="371"/>
        <w:tblOverlap w:val="never"/>
        <w:tblW w:w="0" w:type="auto"/>
        <w:tblInd w:w="0" w:type="dxa"/>
        <w:tblLayout w:type="fixed"/>
        <w:tblCellMar>
          <w:top w:w="0" w:type="dxa"/>
          <w:left w:w="108" w:type="dxa"/>
          <w:bottom w:w="0" w:type="dxa"/>
          <w:right w:w="108" w:type="dxa"/>
        </w:tblCellMar>
      </w:tblPr>
      <w:tblGrid>
        <w:gridCol w:w="1000"/>
        <w:gridCol w:w="1650"/>
        <w:gridCol w:w="2269"/>
        <w:gridCol w:w="1393"/>
        <w:gridCol w:w="1638"/>
        <w:gridCol w:w="2000"/>
      </w:tblGrid>
      <w:tr>
        <w:tblPrEx>
          <w:tblCellMar>
            <w:top w:w="0" w:type="dxa"/>
            <w:left w:w="108" w:type="dxa"/>
            <w:bottom w:w="0" w:type="dxa"/>
            <w:right w:w="108" w:type="dxa"/>
          </w:tblCellMar>
        </w:tblPrEx>
        <w:trPr>
          <w:trHeight w:val="419" w:hRule="atLeast"/>
        </w:trPr>
        <w:tc>
          <w:tcPr>
            <w:tcW w:w="1000"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default" w:ascii="Times New Roman" w:hAnsi="Times New Roman" w:eastAsia="方正仿宋_GBK" w:cs="Times New Roman"/>
                <w:b/>
                <w:bCs/>
                <w:color w:val="000000"/>
                <w:sz w:val="24"/>
                <w:highlight w:val="none"/>
              </w:rPr>
            </w:pPr>
            <w:r>
              <w:rPr>
                <w:rFonts w:hint="default" w:ascii="Times New Roman" w:hAnsi="Times New Roman" w:eastAsia="方正仿宋_GBK" w:cs="Times New Roman"/>
                <w:b/>
                <w:bCs/>
                <w:color w:val="000000"/>
                <w:sz w:val="24"/>
                <w:highlight w:val="none"/>
              </w:rPr>
              <w:t>序号</w:t>
            </w:r>
          </w:p>
        </w:tc>
        <w:tc>
          <w:tcPr>
            <w:tcW w:w="1650" w:type="dxa"/>
            <w:tcBorders>
              <w:top w:val="single" w:color="auto" w:sz="4" w:space="0"/>
              <w:left w:val="single" w:color="auto" w:sz="4" w:space="0"/>
              <w:bottom w:val="single" w:color="auto" w:sz="4" w:space="0"/>
              <w:right w:val="single" w:color="auto" w:sz="4" w:space="0"/>
            </w:tcBorders>
            <w:noWrap w:val="0"/>
            <w:vAlign w:val="center"/>
          </w:tcPr>
          <w:p>
            <w:pPr>
              <w:adjustRightInd w:val="0"/>
              <w:ind w:firstLine="482" w:firstLineChars="200"/>
              <w:jc w:val="left"/>
              <w:rPr>
                <w:rFonts w:hint="default" w:ascii="Times New Roman" w:hAnsi="Times New Roman" w:eastAsia="方正仿宋_GBK" w:cs="Times New Roman"/>
                <w:b/>
                <w:bCs/>
                <w:color w:val="000000"/>
                <w:sz w:val="24"/>
                <w:highlight w:val="none"/>
              </w:rPr>
            </w:pPr>
            <w:r>
              <w:rPr>
                <w:rFonts w:hint="default" w:ascii="Times New Roman" w:hAnsi="Times New Roman" w:eastAsia="方正仿宋_GBK" w:cs="Times New Roman"/>
                <w:b/>
                <w:bCs/>
                <w:color w:val="000000"/>
                <w:sz w:val="24"/>
                <w:highlight w:val="none"/>
              </w:rPr>
              <w:t>材料</w:t>
            </w:r>
          </w:p>
        </w:tc>
        <w:tc>
          <w:tcPr>
            <w:tcW w:w="2269" w:type="dxa"/>
            <w:tcBorders>
              <w:top w:val="single" w:color="auto" w:sz="4" w:space="0"/>
              <w:left w:val="nil"/>
              <w:bottom w:val="single" w:color="auto" w:sz="4" w:space="0"/>
              <w:right w:val="single" w:color="auto" w:sz="4" w:space="0"/>
            </w:tcBorders>
            <w:noWrap w:val="0"/>
            <w:vAlign w:val="center"/>
          </w:tcPr>
          <w:p>
            <w:pPr>
              <w:adjustRightInd w:val="0"/>
              <w:ind w:firstLine="482" w:firstLineChars="200"/>
              <w:jc w:val="left"/>
              <w:rPr>
                <w:rFonts w:hint="default" w:ascii="Times New Roman" w:hAnsi="Times New Roman" w:eastAsia="方正仿宋_GBK" w:cs="Times New Roman"/>
                <w:b/>
                <w:bCs/>
                <w:color w:val="000000"/>
                <w:sz w:val="24"/>
                <w:highlight w:val="none"/>
              </w:rPr>
            </w:pPr>
            <w:r>
              <w:rPr>
                <w:rFonts w:hint="default" w:ascii="Times New Roman" w:hAnsi="Times New Roman" w:eastAsia="方正仿宋_GBK" w:cs="Times New Roman"/>
                <w:b/>
                <w:bCs/>
                <w:color w:val="000000"/>
                <w:sz w:val="24"/>
                <w:highlight w:val="none"/>
              </w:rPr>
              <w:t>型号</w:t>
            </w:r>
          </w:p>
        </w:tc>
        <w:tc>
          <w:tcPr>
            <w:tcW w:w="1393" w:type="dxa"/>
            <w:tcBorders>
              <w:top w:val="single" w:color="auto" w:sz="4" w:space="0"/>
              <w:left w:val="nil"/>
              <w:bottom w:val="single" w:color="auto" w:sz="4" w:space="0"/>
              <w:right w:val="single" w:color="auto" w:sz="4" w:space="0"/>
            </w:tcBorders>
            <w:noWrap w:val="0"/>
            <w:vAlign w:val="center"/>
          </w:tcPr>
          <w:p>
            <w:pPr>
              <w:adjustRightInd w:val="0"/>
              <w:ind w:firstLine="482" w:firstLineChars="200"/>
              <w:jc w:val="left"/>
              <w:rPr>
                <w:rFonts w:hint="default" w:ascii="Times New Roman" w:hAnsi="Times New Roman" w:eastAsia="方正仿宋_GBK" w:cs="Times New Roman"/>
                <w:b/>
                <w:bCs/>
                <w:color w:val="000000"/>
                <w:sz w:val="24"/>
                <w:highlight w:val="none"/>
              </w:rPr>
            </w:pPr>
            <w:r>
              <w:rPr>
                <w:rFonts w:hint="default" w:ascii="Times New Roman" w:hAnsi="Times New Roman" w:eastAsia="方正仿宋_GBK" w:cs="Times New Roman"/>
                <w:b/>
                <w:bCs/>
                <w:color w:val="000000"/>
                <w:sz w:val="24"/>
                <w:highlight w:val="none"/>
              </w:rPr>
              <w:t>序号</w:t>
            </w:r>
          </w:p>
        </w:tc>
        <w:tc>
          <w:tcPr>
            <w:tcW w:w="1638" w:type="dxa"/>
            <w:tcBorders>
              <w:top w:val="single" w:color="auto" w:sz="4" w:space="0"/>
              <w:left w:val="nil"/>
              <w:bottom w:val="single" w:color="auto" w:sz="4" w:space="0"/>
              <w:right w:val="single" w:color="auto" w:sz="4" w:space="0"/>
            </w:tcBorders>
            <w:noWrap w:val="0"/>
            <w:vAlign w:val="center"/>
          </w:tcPr>
          <w:p>
            <w:pPr>
              <w:adjustRightInd w:val="0"/>
              <w:ind w:firstLine="482" w:firstLineChars="200"/>
              <w:jc w:val="left"/>
              <w:rPr>
                <w:rFonts w:hint="default" w:ascii="Times New Roman" w:hAnsi="Times New Roman" w:eastAsia="方正仿宋_GBK" w:cs="Times New Roman"/>
                <w:b/>
                <w:bCs/>
                <w:color w:val="000000"/>
                <w:sz w:val="24"/>
                <w:highlight w:val="none"/>
              </w:rPr>
            </w:pPr>
            <w:r>
              <w:rPr>
                <w:rFonts w:hint="default" w:ascii="Times New Roman" w:hAnsi="Times New Roman" w:eastAsia="方正仿宋_GBK" w:cs="Times New Roman"/>
                <w:b/>
                <w:bCs/>
                <w:color w:val="000000"/>
                <w:sz w:val="24"/>
                <w:highlight w:val="none"/>
              </w:rPr>
              <w:t>材料</w:t>
            </w:r>
          </w:p>
        </w:tc>
        <w:tc>
          <w:tcPr>
            <w:tcW w:w="2000" w:type="dxa"/>
            <w:tcBorders>
              <w:top w:val="single" w:color="auto" w:sz="4" w:space="0"/>
              <w:left w:val="nil"/>
              <w:bottom w:val="single" w:color="auto" w:sz="4" w:space="0"/>
              <w:right w:val="single" w:color="auto" w:sz="4" w:space="0"/>
            </w:tcBorders>
            <w:noWrap w:val="0"/>
            <w:vAlign w:val="center"/>
          </w:tcPr>
          <w:p>
            <w:pPr>
              <w:adjustRightInd w:val="0"/>
              <w:ind w:firstLine="482" w:firstLineChars="200"/>
              <w:jc w:val="left"/>
              <w:rPr>
                <w:rFonts w:hint="default" w:ascii="Times New Roman" w:hAnsi="Times New Roman" w:eastAsia="方正仿宋_GBK" w:cs="Times New Roman"/>
                <w:b/>
                <w:bCs/>
                <w:color w:val="000000"/>
                <w:sz w:val="24"/>
                <w:highlight w:val="none"/>
              </w:rPr>
            </w:pPr>
            <w:r>
              <w:rPr>
                <w:rFonts w:hint="default" w:ascii="Times New Roman" w:hAnsi="Times New Roman" w:eastAsia="方正仿宋_GBK" w:cs="Times New Roman"/>
                <w:b/>
                <w:bCs/>
                <w:color w:val="000000"/>
                <w:sz w:val="24"/>
                <w:highlight w:val="none"/>
              </w:rPr>
              <w:t>型号</w:t>
            </w:r>
          </w:p>
        </w:tc>
      </w:tr>
      <w:tr>
        <w:tblPrEx>
          <w:tblCellMar>
            <w:top w:w="0" w:type="dxa"/>
            <w:left w:w="108" w:type="dxa"/>
            <w:bottom w:w="0" w:type="dxa"/>
            <w:right w:w="108" w:type="dxa"/>
          </w:tblCellMar>
        </w:tblPrEx>
        <w:trPr>
          <w:trHeight w:val="475" w:hRule="atLeast"/>
        </w:trPr>
        <w:tc>
          <w:tcPr>
            <w:tcW w:w="1000" w:type="dxa"/>
            <w:tcBorders>
              <w:top w:val="nil"/>
              <w:left w:val="single" w:color="auto" w:sz="4" w:space="0"/>
              <w:bottom w:val="single" w:color="auto" w:sz="4" w:space="0"/>
              <w:right w:val="single" w:color="auto" w:sz="4" w:space="0"/>
            </w:tcBorders>
            <w:noWrap w:val="0"/>
            <w:vAlign w:val="center"/>
          </w:tcPr>
          <w:p>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w:t>
            </w:r>
          </w:p>
        </w:tc>
        <w:tc>
          <w:tcPr>
            <w:tcW w:w="1650" w:type="dxa"/>
            <w:tcBorders>
              <w:top w:val="nil"/>
              <w:left w:val="single" w:color="auto" w:sz="4" w:space="0"/>
              <w:bottom w:val="single" w:color="auto" w:sz="4" w:space="0"/>
              <w:right w:val="single" w:color="auto" w:sz="4" w:space="0"/>
            </w:tcBorders>
            <w:noWrap w:val="0"/>
            <w:vAlign w:val="center"/>
          </w:tcPr>
          <w:p>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避雷器</w:t>
            </w:r>
          </w:p>
        </w:tc>
        <w:tc>
          <w:tcPr>
            <w:tcW w:w="2269" w:type="dxa"/>
            <w:tcBorders>
              <w:top w:val="nil"/>
              <w:left w:val="nil"/>
              <w:bottom w:val="single" w:color="auto" w:sz="4" w:space="0"/>
              <w:right w:val="single" w:color="auto" w:sz="4" w:space="0"/>
            </w:tcBorders>
            <w:noWrap w:val="0"/>
            <w:vAlign w:val="center"/>
          </w:tcPr>
          <w:p>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HY5WS-17/50</w:t>
            </w:r>
          </w:p>
        </w:tc>
        <w:tc>
          <w:tcPr>
            <w:tcW w:w="1393" w:type="dxa"/>
            <w:tcBorders>
              <w:top w:val="nil"/>
              <w:left w:val="nil"/>
              <w:bottom w:val="single" w:color="auto" w:sz="4" w:space="0"/>
              <w:right w:val="single" w:color="auto" w:sz="4" w:space="0"/>
            </w:tcBorders>
            <w:noWrap w:val="0"/>
            <w:vAlign w:val="center"/>
          </w:tcPr>
          <w:p>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21</w:t>
            </w:r>
          </w:p>
        </w:tc>
        <w:tc>
          <w:tcPr>
            <w:tcW w:w="1638" w:type="dxa"/>
            <w:tcBorders>
              <w:top w:val="nil"/>
              <w:left w:val="nil"/>
              <w:bottom w:val="single" w:color="auto" w:sz="4" w:space="0"/>
              <w:right w:val="single" w:color="auto" w:sz="4" w:space="0"/>
            </w:tcBorders>
            <w:noWrap w:val="0"/>
            <w:vAlign w:val="center"/>
          </w:tcPr>
          <w:p>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铜鼻子</w:t>
            </w:r>
          </w:p>
        </w:tc>
        <w:tc>
          <w:tcPr>
            <w:tcW w:w="2000" w:type="dxa"/>
            <w:tcBorders>
              <w:top w:val="nil"/>
              <w:left w:val="nil"/>
              <w:bottom w:val="single" w:color="auto" w:sz="4" w:space="0"/>
              <w:right w:val="single" w:color="auto" w:sz="4" w:space="0"/>
            </w:tcBorders>
            <w:noWrap w:val="0"/>
            <w:vAlign w:val="center"/>
          </w:tcPr>
          <w:p>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16</w:t>
            </w:r>
          </w:p>
        </w:tc>
      </w:tr>
      <w:tr>
        <w:tblPrEx>
          <w:tblCellMar>
            <w:top w:w="0" w:type="dxa"/>
            <w:left w:w="108" w:type="dxa"/>
            <w:bottom w:w="0" w:type="dxa"/>
            <w:right w:w="108" w:type="dxa"/>
          </w:tblCellMar>
        </w:tblPrEx>
        <w:trPr>
          <w:trHeight w:val="421" w:hRule="atLeast"/>
        </w:trPr>
        <w:tc>
          <w:tcPr>
            <w:tcW w:w="1000" w:type="dxa"/>
            <w:tcBorders>
              <w:top w:val="nil"/>
              <w:left w:val="single" w:color="auto" w:sz="4" w:space="0"/>
              <w:bottom w:val="single" w:color="auto" w:sz="4" w:space="0"/>
              <w:right w:val="single" w:color="auto" w:sz="4" w:space="0"/>
            </w:tcBorders>
            <w:noWrap w:val="0"/>
            <w:vAlign w:val="center"/>
          </w:tcPr>
          <w:p>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2</w:t>
            </w:r>
          </w:p>
        </w:tc>
        <w:tc>
          <w:tcPr>
            <w:tcW w:w="1650" w:type="dxa"/>
            <w:tcBorders>
              <w:top w:val="nil"/>
              <w:left w:val="single" w:color="auto" w:sz="4" w:space="0"/>
              <w:bottom w:val="single" w:color="auto" w:sz="4" w:space="0"/>
              <w:right w:val="single" w:color="auto" w:sz="4" w:space="0"/>
            </w:tcBorders>
            <w:noWrap w:val="0"/>
            <w:vAlign w:val="center"/>
          </w:tcPr>
          <w:p>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高压熔断器</w:t>
            </w:r>
          </w:p>
        </w:tc>
        <w:tc>
          <w:tcPr>
            <w:tcW w:w="2269" w:type="dxa"/>
            <w:tcBorders>
              <w:top w:val="nil"/>
              <w:left w:val="nil"/>
              <w:bottom w:val="single" w:color="auto" w:sz="4" w:space="0"/>
              <w:right w:val="single" w:color="auto" w:sz="4" w:space="0"/>
            </w:tcBorders>
            <w:noWrap w:val="0"/>
            <w:vAlign w:val="center"/>
          </w:tcPr>
          <w:p>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80A</w:t>
            </w:r>
          </w:p>
        </w:tc>
        <w:tc>
          <w:tcPr>
            <w:tcW w:w="1393" w:type="dxa"/>
            <w:tcBorders>
              <w:top w:val="nil"/>
              <w:left w:val="nil"/>
              <w:bottom w:val="single" w:color="auto" w:sz="4" w:space="0"/>
              <w:right w:val="single" w:color="auto" w:sz="4" w:space="0"/>
            </w:tcBorders>
            <w:noWrap w:val="0"/>
            <w:vAlign w:val="center"/>
          </w:tcPr>
          <w:p>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22</w:t>
            </w:r>
          </w:p>
        </w:tc>
        <w:tc>
          <w:tcPr>
            <w:tcW w:w="1638" w:type="dxa"/>
            <w:tcBorders>
              <w:top w:val="nil"/>
              <w:left w:val="nil"/>
              <w:bottom w:val="single" w:color="auto" w:sz="4" w:space="0"/>
              <w:right w:val="single" w:color="auto" w:sz="4" w:space="0"/>
            </w:tcBorders>
            <w:noWrap w:val="0"/>
            <w:vAlign w:val="center"/>
          </w:tcPr>
          <w:p>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铜鼻子</w:t>
            </w:r>
          </w:p>
        </w:tc>
        <w:tc>
          <w:tcPr>
            <w:tcW w:w="2000" w:type="dxa"/>
            <w:tcBorders>
              <w:top w:val="nil"/>
              <w:left w:val="nil"/>
              <w:bottom w:val="single" w:color="auto" w:sz="4" w:space="0"/>
              <w:right w:val="single" w:color="auto" w:sz="4" w:space="0"/>
            </w:tcBorders>
            <w:noWrap w:val="0"/>
            <w:vAlign w:val="center"/>
          </w:tcPr>
          <w:p>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25</w:t>
            </w:r>
          </w:p>
        </w:tc>
      </w:tr>
      <w:tr>
        <w:tblPrEx>
          <w:tblCellMar>
            <w:top w:w="0" w:type="dxa"/>
            <w:left w:w="108" w:type="dxa"/>
            <w:bottom w:w="0" w:type="dxa"/>
            <w:right w:w="108" w:type="dxa"/>
          </w:tblCellMar>
        </w:tblPrEx>
        <w:trPr>
          <w:trHeight w:val="421" w:hRule="atLeast"/>
        </w:trPr>
        <w:tc>
          <w:tcPr>
            <w:tcW w:w="1000" w:type="dxa"/>
            <w:tcBorders>
              <w:top w:val="nil"/>
              <w:left w:val="single" w:color="auto" w:sz="4" w:space="0"/>
              <w:bottom w:val="single" w:color="auto" w:sz="4" w:space="0"/>
              <w:right w:val="single" w:color="auto" w:sz="4" w:space="0"/>
            </w:tcBorders>
            <w:noWrap w:val="0"/>
            <w:vAlign w:val="center"/>
          </w:tcPr>
          <w:p>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3</w:t>
            </w:r>
          </w:p>
        </w:tc>
        <w:tc>
          <w:tcPr>
            <w:tcW w:w="1650" w:type="dxa"/>
            <w:tcBorders>
              <w:top w:val="nil"/>
              <w:left w:val="single" w:color="auto" w:sz="4" w:space="0"/>
              <w:bottom w:val="single" w:color="auto" w:sz="4" w:space="0"/>
              <w:right w:val="single" w:color="auto" w:sz="4" w:space="0"/>
            </w:tcBorders>
            <w:noWrap w:val="0"/>
            <w:vAlign w:val="center"/>
          </w:tcPr>
          <w:p>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高压熔断器</w:t>
            </w:r>
          </w:p>
        </w:tc>
        <w:tc>
          <w:tcPr>
            <w:tcW w:w="2269" w:type="dxa"/>
            <w:tcBorders>
              <w:top w:val="nil"/>
              <w:left w:val="nil"/>
              <w:bottom w:val="single" w:color="auto" w:sz="4" w:space="0"/>
              <w:right w:val="single" w:color="auto" w:sz="4" w:space="0"/>
            </w:tcBorders>
            <w:noWrap w:val="0"/>
            <w:vAlign w:val="center"/>
          </w:tcPr>
          <w:p>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63A</w:t>
            </w:r>
          </w:p>
        </w:tc>
        <w:tc>
          <w:tcPr>
            <w:tcW w:w="1393" w:type="dxa"/>
            <w:tcBorders>
              <w:top w:val="nil"/>
              <w:left w:val="nil"/>
              <w:bottom w:val="single" w:color="auto" w:sz="4" w:space="0"/>
              <w:right w:val="single" w:color="auto" w:sz="4" w:space="0"/>
            </w:tcBorders>
            <w:noWrap w:val="0"/>
            <w:vAlign w:val="center"/>
          </w:tcPr>
          <w:p>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23</w:t>
            </w:r>
          </w:p>
        </w:tc>
        <w:tc>
          <w:tcPr>
            <w:tcW w:w="1638" w:type="dxa"/>
            <w:tcBorders>
              <w:top w:val="nil"/>
              <w:left w:val="nil"/>
              <w:bottom w:val="single" w:color="auto" w:sz="4" w:space="0"/>
              <w:right w:val="single" w:color="auto" w:sz="4" w:space="0"/>
            </w:tcBorders>
            <w:noWrap w:val="0"/>
            <w:vAlign w:val="center"/>
          </w:tcPr>
          <w:p>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铜鼻子</w:t>
            </w:r>
          </w:p>
        </w:tc>
        <w:tc>
          <w:tcPr>
            <w:tcW w:w="2000" w:type="dxa"/>
            <w:tcBorders>
              <w:top w:val="nil"/>
              <w:left w:val="nil"/>
              <w:bottom w:val="single" w:color="auto" w:sz="4" w:space="0"/>
              <w:right w:val="single" w:color="auto" w:sz="4" w:space="0"/>
            </w:tcBorders>
            <w:noWrap w:val="0"/>
            <w:vAlign w:val="center"/>
          </w:tcPr>
          <w:p>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35</w:t>
            </w:r>
          </w:p>
        </w:tc>
      </w:tr>
      <w:tr>
        <w:tblPrEx>
          <w:tblCellMar>
            <w:top w:w="0" w:type="dxa"/>
            <w:left w:w="108" w:type="dxa"/>
            <w:bottom w:w="0" w:type="dxa"/>
            <w:right w:w="108" w:type="dxa"/>
          </w:tblCellMar>
        </w:tblPrEx>
        <w:trPr>
          <w:trHeight w:val="421" w:hRule="atLeast"/>
        </w:trPr>
        <w:tc>
          <w:tcPr>
            <w:tcW w:w="1000" w:type="dxa"/>
            <w:tcBorders>
              <w:top w:val="nil"/>
              <w:left w:val="single" w:color="auto" w:sz="4" w:space="0"/>
              <w:bottom w:val="single" w:color="auto" w:sz="4" w:space="0"/>
              <w:right w:val="single" w:color="auto" w:sz="4" w:space="0"/>
            </w:tcBorders>
            <w:noWrap w:val="0"/>
            <w:vAlign w:val="center"/>
          </w:tcPr>
          <w:p>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4</w:t>
            </w:r>
          </w:p>
        </w:tc>
        <w:tc>
          <w:tcPr>
            <w:tcW w:w="1650" w:type="dxa"/>
            <w:tcBorders>
              <w:top w:val="nil"/>
              <w:left w:val="single" w:color="auto" w:sz="4" w:space="0"/>
              <w:bottom w:val="single" w:color="auto" w:sz="4" w:space="0"/>
              <w:right w:val="single" w:color="auto" w:sz="4" w:space="0"/>
            </w:tcBorders>
            <w:noWrap w:val="0"/>
            <w:vAlign w:val="center"/>
          </w:tcPr>
          <w:p>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高压熔断器</w:t>
            </w:r>
          </w:p>
        </w:tc>
        <w:tc>
          <w:tcPr>
            <w:tcW w:w="2269" w:type="dxa"/>
            <w:tcBorders>
              <w:top w:val="nil"/>
              <w:left w:val="nil"/>
              <w:bottom w:val="single" w:color="auto" w:sz="4" w:space="0"/>
              <w:right w:val="single" w:color="auto" w:sz="4" w:space="0"/>
            </w:tcBorders>
            <w:noWrap w:val="0"/>
            <w:vAlign w:val="center"/>
          </w:tcPr>
          <w:p>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50A</w:t>
            </w:r>
          </w:p>
        </w:tc>
        <w:tc>
          <w:tcPr>
            <w:tcW w:w="1393" w:type="dxa"/>
            <w:tcBorders>
              <w:top w:val="nil"/>
              <w:left w:val="nil"/>
              <w:bottom w:val="single" w:color="auto" w:sz="4" w:space="0"/>
              <w:right w:val="single" w:color="auto" w:sz="4" w:space="0"/>
            </w:tcBorders>
            <w:noWrap w:val="0"/>
            <w:vAlign w:val="center"/>
          </w:tcPr>
          <w:p>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24</w:t>
            </w:r>
          </w:p>
        </w:tc>
        <w:tc>
          <w:tcPr>
            <w:tcW w:w="1638" w:type="dxa"/>
            <w:tcBorders>
              <w:top w:val="nil"/>
              <w:left w:val="nil"/>
              <w:bottom w:val="single" w:color="auto" w:sz="4" w:space="0"/>
              <w:right w:val="single" w:color="auto" w:sz="4" w:space="0"/>
            </w:tcBorders>
            <w:noWrap w:val="0"/>
            <w:vAlign w:val="center"/>
          </w:tcPr>
          <w:p>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铜鼻子</w:t>
            </w:r>
          </w:p>
        </w:tc>
        <w:tc>
          <w:tcPr>
            <w:tcW w:w="2000" w:type="dxa"/>
            <w:tcBorders>
              <w:top w:val="nil"/>
              <w:left w:val="nil"/>
              <w:bottom w:val="single" w:color="auto" w:sz="4" w:space="0"/>
              <w:right w:val="single" w:color="auto" w:sz="4" w:space="0"/>
            </w:tcBorders>
            <w:noWrap w:val="0"/>
            <w:vAlign w:val="center"/>
          </w:tcPr>
          <w:p>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50</w:t>
            </w:r>
          </w:p>
        </w:tc>
      </w:tr>
      <w:tr>
        <w:tblPrEx>
          <w:tblCellMar>
            <w:top w:w="0" w:type="dxa"/>
            <w:left w:w="108" w:type="dxa"/>
            <w:bottom w:w="0" w:type="dxa"/>
            <w:right w:w="108" w:type="dxa"/>
          </w:tblCellMar>
        </w:tblPrEx>
        <w:trPr>
          <w:trHeight w:val="421" w:hRule="atLeast"/>
        </w:trPr>
        <w:tc>
          <w:tcPr>
            <w:tcW w:w="1000" w:type="dxa"/>
            <w:tcBorders>
              <w:top w:val="nil"/>
              <w:left w:val="single" w:color="auto" w:sz="4" w:space="0"/>
              <w:bottom w:val="single" w:color="auto" w:sz="4" w:space="0"/>
              <w:right w:val="single" w:color="auto" w:sz="4" w:space="0"/>
            </w:tcBorders>
            <w:noWrap w:val="0"/>
            <w:vAlign w:val="center"/>
          </w:tcPr>
          <w:p>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5</w:t>
            </w:r>
          </w:p>
        </w:tc>
        <w:tc>
          <w:tcPr>
            <w:tcW w:w="1650" w:type="dxa"/>
            <w:tcBorders>
              <w:top w:val="nil"/>
              <w:left w:val="single" w:color="auto" w:sz="4" w:space="0"/>
              <w:bottom w:val="single" w:color="auto" w:sz="4" w:space="0"/>
              <w:right w:val="single" w:color="auto" w:sz="4" w:space="0"/>
            </w:tcBorders>
            <w:noWrap w:val="0"/>
            <w:vAlign w:val="center"/>
          </w:tcPr>
          <w:p>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高压熔断器</w:t>
            </w:r>
          </w:p>
        </w:tc>
        <w:tc>
          <w:tcPr>
            <w:tcW w:w="2269" w:type="dxa"/>
            <w:tcBorders>
              <w:top w:val="nil"/>
              <w:left w:val="nil"/>
              <w:bottom w:val="single" w:color="auto" w:sz="4" w:space="0"/>
              <w:right w:val="single" w:color="auto" w:sz="4" w:space="0"/>
            </w:tcBorders>
            <w:noWrap w:val="0"/>
            <w:vAlign w:val="center"/>
          </w:tcPr>
          <w:p>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40A</w:t>
            </w:r>
          </w:p>
        </w:tc>
        <w:tc>
          <w:tcPr>
            <w:tcW w:w="1393" w:type="dxa"/>
            <w:tcBorders>
              <w:top w:val="nil"/>
              <w:left w:val="nil"/>
              <w:bottom w:val="single" w:color="auto" w:sz="4" w:space="0"/>
              <w:right w:val="single" w:color="auto" w:sz="4" w:space="0"/>
            </w:tcBorders>
            <w:noWrap w:val="0"/>
            <w:vAlign w:val="center"/>
          </w:tcPr>
          <w:p>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25</w:t>
            </w:r>
          </w:p>
        </w:tc>
        <w:tc>
          <w:tcPr>
            <w:tcW w:w="1638" w:type="dxa"/>
            <w:tcBorders>
              <w:top w:val="nil"/>
              <w:left w:val="nil"/>
              <w:bottom w:val="single" w:color="auto" w:sz="4" w:space="0"/>
              <w:right w:val="single" w:color="auto" w:sz="4" w:space="0"/>
            </w:tcBorders>
            <w:noWrap w:val="0"/>
            <w:vAlign w:val="center"/>
          </w:tcPr>
          <w:p>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铜鼻子</w:t>
            </w:r>
          </w:p>
        </w:tc>
        <w:tc>
          <w:tcPr>
            <w:tcW w:w="2000" w:type="dxa"/>
            <w:tcBorders>
              <w:top w:val="nil"/>
              <w:left w:val="nil"/>
              <w:bottom w:val="single" w:color="auto" w:sz="4" w:space="0"/>
              <w:right w:val="single" w:color="auto" w:sz="4" w:space="0"/>
            </w:tcBorders>
            <w:noWrap w:val="0"/>
            <w:vAlign w:val="center"/>
          </w:tcPr>
          <w:p>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70</w:t>
            </w:r>
          </w:p>
        </w:tc>
      </w:tr>
      <w:tr>
        <w:tblPrEx>
          <w:tblCellMar>
            <w:top w:w="0" w:type="dxa"/>
            <w:left w:w="108" w:type="dxa"/>
            <w:bottom w:w="0" w:type="dxa"/>
            <w:right w:w="108" w:type="dxa"/>
          </w:tblCellMar>
        </w:tblPrEx>
        <w:trPr>
          <w:trHeight w:val="421" w:hRule="atLeast"/>
        </w:trPr>
        <w:tc>
          <w:tcPr>
            <w:tcW w:w="1000" w:type="dxa"/>
            <w:tcBorders>
              <w:top w:val="nil"/>
              <w:left w:val="single" w:color="auto" w:sz="4" w:space="0"/>
              <w:bottom w:val="single" w:color="auto" w:sz="4" w:space="0"/>
              <w:right w:val="single" w:color="auto" w:sz="4" w:space="0"/>
            </w:tcBorders>
            <w:noWrap w:val="0"/>
            <w:vAlign w:val="center"/>
          </w:tcPr>
          <w:p>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6</w:t>
            </w:r>
          </w:p>
        </w:tc>
        <w:tc>
          <w:tcPr>
            <w:tcW w:w="1650" w:type="dxa"/>
            <w:tcBorders>
              <w:top w:val="nil"/>
              <w:left w:val="single" w:color="auto" w:sz="4" w:space="0"/>
              <w:bottom w:val="single" w:color="auto" w:sz="4" w:space="0"/>
              <w:right w:val="single" w:color="auto" w:sz="4" w:space="0"/>
            </w:tcBorders>
            <w:noWrap w:val="0"/>
            <w:vAlign w:val="center"/>
          </w:tcPr>
          <w:p>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高压熔断器</w:t>
            </w:r>
          </w:p>
        </w:tc>
        <w:tc>
          <w:tcPr>
            <w:tcW w:w="2269" w:type="dxa"/>
            <w:tcBorders>
              <w:top w:val="nil"/>
              <w:left w:val="nil"/>
              <w:bottom w:val="single" w:color="auto" w:sz="4" w:space="0"/>
              <w:right w:val="single" w:color="auto" w:sz="4" w:space="0"/>
            </w:tcBorders>
            <w:noWrap w:val="0"/>
            <w:vAlign w:val="center"/>
          </w:tcPr>
          <w:p>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31.5A</w:t>
            </w:r>
          </w:p>
        </w:tc>
        <w:tc>
          <w:tcPr>
            <w:tcW w:w="1393" w:type="dxa"/>
            <w:tcBorders>
              <w:top w:val="nil"/>
              <w:left w:val="nil"/>
              <w:bottom w:val="single" w:color="auto" w:sz="4" w:space="0"/>
              <w:right w:val="single" w:color="auto" w:sz="4" w:space="0"/>
            </w:tcBorders>
            <w:noWrap w:val="0"/>
            <w:vAlign w:val="center"/>
          </w:tcPr>
          <w:p>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26</w:t>
            </w:r>
          </w:p>
        </w:tc>
        <w:tc>
          <w:tcPr>
            <w:tcW w:w="1638" w:type="dxa"/>
            <w:tcBorders>
              <w:top w:val="nil"/>
              <w:left w:val="nil"/>
              <w:bottom w:val="single" w:color="auto" w:sz="4" w:space="0"/>
              <w:right w:val="single" w:color="auto" w:sz="4" w:space="0"/>
            </w:tcBorders>
            <w:noWrap w:val="0"/>
            <w:vAlign w:val="center"/>
          </w:tcPr>
          <w:p>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铜鼻子</w:t>
            </w:r>
          </w:p>
        </w:tc>
        <w:tc>
          <w:tcPr>
            <w:tcW w:w="2000" w:type="dxa"/>
            <w:tcBorders>
              <w:top w:val="nil"/>
              <w:left w:val="nil"/>
              <w:bottom w:val="single" w:color="auto" w:sz="4" w:space="0"/>
              <w:right w:val="single" w:color="auto" w:sz="4" w:space="0"/>
            </w:tcBorders>
            <w:noWrap w:val="0"/>
            <w:vAlign w:val="center"/>
          </w:tcPr>
          <w:p>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95</w:t>
            </w:r>
          </w:p>
        </w:tc>
      </w:tr>
      <w:tr>
        <w:tblPrEx>
          <w:tblCellMar>
            <w:top w:w="0" w:type="dxa"/>
            <w:left w:w="108" w:type="dxa"/>
            <w:bottom w:w="0" w:type="dxa"/>
            <w:right w:w="108" w:type="dxa"/>
          </w:tblCellMar>
        </w:tblPrEx>
        <w:trPr>
          <w:trHeight w:val="421" w:hRule="atLeast"/>
        </w:trPr>
        <w:tc>
          <w:tcPr>
            <w:tcW w:w="1000" w:type="dxa"/>
            <w:tcBorders>
              <w:top w:val="nil"/>
              <w:left w:val="single" w:color="auto" w:sz="4" w:space="0"/>
              <w:bottom w:val="single" w:color="auto" w:sz="4" w:space="0"/>
              <w:right w:val="single" w:color="auto" w:sz="4" w:space="0"/>
            </w:tcBorders>
            <w:noWrap w:val="0"/>
            <w:vAlign w:val="center"/>
          </w:tcPr>
          <w:p>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7</w:t>
            </w:r>
          </w:p>
        </w:tc>
        <w:tc>
          <w:tcPr>
            <w:tcW w:w="1650" w:type="dxa"/>
            <w:tcBorders>
              <w:top w:val="nil"/>
              <w:left w:val="single" w:color="auto" w:sz="4" w:space="0"/>
              <w:bottom w:val="single" w:color="auto" w:sz="4" w:space="0"/>
              <w:right w:val="single" w:color="auto" w:sz="4" w:space="0"/>
            </w:tcBorders>
            <w:noWrap w:val="0"/>
            <w:vAlign w:val="center"/>
          </w:tcPr>
          <w:p>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高压熔断器</w:t>
            </w:r>
          </w:p>
        </w:tc>
        <w:tc>
          <w:tcPr>
            <w:tcW w:w="2269" w:type="dxa"/>
            <w:tcBorders>
              <w:top w:val="nil"/>
              <w:left w:val="nil"/>
              <w:bottom w:val="single" w:color="auto" w:sz="4" w:space="0"/>
              <w:right w:val="single" w:color="auto" w:sz="4" w:space="0"/>
            </w:tcBorders>
            <w:noWrap w:val="0"/>
            <w:vAlign w:val="center"/>
          </w:tcPr>
          <w:p>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20A</w:t>
            </w:r>
          </w:p>
        </w:tc>
        <w:tc>
          <w:tcPr>
            <w:tcW w:w="1393" w:type="dxa"/>
            <w:tcBorders>
              <w:top w:val="nil"/>
              <w:left w:val="nil"/>
              <w:bottom w:val="single" w:color="auto" w:sz="4" w:space="0"/>
              <w:right w:val="single" w:color="auto" w:sz="4" w:space="0"/>
            </w:tcBorders>
            <w:noWrap w:val="0"/>
            <w:vAlign w:val="center"/>
          </w:tcPr>
          <w:p>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27</w:t>
            </w:r>
          </w:p>
        </w:tc>
        <w:tc>
          <w:tcPr>
            <w:tcW w:w="1638" w:type="dxa"/>
            <w:tcBorders>
              <w:top w:val="nil"/>
              <w:left w:val="nil"/>
              <w:bottom w:val="single" w:color="auto" w:sz="4" w:space="0"/>
              <w:right w:val="single" w:color="auto" w:sz="4" w:space="0"/>
            </w:tcBorders>
            <w:noWrap w:val="0"/>
            <w:vAlign w:val="center"/>
          </w:tcPr>
          <w:p>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铜鼻子</w:t>
            </w:r>
          </w:p>
        </w:tc>
        <w:tc>
          <w:tcPr>
            <w:tcW w:w="2000" w:type="dxa"/>
            <w:tcBorders>
              <w:top w:val="nil"/>
              <w:left w:val="nil"/>
              <w:bottom w:val="single" w:color="auto" w:sz="4" w:space="0"/>
              <w:right w:val="single" w:color="auto" w:sz="4" w:space="0"/>
            </w:tcBorders>
            <w:noWrap w:val="0"/>
            <w:vAlign w:val="center"/>
          </w:tcPr>
          <w:p>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120</w:t>
            </w:r>
          </w:p>
        </w:tc>
      </w:tr>
      <w:tr>
        <w:tblPrEx>
          <w:tblCellMar>
            <w:top w:w="0" w:type="dxa"/>
            <w:left w:w="108" w:type="dxa"/>
            <w:bottom w:w="0" w:type="dxa"/>
            <w:right w:w="108" w:type="dxa"/>
          </w:tblCellMar>
        </w:tblPrEx>
        <w:trPr>
          <w:trHeight w:val="421" w:hRule="atLeast"/>
        </w:trPr>
        <w:tc>
          <w:tcPr>
            <w:tcW w:w="1000" w:type="dxa"/>
            <w:tcBorders>
              <w:top w:val="nil"/>
              <w:left w:val="single" w:color="auto" w:sz="4" w:space="0"/>
              <w:bottom w:val="single" w:color="auto" w:sz="4" w:space="0"/>
              <w:right w:val="single" w:color="auto" w:sz="4" w:space="0"/>
            </w:tcBorders>
            <w:noWrap w:val="0"/>
            <w:vAlign w:val="center"/>
          </w:tcPr>
          <w:p>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8</w:t>
            </w:r>
          </w:p>
        </w:tc>
        <w:tc>
          <w:tcPr>
            <w:tcW w:w="1650" w:type="dxa"/>
            <w:tcBorders>
              <w:top w:val="nil"/>
              <w:left w:val="single" w:color="auto" w:sz="4" w:space="0"/>
              <w:bottom w:val="single" w:color="auto" w:sz="4" w:space="0"/>
              <w:right w:val="single" w:color="auto" w:sz="4" w:space="0"/>
            </w:tcBorders>
            <w:noWrap w:val="0"/>
            <w:vAlign w:val="center"/>
          </w:tcPr>
          <w:p>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高压熔断器</w:t>
            </w:r>
          </w:p>
        </w:tc>
        <w:tc>
          <w:tcPr>
            <w:tcW w:w="2269" w:type="dxa"/>
            <w:tcBorders>
              <w:top w:val="nil"/>
              <w:left w:val="nil"/>
              <w:bottom w:val="single" w:color="auto" w:sz="4" w:space="0"/>
              <w:right w:val="single" w:color="auto" w:sz="4" w:space="0"/>
            </w:tcBorders>
            <w:noWrap w:val="0"/>
            <w:vAlign w:val="center"/>
          </w:tcPr>
          <w:p>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16A</w:t>
            </w:r>
          </w:p>
        </w:tc>
        <w:tc>
          <w:tcPr>
            <w:tcW w:w="1393" w:type="dxa"/>
            <w:tcBorders>
              <w:top w:val="nil"/>
              <w:left w:val="nil"/>
              <w:bottom w:val="single" w:color="auto" w:sz="4" w:space="0"/>
              <w:right w:val="single" w:color="auto" w:sz="4" w:space="0"/>
            </w:tcBorders>
            <w:noWrap w:val="0"/>
            <w:vAlign w:val="center"/>
          </w:tcPr>
          <w:p>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28</w:t>
            </w:r>
          </w:p>
        </w:tc>
        <w:tc>
          <w:tcPr>
            <w:tcW w:w="1638" w:type="dxa"/>
            <w:tcBorders>
              <w:top w:val="nil"/>
              <w:left w:val="nil"/>
              <w:bottom w:val="single" w:color="auto" w:sz="4" w:space="0"/>
              <w:right w:val="single" w:color="auto" w:sz="4" w:space="0"/>
            </w:tcBorders>
            <w:noWrap w:val="0"/>
            <w:vAlign w:val="center"/>
          </w:tcPr>
          <w:p>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铜鼻子</w:t>
            </w:r>
          </w:p>
        </w:tc>
        <w:tc>
          <w:tcPr>
            <w:tcW w:w="2000" w:type="dxa"/>
            <w:tcBorders>
              <w:top w:val="nil"/>
              <w:left w:val="nil"/>
              <w:bottom w:val="single" w:color="auto" w:sz="4" w:space="0"/>
              <w:right w:val="single" w:color="auto" w:sz="4" w:space="0"/>
            </w:tcBorders>
            <w:noWrap w:val="0"/>
            <w:vAlign w:val="center"/>
          </w:tcPr>
          <w:p>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150</w:t>
            </w:r>
          </w:p>
        </w:tc>
      </w:tr>
      <w:tr>
        <w:tblPrEx>
          <w:tblCellMar>
            <w:top w:w="0" w:type="dxa"/>
            <w:left w:w="108" w:type="dxa"/>
            <w:bottom w:w="0" w:type="dxa"/>
            <w:right w:w="108" w:type="dxa"/>
          </w:tblCellMar>
        </w:tblPrEx>
        <w:trPr>
          <w:trHeight w:val="421" w:hRule="atLeast"/>
        </w:trPr>
        <w:tc>
          <w:tcPr>
            <w:tcW w:w="1000" w:type="dxa"/>
            <w:tcBorders>
              <w:top w:val="nil"/>
              <w:left w:val="single" w:color="auto" w:sz="4" w:space="0"/>
              <w:bottom w:val="single" w:color="auto" w:sz="4" w:space="0"/>
              <w:right w:val="single" w:color="auto" w:sz="4" w:space="0"/>
            </w:tcBorders>
            <w:noWrap w:val="0"/>
            <w:vAlign w:val="center"/>
          </w:tcPr>
          <w:p>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9</w:t>
            </w:r>
          </w:p>
        </w:tc>
        <w:tc>
          <w:tcPr>
            <w:tcW w:w="1650" w:type="dxa"/>
            <w:tcBorders>
              <w:top w:val="nil"/>
              <w:left w:val="single" w:color="auto" w:sz="4" w:space="0"/>
              <w:bottom w:val="single" w:color="auto" w:sz="4" w:space="0"/>
              <w:right w:val="single" w:color="auto" w:sz="4" w:space="0"/>
            </w:tcBorders>
            <w:noWrap w:val="0"/>
            <w:vAlign w:val="center"/>
          </w:tcPr>
          <w:p>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高压熔断器</w:t>
            </w:r>
          </w:p>
        </w:tc>
        <w:tc>
          <w:tcPr>
            <w:tcW w:w="2269" w:type="dxa"/>
            <w:tcBorders>
              <w:top w:val="nil"/>
              <w:left w:val="nil"/>
              <w:bottom w:val="single" w:color="auto" w:sz="4" w:space="0"/>
              <w:right w:val="single" w:color="auto" w:sz="4" w:space="0"/>
            </w:tcBorders>
            <w:noWrap w:val="0"/>
            <w:vAlign w:val="center"/>
          </w:tcPr>
          <w:p>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0.5A</w:t>
            </w:r>
          </w:p>
        </w:tc>
        <w:tc>
          <w:tcPr>
            <w:tcW w:w="1393" w:type="dxa"/>
            <w:tcBorders>
              <w:top w:val="nil"/>
              <w:left w:val="nil"/>
              <w:bottom w:val="single" w:color="auto" w:sz="4" w:space="0"/>
              <w:right w:val="single" w:color="auto" w:sz="4" w:space="0"/>
            </w:tcBorders>
            <w:noWrap w:val="0"/>
            <w:vAlign w:val="center"/>
          </w:tcPr>
          <w:p>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29</w:t>
            </w:r>
          </w:p>
        </w:tc>
        <w:tc>
          <w:tcPr>
            <w:tcW w:w="1638" w:type="dxa"/>
            <w:tcBorders>
              <w:top w:val="nil"/>
              <w:left w:val="nil"/>
              <w:bottom w:val="single" w:color="auto" w:sz="4" w:space="0"/>
              <w:right w:val="single" w:color="auto" w:sz="4" w:space="0"/>
            </w:tcBorders>
            <w:noWrap w:val="0"/>
            <w:vAlign w:val="center"/>
          </w:tcPr>
          <w:p>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铜鼻子</w:t>
            </w:r>
          </w:p>
        </w:tc>
        <w:tc>
          <w:tcPr>
            <w:tcW w:w="2000" w:type="dxa"/>
            <w:tcBorders>
              <w:top w:val="nil"/>
              <w:left w:val="nil"/>
              <w:bottom w:val="single" w:color="auto" w:sz="4" w:space="0"/>
              <w:right w:val="single" w:color="auto" w:sz="4" w:space="0"/>
            </w:tcBorders>
            <w:noWrap w:val="0"/>
            <w:vAlign w:val="center"/>
          </w:tcPr>
          <w:p>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185</w:t>
            </w:r>
          </w:p>
        </w:tc>
      </w:tr>
      <w:tr>
        <w:tblPrEx>
          <w:tblCellMar>
            <w:top w:w="0" w:type="dxa"/>
            <w:left w:w="108" w:type="dxa"/>
            <w:bottom w:w="0" w:type="dxa"/>
            <w:right w:w="108" w:type="dxa"/>
          </w:tblCellMar>
        </w:tblPrEx>
        <w:trPr>
          <w:trHeight w:val="421" w:hRule="atLeast"/>
        </w:trPr>
        <w:tc>
          <w:tcPr>
            <w:tcW w:w="1000" w:type="dxa"/>
            <w:tcBorders>
              <w:top w:val="nil"/>
              <w:left w:val="single" w:color="auto" w:sz="4" w:space="0"/>
              <w:bottom w:val="single" w:color="auto" w:sz="4" w:space="0"/>
              <w:right w:val="single" w:color="auto" w:sz="4" w:space="0"/>
            </w:tcBorders>
            <w:noWrap w:val="0"/>
            <w:vAlign w:val="center"/>
          </w:tcPr>
          <w:p>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10</w:t>
            </w:r>
          </w:p>
        </w:tc>
        <w:tc>
          <w:tcPr>
            <w:tcW w:w="1650" w:type="dxa"/>
            <w:tcBorders>
              <w:top w:val="nil"/>
              <w:left w:val="single" w:color="auto" w:sz="4" w:space="0"/>
              <w:bottom w:val="single" w:color="auto" w:sz="4" w:space="0"/>
              <w:right w:val="single" w:color="auto" w:sz="4" w:space="0"/>
            </w:tcBorders>
            <w:noWrap w:val="0"/>
            <w:vAlign w:val="center"/>
          </w:tcPr>
          <w:p>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热继电器</w:t>
            </w:r>
          </w:p>
        </w:tc>
        <w:tc>
          <w:tcPr>
            <w:tcW w:w="2269" w:type="dxa"/>
            <w:tcBorders>
              <w:top w:val="nil"/>
              <w:left w:val="nil"/>
              <w:bottom w:val="single" w:color="auto" w:sz="4" w:space="0"/>
              <w:right w:val="single" w:color="auto" w:sz="4" w:space="0"/>
            </w:tcBorders>
            <w:noWrap w:val="0"/>
            <w:vAlign w:val="center"/>
          </w:tcPr>
          <w:p>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JR36-63</w:t>
            </w:r>
          </w:p>
        </w:tc>
        <w:tc>
          <w:tcPr>
            <w:tcW w:w="1393" w:type="dxa"/>
            <w:tcBorders>
              <w:top w:val="nil"/>
              <w:left w:val="nil"/>
              <w:bottom w:val="single" w:color="auto" w:sz="4" w:space="0"/>
              <w:right w:val="single" w:color="auto" w:sz="4" w:space="0"/>
            </w:tcBorders>
            <w:noWrap w:val="0"/>
            <w:vAlign w:val="center"/>
          </w:tcPr>
          <w:p>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30</w:t>
            </w:r>
          </w:p>
        </w:tc>
        <w:tc>
          <w:tcPr>
            <w:tcW w:w="1638" w:type="dxa"/>
            <w:tcBorders>
              <w:top w:val="nil"/>
              <w:left w:val="nil"/>
              <w:bottom w:val="single" w:color="auto" w:sz="4" w:space="0"/>
              <w:right w:val="single" w:color="auto" w:sz="4" w:space="0"/>
            </w:tcBorders>
            <w:noWrap w:val="0"/>
            <w:vAlign w:val="center"/>
          </w:tcPr>
          <w:p>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铜鼻子</w:t>
            </w:r>
          </w:p>
        </w:tc>
        <w:tc>
          <w:tcPr>
            <w:tcW w:w="2000" w:type="dxa"/>
            <w:tcBorders>
              <w:top w:val="nil"/>
              <w:left w:val="nil"/>
              <w:bottom w:val="single" w:color="auto" w:sz="4" w:space="0"/>
              <w:right w:val="single" w:color="auto" w:sz="4" w:space="0"/>
            </w:tcBorders>
            <w:noWrap w:val="0"/>
            <w:vAlign w:val="center"/>
          </w:tcPr>
          <w:p>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240</w:t>
            </w:r>
          </w:p>
        </w:tc>
      </w:tr>
      <w:tr>
        <w:tblPrEx>
          <w:tblCellMar>
            <w:top w:w="0" w:type="dxa"/>
            <w:left w:w="108" w:type="dxa"/>
            <w:bottom w:w="0" w:type="dxa"/>
            <w:right w:w="108" w:type="dxa"/>
          </w:tblCellMar>
        </w:tblPrEx>
        <w:trPr>
          <w:trHeight w:val="421" w:hRule="atLeast"/>
        </w:trPr>
        <w:tc>
          <w:tcPr>
            <w:tcW w:w="1000" w:type="dxa"/>
            <w:tcBorders>
              <w:top w:val="nil"/>
              <w:left w:val="single" w:color="auto" w:sz="4" w:space="0"/>
              <w:bottom w:val="single" w:color="auto" w:sz="4" w:space="0"/>
              <w:right w:val="single" w:color="auto" w:sz="4" w:space="0"/>
            </w:tcBorders>
            <w:noWrap w:val="0"/>
            <w:vAlign w:val="center"/>
          </w:tcPr>
          <w:p>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11</w:t>
            </w:r>
          </w:p>
        </w:tc>
        <w:tc>
          <w:tcPr>
            <w:tcW w:w="1650" w:type="dxa"/>
            <w:tcBorders>
              <w:top w:val="nil"/>
              <w:left w:val="single" w:color="auto" w:sz="4" w:space="0"/>
              <w:bottom w:val="single" w:color="auto" w:sz="4" w:space="0"/>
              <w:right w:val="single" w:color="auto" w:sz="4" w:space="0"/>
            </w:tcBorders>
            <w:noWrap w:val="0"/>
            <w:vAlign w:val="center"/>
          </w:tcPr>
          <w:p>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热继电器</w:t>
            </w:r>
          </w:p>
        </w:tc>
        <w:tc>
          <w:tcPr>
            <w:tcW w:w="2269" w:type="dxa"/>
            <w:tcBorders>
              <w:top w:val="nil"/>
              <w:left w:val="nil"/>
              <w:bottom w:val="single" w:color="auto" w:sz="4" w:space="0"/>
              <w:right w:val="single" w:color="auto" w:sz="4" w:space="0"/>
            </w:tcBorders>
            <w:noWrap w:val="0"/>
            <w:vAlign w:val="center"/>
          </w:tcPr>
          <w:p>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JR36-45</w:t>
            </w:r>
          </w:p>
        </w:tc>
        <w:tc>
          <w:tcPr>
            <w:tcW w:w="1393" w:type="dxa"/>
            <w:tcBorders>
              <w:top w:val="nil"/>
              <w:left w:val="nil"/>
              <w:bottom w:val="single" w:color="auto" w:sz="4" w:space="0"/>
              <w:right w:val="single" w:color="auto" w:sz="4" w:space="0"/>
            </w:tcBorders>
            <w:noWrap w:val="0"/>
            <w:vAlign w:val="center"/>
          </w:tcPr>
          <w:p>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31</w:t>
            </w:r>
          </w:p>
        </w:tc>
        <w:tc>
          <w:tcPr>
            <w:tcW w:w="1638" w:type="dxa"/>
            <w:tcBorders>
              <w:top w:val="nil"/>
              <w:left w:val="nil"/>
              <w:bottom w:val="single" w:color="auto" w:sz="4" w:space="0"/>
              <w:right w:val="single" w:color="auto" w:sz="4" w:space="0"/>
            </w:tcBorders>
            <w:noWrap w:val="0"/>
            <w:vAlign w:val="center"/>
          </w:tcPr>
          <w:p>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铜鼻子</w:t>
            </w:r>
          </w:p>
        </w:tc>
        <w:tc>
          <w:tcPr>
            <w:tcW w:w="2000" w:type="dxa"/>
            <w:tcBorders>
              <w:top w:val="nil"/>
              <w:left w:val="nil"/>
              <w:bottom w:val="single" w:color="auto" w:sz="4" w:space="0"/>
              <w:right w:val="single" w:color="auto" w:sz="4" w:space="0"/>
            </w:tcBorders>
            <w:noWrap w:val="0"/>
            <w:vAlign w:val="center"/>
          </w:tcPr>
          <w:p>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300</w:t>
            </w:r>
          </w:p>
        </w:tc>
      </w:tr>
      <w:tr>
        <w:tblPrEx>
          <w:tblCellMar>
            <w:top w:w="0" w:type="dxa"/>
            <w:left w:w="108" w:type="dxa"/>
            <w:bottom w:w="0" w:type="dxa"/>
            <w:right w:w="108" w:type="dxa"/>
          </w:tblCellMar>
        </w:tblPrEx>
        <w:trPr>
          <w:trHeight w:val="501" w:hRule="atLeast"/>
        </w:trPr>
        <w:tc>
          <w:tcPr>
            <w:tcW w:w="1000" w:type="dxa"/>
            <w:tcBorders>
              <w:top w:val="nil"/>
              <w:left w:val="single" w:color="auto" w:sz="4" w:space="0"/>
              <w:bottom w:val="single" w:color="auto" w:sz="4" w:space="0"/>
              <w:right w:val="single" w:color="auto" w:sz="4" w:space="0"/>
            </w:tcBorders>
            <w:noWrap w:val="0"/>
            <w:vAlign w:val="center"/>
          </w:tcPr>
          <w:p>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12</w:t>
            </w:r>
          </w:p>
        </w:tc>
        <w:tc>
          <w:tcPr>
            <w:tcW w:w="1650" w:type="dxa"/>
            <w:tcBorders>
              <w:top w:val="nil"/>
              <w:left w:val="single" w:color="auto" w:sz="4" w:space="0"/>
              <w:bottom w:val="single" w:color="auto" w:sz="4" w:space="0"/>
              <w:right w:val="single" w:color="auto" w:sz="4" w:space="0"/>
            </w:tcBorders>
            <w:noWrap w:val="0"/>
            <w:vAlign w:val="center"/>
          </w:tcPr>
          <w:p>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电容接触器</w:t>
            </w:r>
          </w:p>
        </w:tc>
        <w:tc>
          <w:tcPr>
            <w:tcW w:w="2269" w:type="dxa"/>
            <w:tcBorders>
              <w:top w:val="nil"/>
              <w:left w:val="nil"/>
              <w:bottom w:val="single" w:color="auto" w:sz="4" w:space="0"/>
              <w:right w:val="single" w:color="auto" w:sz="4" w:space="0"/>
            </w:tcBorders>
            <w:noWrap w:val="0"/>
            <w:vAlign w:val="center"/>
          </w:tcPr>
          <w:p>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CJ19-63(380V)</w:t>
            </w:r>
          </w:p>
        </w:tc>
        <w:tc>
          <w:tcPr>
            <w:tcW w:w="1393" w:type="dxa"/>
            <w:tcBorders>
              <w:top w:val="nil"/>
              <w:left w:val="nil"/>
              <w:bottom w:val="single" w:color="auto" w:sz="4" w:space="0"/>
              <w:right w:val="single" w:color="auto" w:sz="4" w:space="0"/>
            </w:tcBorders>
            <w:noWrap w:val="0"/>
            <w:vAlign w:val="center"/>
          </w:tcPr>
          <w:p>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32</w:t>
            </w:r>
          </w:p>
        </w:tc>
        <w:tc>
          <w:tcPr>
            <w:tcW w:w="1638" w:type="dxa"/>
            <w:tcBorders>
              <w:top w:val="nil"/>
              <w:left w:val="nil"/>
              <w:bottom w:val="single" w:color="auto" w:sz="4" w:space="0"/>
              <w:right w:val="single" w:color="auto" w:sz="4" w:space="0"/>
            </w:tcBorders>
            <w:noWrap w:val="0"/>
            <w:vAlign w:val="center"/>
          </w:tcPr>
          <w:p>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铜鼻子</w:t>
            </w:r>
          </w:p>
        </w:tc>
        <w:tc>
          <w:tcPr>
            <w:tcW w:w="2000" w:type="dxa"/>
            <w:tcBorders>
              <w:top w:val="nil"/>
              <w:left w:val="nil"/>
              <w:bottom w:val="single" w:color="auto" w:sz="4" w:space="0"/>
              <w:right w:val="single" w:color="auto" w:sz="4" w:space="0"/>
            </w:tcBorders>
            <w:noWrap w:val="0"/>
            <w:vAlign w:val="center"/>
          </w:tcPr>
          <w:p>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400</w:t>
            </w:r>
          </w:p>
        </w:tc>
      </w:tr>
      <w:tr>
        <w:tblPrEx>
          <w:tblCellMar>
            <w:top w:w="0" w:type="dxa"/>
            <w:left w:w="108" w:type="dxa"/>
            <w:bottom w:w="0" w:type="dxa"/>
            <w:right w:w="108" w:type="dxa"/>
          </w:tblCellMar>
        </w:tblPrEx>
        <w:trPr>
          <w:trHeight w:val="563" w:hRule="atLeast"/>
        </w:trPr>
        <w:tc>
          <w:tcPr>
            <w:tcW w:w="1000" w:type="dxa"/>
            <w:tcBorders>
              <w:top w:val="nil"/>
              <w:left w:val="single" w:color="auto" w:sz="4" w:space="0"/>
              <w:bottom w:val="single" w:color="auto" w:sz="4" w:space="0"/>
              <w:right w:val="single" w:color="auto" w:sz="4" w:space="0"/>
            </w:tcBorders>
            <w:noWrap w:val="0"/>
            <w:vAlign w:val="center"/>
          </w:tcPr>
          <w:p>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13</w:t>
            </w:r>
          </w:p>
        </w:tc>
        <w:tc>
          <w:tcPr>
            <w:tcW w:w="1650" w:type="dxa"/>
            <w:tcBorders>
              <w:top w:val="nil"/>
              <w:left w:val="single" w:color="auto" w:sz="4" w:space="0"/>
              <w:bottom w:val="single" w:color="auto" w:sz="4" w:space="0"/>
              <w:right w:val="single" w:color="auto" w:sz="4" w:space="0"/>
            </w:tcBorders>
            <w:noWrap w:val="0"/>
            <w:vAlign w:val="center"/>
          </w:tcPr>
          <w:p>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电容接触器</w:t>
            </w:r>
          </w:p>
        </w:tc>
        <w:tc>
          <w:tcPr>
            <w:tcW w:w="2269" w:type="dxa"/>
            <w:tcBorders>
              <w:top w:val="nil"/>
              <w:left w:val="nil"/>
              <w:bottom w:val="single" w:color="auto" w:sz="4" w:space="0"/>
              <w:right w:val="single" w:color="auto" w:sz="4" w:space="0"/>
            </w:tcBorders>
            <w:noWrap w:val="0"/>
            <w:vAlign w:val="center"/>
          </w:tcPr>
          <w:p>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CJ19-95(220V)</w:t>
            </w:r>
          </w:p>
        </w:tc>
        <w:tc>
          <w:tcPr>
            <w:tcW w:w="1393" w:type="dxa"/>
            <w:tcBorders>
              <w:top w:val="nil"/>
              <w:left w:val="nil"/>
              <w:bottom w:val="single" w:color="auto" w:sz="4" w:space="0"/>
              <w:right w:val="single" w:color="auto" w:sz="4" w:space="0"/>
            </w:tcBorders>
            <w:noWrap w:val="0"/>
            <w:vAlign w:val="center"/>
          </w:tcPr>
          <w:p>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33</w:t>
            </w:r>
          </w:p>
        </w:tc>
        <w:tc>
          <w:tcPr>
            <w:tcW w:w="1638" w:type="dxa"/>
            <w:tcBorders>
              <w:top w:val="nil"/>
              <w:left w:val="nil"/>
              <w:bottom w:val="single" w:color="auto" w:sz="4" w:space="0"/>
              <w:right w:val="single" w:color="auto" w:sz="4" w:space="0"/>
            </w:tcBorders>
            <w:noWrap w:val="0"/>
            <w:vAlign w:val="center"/>
          </w:tcPr>
          <w:p>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柜内照明灯</w:t>
            </w:r>
          </w:p>
        </w:tc>
        <w:tc>
          <w:tcPr>
            <w:tcW w:w="2000" w:type="dxa"/>
            <w:tcBorders>
              <w:top w:val="nil"/>
              <w:left w:val="nil"/>
              <w:bottom w:val="single" w:color="auto" w:sz="4" w:space="0"/>
              <w:right w:val="single" w:color="auto" w:sz="4" w:space="0"/>
            </w:tcBorders>
            <w:noWrap w:val="0"/>
            <w:vAlign w:val="center"/>
          </w:tcPr>
          <w:p>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p>
        </w:tc>
      </w:tr>
      <w:tr>
        <w:tblPrEx>
          <w:tblCellMar>
            <w:top w:w="0" w:type="dxa"/>
            <w:left w:w="108" w:type="dxa"/>
            <w:bottom w:w="0" w:type="dxa"/>
            <w:right w:w="108" w:type="dxa"/>
          </w:tblCellMar>
        </w:tblPrEx>
        <w:trPr>
          <w:trHeight w:val="633" w:hRule="atLeast"/>
        </w:trPr>
        <w:tc>
          <w:tcPr>
            <w:tcW w:w="1000" w:type="dxa"/>
            <w:tcBorders>
              <w:top w:val="nil"/>
              <w:left w:val="single" w:color="auto" w:sz="4" w:space="0"/>
              <w:bottom w:val="single" w:color="auto" w:sz="4" w:space="0"/>
              <w:right w:val="single" w:color="auto" w:sz="4" w:space="0"/>
            </w:tcBorders>
            <w:noWrap w:val="0"/>
            <w:vAlign w:val="center"/>
          </w:tcPr>
          <w:p>
            <w:pPr>
              <w:adjustRightInd w:val="0"/>
              <w:spacing w:line="32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14</w:t>
            </w:r>
          </w:p>
        </w:tc>
        <w:tc>
          <w:tcPr>
            <w:tcW w:w="1650" w:type="dxa"/>
            <w:tcBorders>
              <w:top w:val="nil"/>
              <w:left w:val="single" w:color="auto" w:sz="4" w:space="0"/>
              <w:bottom w:val="single" w:color="auto" w:sz="4" w:space="0"/>
              <w:right w:val="single" w:color="auto" w:sz="4" w:space="0"/>
            </w:tcBorders>
            <w:noWrap w:val="0"/>
            <w:vAlign w:val="center"/>
          </w:tcPr>
          <w:p>
            <w:pPr>
              <w:adjustRightInd w:val="0"/>
              <w:spacing w:line="32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电容接触器</w:t>
            </w:r>
          </w:p>
        </w:tc>
        <w:tc>
          <w:tcPr>
            <w:tcW w:w="2269" w:type="dxa"/>
            <w:tcBorders>
              <w:top w:val="nil"/>
              <w:left w:val="nil"/>
              <w:bottom w:val="single" w:color="auto" w:sz="4" w:space="0"/>
              <w:right w:val="single" w:color="auto" w:sz="4" w:space="0"/>
            </w:tcBorders>
            <w:noWrap w:val="0"/>
            <w:vAlign w:val="center"/>
          </w:tcPr>
          <w:p>
            <w:pPr>
              <w:adjustRightInd w:val="0"/>
              <w:spacing w:line="32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CJ19-63 21(220V)</w:t>
            </w:r>
          </w:p>
        </w:tc>
        <w:tc>
          <w:tcPr>
            <w:tcW w:w="1393" w:type="dxa"/>
            <w:tcBorders>
              <w:top w:val="nil"/>
              <w:left w:val="nil"/>
              <w:bottom w:val="single" w:color="auto" w:sz="4" w:space="0"/>
              <w:right w:val="single" w:color="auto" w:sz="4" w:space="0"/>
            </w:tcBorders>
            <w:noWrap w:val="0"/>
            <w:vAlign w:val="center"/>
          </w:tcPr>
          <w:p>
            <w:pPr>
              <w:adjustRightInd w:val="0"/>
              <w:spacing w:line="32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34</w:t>
            </w:r>
          </w:p>
        </w:tc>
        <w:tc>
          <w:tcPr>
            <w:tcW w:w="1638" w:type="dxa"/>
            <w:tcBorders>
              <w:top w:val="nil"/>
              <w:left w:val="nil"/>
              <w:bottom w:val="single" w:color="auto" w:sz="4" w:space="0"/>
              <w:right w:val="single" w:color="auto" w:sz="4" w:space="0"/>
            </w:tcBorders>
            <w:noWrap w:val="0"/>
            <w:vAlign w:val="center"/>
          </w:tcPr>
          <w:p>
            <w:pPr>
              <w:adjustRightInd w:val="0"/>
              <w:spacing w:line="32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高低压柜指示灯（红黄绿）</w:t>
            </w:r>
          </w:p>
        </w:tc>
        <w:tc>
          <w:tcPr>
            <w:tcW w:w="2000" w:type="dxa"/>
            <w:tcBorders>
              <w:top w:val="nil"/>
              <w:left w:val="nil"/>
              <w:bottom w:val="single" w:color="auto" w:sz="4" w:space="0"/>
              <w:right w:val="single" w:color="auto" w:sz="4" w:space="0"/>
            </w:tcBorders>
            <w:noWrap w:val="0"/>
            <w:vAlign w:val="center"/>
          </w:tcPr>
          <w:p>
            <w:pPr>
              <w:adjustRightInd w:val="0"/>
              <w:spacing w:line="320" w:lineRule="exact"/>
              <w:ind w:firstLine="480" w:firstLineChars="200"/>
              <w:jc w:val="left"/>
              <w:rPr>
                <w:rFonts w:hint="default" w:ascii="Times New Roman" w:hAnsi="Times New Roman" w:eastAsia="方正仿宋_GBK" w:cs="Times New Roman"/>
                <w:color w:val="000000"/>
                <w:sz w:val="24"/>
                <w:highlight w:val="none"/>
              </w:rPr>
            </w:pPr>
          </w:p>
        </w:tc>
      </w:tr>
      <w:tr>
        <w:tblPrEx>
          <w:tblCellMar>
            <w:top w:w="0" w:type="dxa"/>
            <w:left w:w="108" w:type="dxa"/>
            <w:bottom w:w="0" w:type="dxa"/>
            <w:right w:w="108" w:type="dxa"/>
          </w:tblCellMar>
        </w:tblPrEx>
        <w:trPr>
          <w:trHeight w:val="227" w:hRule="atLeast"/>
        </w:trPr>
        <w:tc>
          <w:tcPr>
            <w:tcW w:w="1000" w:type="dxa"/>
            <w:tcBorders>
              <w:top w:val="nil"/>
              <w:left w:val="single" w:color="auto" w:sz="4" w:space="0"/>
              <w:bottom w:val="single" w:color="auto" w:sz="4" w:space="0"/>
              <w:right w:val="single" w:color="auto" w:sz="4" w:space="0"/>
            </w:tcBorders>
            <w:noWrap w:val="0"/>
            <w:vAlign w:val="center"/>
          </w:tcPr>
          <w:p>
            <w:pPr>
              <w:adjustRightInd w:val="0"/>
              <w:spacing w:line="32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15</w:t>
            </w:r>
          </w:p>
        </w:tc>
        <w:tc>
          <w:tcPr>
            <w:tcW w:w="1650" w:type="dxa"/>
            <w:tcBorders>
              <w:top w:val="nil"/>
              <w:left w:val="single" w:color="auto" w:sz="4" w:space="0"/>
              <w:bottom w:val="single" w:color="auto" w:sz="4" w:space="0"/>
              <w:right w:val="single" w:color="auto" w:sz="4" w:space="0"/>
            </w:tcBorders>
            <w:noWrap w:val="0"/>
            <w:vAlign w:val="center"/>
          </w:tcPr>
          <w:p>
            <w:pPr>
              <w:adjustRightInd w:val="0"/>
              <w:spacing w:line="320" w:lineRule="exact"/>
              <w:ind w:firstLine="480" w:firstLineChars="200"/>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电容</w:t>
            </w:r>
          </w:p>
        </w:tc>
        <w:tc>
          <w:tcPr>
            <w:tcW w:w="2269" w:type="dxa"/>
            <w:tcBorders>
              <w:top w:val="nil"/>
              <w:left w:val="nil"/>
              <w:bottom w:val="single" w:color="auto" w:sz="4" w:space="0"/>
              <w:right w:val="single" w:color="auto" w:sz="4" w:space="0"/>
            </w:tcBorders>
            <w:noWrap w:val="0"/>
            <w:vAlign w:val="center"/>
          </w:tcPr>
          <w:p>
            <w:pPr>
              <w:adjustRightInd w:val="0"/>
              <w:spacing w:line="32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10Kvar</w:t>
            </w:r>
          </w:p>
        </w:tc>
        <w:tc>
          <w:tcPr>
            <w:tcW w:w="1393" w:type="dxa"/>
            <w:tcBorders>
              <w:top w:val="nil"/>
              <w:left w:val="nil"/>
              <w:bottom w:val="single" w:color="auto" w:sz="4" w:space="0"/>
              <w:right w:val="single" w:color="auto" w:sz="4" w:space="0"/>
            </w:tcBorders>
            <w:noWrap w:val="0"/>
            <w:vAlign w:val="center"/>
          </w:tcPr>
          <w:p>
            <w:pPr>
              <w:adjustRightInd w:val="0"/>
              <w:spacing w:line="32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35</w:t>
            </w:r>
          </w:p>
        </w:tc>
        <w:tc>
          <w:tcPr>
            <w:tcW w:w="1638" w:type="dxa"/>
            <w:tcBorders>
              <w:top w:val="nil"/>
              <w:left w:val="nil"/>
              <w:bottom w:val="single" w:color="auto" w:sz="4" w:space="0"/>
              <w:right w:val="single" w:color="auto" w:sz="4" w:space="0"/>
            </w:tcBorders>
            <w:noWrap w:val="0"/>
            <w:vAlign w:val="center"/>
          </w:tcPr>
          <w:p>
            <w:pPr>
              <w:adjustRightInd w:val="0"/>
              <w:spacing w:line="32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高低压柜按钮（红黄绿）</w:t>
            </w:r>
          </w:p>
        </w:tc>
        <w:tc>
          <w:tcPr>
            <w:tcW w:w="2000" w:type="dxa"/>
            <w:tcBorders>
              <w:top w:val="nil"/>
              <w:left w:val="nil"/>
              <w:bottom w:val="single" w:color="auto" w:sz="4" w:space="0"/>
              <w:right w:val="single" w:color="auto" w:sz="4" w:space="0"/>
            </w:tcBorders>
            <w:noWrap w:val="0"/>
            <w:vAlign w:val="center"/>
          </w:tcPr>
          <w:p>
            <w:pPr>
              <w:adjustRightInd w:val="0"/>
              <w:spacing w:line="320" w:lineRule="exact"/>
              <w:ind w:firstLine="480" w:firstLineChars="200"/>
              <w:jc w:val="left"/>
              <w:rPr>
                <w:rFonts w:hint="default" w:ascii="Times New Roman" w:hAnsi="Times New Roman" w:eastAsia="方正仿宋_GBK" w:cs="Times New Roman"/>
                <w:color w:val="000000"/>
                <w:sz w:val="24"/>
                <w:highlight w:val="none"/>
              </w:rPr>
            </w:pPr>
          </w:p>
        </w:tc>
      </w:tr>
      <w:tr>
        <w:tblPrEx>
          <w:tblCellMar>
            <w:top w:w="0" w:type="dxa"/>
            <w:left w:w="108" w:type="dxa"/>
            <w:bottom w:w="0" w:type="dxa"/>
            <w:right w:w="108" w:type="dxa"/>
          </w:tblCellMar>
        </w:tblPrEx>
        <w:trPr>
          <w:trHeight w:val="227" w:hRule="atLeast"/>
        </w:trPr>
        <w:tc>
          <w:tcPr>
            <w:tcW w:w="1000" w:type="dxa"/>
            <w:tcBorders>
              <w:top w:val="nil"/>
              <w:left w:val="single" w:color="auto" w:sz="4" w:space="0"/>
              <w:bottom w:val="single" w:color="auto" w:sz="4" w:space="0"/>
              <w:right w:val="single" w:color="auto" w:sz="4" w:space="0"/>
            </w:tcBorders>
            <w:noWrap w:val="0"/>
            <w:vAlign w:val="center"/>
          </w:tcPr>
          <w:p>
            <w:pPr>
              <w:adjustRightInd w:val="0"/>
              <w:spacing w:line="32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16</w:t>
            </w:r>
          </w:p>
        </w:tc>
        <w:tc>
          <w:tcPr>
            <w:tcW w:w="1650" w:type="dxa"/>
            <w:tcBorders>
              <w:top w:val="nil"/>
              <w:left w:val="single" w:color="auto" w:sz="4" w:space="0"/>
              <w:bottom w:val="single" w:color="auto" w:sz="4" w:space="0"/>
              <w:right w:val="single" w:color="auto" w:sz="4" w:space="0"/>
            </w:tcBorders>
            <w:noWrap w:val="0"/>
            <w:vAlign w:val="center"/>
          </w:tcPr>
          <w:p>
            <w:pPr>
              <w:adjustRightInd w:val="0"/>
              <w:spacing w:line="320" w:lineRule="exact"/>
              <w:ind w:firstLine="480" w:firstLineChars="200"/>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保险丝</w:t>
            </w:r>
          </w:p>
        </w:tc>
        <w:tc>
          <w:tcPr>
            <w:tcW w:w="2269" w:type="dxa"/>
            <w:tcBorders>
              <w:top w:val="nil"/>
              <w:left w:val="nil"/>
              <w:bottom w:val="single" w:color="auto" w:sz="4" w:space="0"/>
              <w:right w:val="single" w:color="auto" w:sz="4" w:space="0"/>
            </w:tcBorders>
            <w:noWrap w:val="0"/>
            <w:vAlign w:val="center"/>
          </w:tcPr>
          <w:p>
            <w:pPr>
              <w:adjustRightInd w:val="0"/>
              <w:spacing w:line="32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20A</w:t>
            </w:r>
          </w:p>
        </w:tc>
        <w:tc>
          <w:tcPr>
            <w:tcW w:w="1393" w:type="dxa"/>
            <w:tcBorders>
              <w:top w:val="nil"/>
              <w:left w:val="nil"/>
              <w:bottom w:val="single" w:color="auto" w:sz="4" w:space="0"/>
              <w:right w:val="single" w:color="auto" w:sz="4" w:space="0"/>
            </w:tcBorders>
            <w:noWrap w:val="0"/>
            <w:vAlign w:val="center"/>
          </w:tcPr>
          <w:p>
            <w:pPr>
              <w:adjustRightInd w:val="0"/>
              <w:spacing w:line="32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36</w:t>
            </w:r>
          </w:p>
        </w:tc>
        <w:tc>
          <w:tcPr>
            <w:tcW w:w="1638" w:type="dxa"/>
            <w:tcBorders>
              <w:top w:val="nil"/>
              <w:left w:val="nil"/>
              <w:bottom w:val="single" w:color="auto" w:sz="4" w:space="0"/>
              <w:right w:val="single" w:color="auto" w:sz="4" w:space="0"/>
            </w:tcBorders>
            <w:noWrap w:val="0"/>
            <w:vAlign w:val="center"/>
          </w:tcPr>
          <w:p>
            <w:pPr>
              <w:adjustRightInd w:val="0"/>
              <w:spacing w:line="32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高低压柜操作把手</w:t>
            </w:r>
          </w:p>
        </w:tc>
        <w:tc>
          <w:tcPr>
            <w:tcW w:w="2000" w:type="dxa"/>
            <w:tcBorders>
              <w:top w:val="nil"/>
              <w:left w:val="nil"/>
              <w:bottom w:val="single" w:color="auto" w:sz="4" w:space="0"/>
              <w:right w:val="single" w:color="auto" w:sz="4" w:space="0"/>
            </w:tcBorders>
            <w:noWrap w:val="0"/>
            <w:vAlign w:val="center"/>
          </w:tcPr>
          <w:p>
            <w:pPr>
              <w:adjustRightInd w:val="0"/>
              <w:spacing w:line="320" w:lineRule="exact"/>
              <w:ind w:firstLine="480" w:firstLineChars="200"/>
              <w:jc w:val="left"/>
              <w:rPr>
                <w:rFonts w:hint="default" w:ascii="Times New Roman" w:hAnsi="Times New Roman" w:eastAsia="方正仿宋_GBK" w:cs="Times New Roman"/>
                <w:color w:val="000000"/>
                <w:sz w:val="24"/>
                <w:highlight w:val="none"/>
              </w:rPr>
            </w:pPr>
          </w:p>
        </w:tc>
      </w:tr>
      <w:tr>
        <w:tblPrEx>
          <w:tblCellMar>
            <w:top w:w="0" w:type="dxa"/>
            <w:left w:w="108" w:type="dxa"/>
            <w:bottom w:w="0" w:type="dxa"/>
            <w:right w:w="108" w:type="dxa"/>
          </w:tblCellMar>
        </w:tblPrEx>
        <w:trPr>
          <w:trHeight w:val="421" w:hRule="atLeast"/>
        </w:trPr>
        <w:tc>
          <w:tcPr>
            <w:tcW w:w="1000" w:type="dxa"/>
            <w:tcBorders>
              <w:top w:val="nil"/>
              <w:left w:val="single" w:color="auto" w:sz="4" w:space="0"/>
              <w:bottom w:val="single" w:color="auto" w:sz="4" w:space="0"/>
              <w:right w:val="single" w:color="auto" w:sz="4" w:space="0"/>
            </w:tcBorders>
            <w:noWrap w:val="0"/>
            <w:vAlign w:val="center"/>
          </w:tcPr>
          <w:p>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17</w:t>
            </w:r>
          </w:p>
        </w:tc>
        <w:tc>
          <w:tcPr>
            <w:tcW w:w="1650" w:type="dxa"/>
            <w:tcBorders>
              <w:top w:val="nil"/>
              <w:left w:val="single" w:color="auto" w:sz="4" w:space="0"/>
              <w:bottom w:val="single" w:color="auto" w:sz="4" w:space="0"/>
              <w:right w:val="single" w:color="auto" w:sz="4" w:space="0"/>
            </w:tcBorders>
            <w:noWrap w:val="0"/>
            <w:vAlign w:val="center"/>
          </w:tcPr>
          <w:p>
            <w:pPr>
              <w:adjustRightInd w:val="0"/>
              <w:spacing w:line="460" w:lineRule="exact"/>
              <w:ind w:firstLine="480" w:firstLineChars="200"/>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保险丝</w:t>
            </w:r>
          </w:p>
        </w:tc>
        <w:tc>
          <w:tcPr>
            <w:tcW w:w="2269" w:type="dxa"/>
            <w:tcBorders>
              <w:top w:val="nil"/>
              <w:left w:val="nil"/>
              <w:bottom w:val="single" w:color="auto" w:sz="4" w:space="0"/>
              <w:right w:val="single" w:color="auto" w:sz="4" w:space="0"/>
            </w:tcBorders>
            <w:noWrap w:val="0"/>
            <w:vAlign w:val="center"/>
          </w:tcPr>
          <w:p>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25A</w:t>
            </w:r>
          </w:p>
        </w:tc>
        <w:tc>
          <w:tcPr>
            <w:tcW w:w="1393" w:type="dxa"/>
            <w:tcBorders>
              <w:top w:val="nil"/>
              <w:left w:val="nil"/>
              <w:bottom w:val="single" w:color="auto" w:sz="4" w:space="0"/>
              <w:right w:val="single" w:color="auto" w:sz="4" w:space="0"/>
            </w:tcBorders>
            <w:noWrap w:val="0"/>
            <w:vAlign w:val="center"/>
          </w:tcPr>
          <w:p>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37</w:t>
            </w:r>
          </w:p>
        </w:tc>
        <w:tc>
          <w:tcPr>
            <w:tcW w:w="1638" w:type="dxa"/>
            <w:tcBorders>
              <w:top w:val="nil"/>
              <w:left w:val="nil"/>
              <w:bottom w:val="single" w:color="auto" w:sz="4" w:space="0"/>
              <w:right w:val="single" w:color="auto" w:sz="4" w:space="0"/>
            </w:tcBorders>
            <w:noWrap w:val="0"/>
            <w:vAlign w:val="center"/>
          </w:tcPr>
          <w:p>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保险丝</w:t>
            </w:r>
          </w:p>
        </w:tc>
        <w:tc>
          <w:tcPr>
            <w:tcW w:w="2000" w:type="dxa"/>
            <w:tcBorders>
              <w:top w:val="nil"/>
              <w:left w:val="nil"/>
              <w:bottom w:val="single" w:color="auto" w:sz="4" w:space="0"/>
              <w:right w:val="single" w:color="auto" w:sz="4" w:space="0"/>
            </w:tcBorders>
            <w:noWrap w:val="0"/>
            <w:vAlign w:val="center"/>
          </w:tcPr>
          <w:p>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60A</w:t>
            </w:r>
          </w:p>
        </w:tc>
      </w:tr>
      <w:tr>
        <w:tblPrEx>
          <w:tblCellMar>
            <w:top w:w="0" w:type="dxa"/>
            <w:left w:w="108" w:type="dxa"/>
            <w:bottom w:w="0" w:type="dxa"/>
            <w:right w:w="108" w:type="dxa"/>
          </w:tblCellMar>
        </w:tblPrEx>
        <w:trPr>
          <w:trHeight w:val="421" w:hRule="atLeast"/>
        </w:trPr>
        <w:tc>
          <w:tcPr>
            <w:tcW w:w="1000" w:type="dxa"/>
            <w:tcBorders>
              <w:top w:val="nil"/>
              <w:left w:val="single" w:color="auto" w:sz="4" w:space="0"/>
              <w:bottom w:val="single" w:color="auto" w:sz="4" w:space="0"/>
              <w:right w:val="single" w:color="auto" w:sz="4" w:space="0"/>
            </w:tcBorders>
            <w:noWrap w:val="0"/>
            <w:vAlign w:val="center"/>
          </w:tcPr>
          <w:p>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18</w:t>
            </w:r>
          </w:p>
        </w:tc>
        <w:tc>
          <w:tcPr>
            <w:tcW w:w="1650" w:type="dxa"/>
            <w:tcBorders>
              <w:top w:val="nil"/>
              <w:left w:val="single" w:color="auto" w:sz="4" w:space="0"/>
              <w:bottom w:val="single" w:color="auto" w:sz="4" w:space="0"/>
              <w:right w:val="single" w:color="auto" w:sz="4" w:space="0"/>
            </w:tcBorders>
            <w:noWrap w:val="0"/>
            <w:vAlign w:val="center"/>
          </w:tcPr>
          <w:p>
            <w:pPr>
              <w:adjustRightInd w:val="0"/>
              <w:spacing w:line="460" w:lineRule="exact"/>
              <w:ind w:firstLine="480" w:firstLineChars="200"/>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保险丝</w:t>
            </w:r>
          </w:p>
        </w:tc>
        <w:tc>
          <w:tcPr>
            <w:tcW w:w="2269" w:type="dxa"/>
            <w:tcBorders>
              <w:top w:val="nil"/>
              <w:left w:val="nil"/>
              <w:bottom w:val="single" w:color="auto" w:sz="4" w:space="0"/>
              <w:right w:val="single" w:color="auto" w:sz="4" w:space="0"/>
            </w:tcBorders>
            <w:noWrap w:val="0"/>
            <w:vAlign w:val="center"/>
          </w:tcPr>
          <w:p>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31.5A</w:t>
            </w:r>
          </w:p>
        </w:tc>
        <w:tc>
          <w:tcPr>
            <w:tcW w:w="1393" w:type="dxa"/>
            <w:tcBorders>
              <w:top w:val="nil"/>
              <w:left w:val="nil"/>
              <w:bottom w:val="single" w:color="auto" w:sz="4" w:space="0"/>
              <w:right w:val="single" w:color="auto" w:sz="4" w:space="0"/>
            </w:tcBorders>
            <w:noWrap w:val="0"/>
            <w:vAlign w:val="center"/>
          </w:tcPr>
          <w:p>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38</w:t>
            </w:r>
          </w:p>
        </w:tc>
        <w:tc>
          <w:tcPr>
            <w:tcW w:w="1638" w:type="dxa"/>
            <w:tcBorders>
              <w:top w:val="nil"/>
              <w:left w:val="nil"/>
              <w:bottom w:val="single" w:color="auto" w:sz="4" w:space="0"/>
              <w:right w:val="single" w:color="auto" w:sz="4" w:space="0"/>
            </w:tcBorders>
            <w:noWrap w:val="0"/>
            <w:vAlign w:val="center"/>
          </w:tcPr>
          <w:p>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保险丝</w:t>
            </w:r>
          </w:p>
        </w:tc>
        <w:tc>
          <w:tcPr>
            <w:tcW w:w="2000" w:type="dxa"/>
            <w:tcBorders>
              <w:top w:val="nil"/>
              <w:left w:val="nil"/>
              <w:bottom w:val="single" w:color="auto" w:sz="4" w:space="0"/>
              <w:right w:val="single" w:color="auto" w:sz="4" w:space="0"/>
            </w:tcBorders>
            <w:noWrap w:val="0"/>
            <w:vAlign w:val="center"/>
          </w:tcPr>
          <w:p>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75A</w:t>
            </w:r>
          </w:p>
        </w:tc>
      </w:tr>
      <w:tr>
        <w:tblPrEx>
          <w:tblCellMar>
            <w:top w:w="0" w:type="dxa"/>
            <w:left w:w="108" w:type="dxa"/>
            <w:bottom w:w="0" w:type="dxa"/>
            <w:right w:w="108" w:type="dxa"/>
          </w:tblCellMar>
        </w:tblPrEx>
        <w:trPr>
          <w:trHeight w:val="421" w:hRule="atLeast"/>
        </w:trPr>
        <w:tc>
          <w:tcPr>
            <w:tcW w:w="1000" w:type="dxa"/>
            <w:tcBorders>
              <w:top w:val="nil"/>
              <w:left w:val="single" w:color="auto" w:sz="4" w:space="0"/>
              <w:bottom w:val="single" w:color="auto" w:sz="4" w:space="0"/>
              <w:right w:val="single" w:color="auto" w:sz="4" w:space="0"/>
            </w:tcBorders>
            <w:noWrap w:val="0"/>
            <w:vAlign w:val="center"/>
          </w:tcPr>
          <w:p>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19</w:t>
            </w:r>
          </w:p>
        </w:tc>
        <w:tc>
          <w:tcPr>
            <w:tcW w:w="1650" w:type="dxa"/>
            <w:tcBorders>
              <w:top w:val="nil"/>
              <w:left w:val="single" w:color="auto" w:sz="4" w:space="0"/>
              <w:bottom w:val="single" w:color="auto" w:sz="4" w:space="0"/>
              <w:right w:val="single" w:color="auto" w:sz="4" w:space="0"/>
            </w:tcBorders>
            <w:noWrap w:val="0"/>
            <w:vAlign w:val="center"/>
          </w:tcPr>
          <w:p>
            <w:pPr>
              <w:adjustRightInd w:val="0"/>
              <w:spacing w:line="460" w:lineRule="exact"/>
              <w:ind w:firstLine="480" w:firstLineChars="200"/>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保险丝</w:t>
            </w:r>
          </w:p>
        </w:tc>
        <w:tc>
          <w:tcPr>
            <w:tcW w:w="2269" w:type="dxa"/>
            <w:tcBorders>
              <w:top w:val="nil"/>
              <w:left w:val="nil"/>
              <w:bottom w:val="single" w:color="auto" w:sz="4" w:space="0"/>
              <w:right w:val="single" w:color="auto" w:sz="4" w:space="0"/>
            </w:tcBorders>
            <w:noWrap w:val="0"/>
            <w:vAlign w:val="center"/>
          </w:tcPr>
          <w:p>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40A</w:t>
            </w:r>
          </w:p>
        </w:tc>
        <w:tc>
          <w:tcPr>
            <w:tcW w:w="1393" w:type="dxa"/>
            <w:tcBorders>
              <w:top w:val="nil"/>
              <w:left w:val="nil"/>
              <w:bottom w:val="single" w:color="auto" w:sz="4" w:space="0"/>
              <w:right w:val="single" w:color="auto" w:sz="4" w:space="0"/>
            </w:tcBorders>
            <w:noWrap w:val="0"/>
            <w:vAlign w:val="center"/>
          </w:tcPr>
          <w:p>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39</w:t>
            </w:r>
          </w:p>
        </w:tc>
        <w:tc>
          <w:tcPr>
            <w:tcW w:w="1638" w:type="dxa"/>
            <w:tcBorders>
              <w:top w:val="nil"/>
              <w:left w:val="nil"/>
              <w:bottom w:val="single" w:color="auto" w:sz="4" w:space="0"/>
              <w:right w:val="single" w:color="auto" w:sz="4" w:space="0"/>
            </w:tcBorders>
            <w:noWrap w:val="0"/>
            <w:vAlign w:val="center"/>
          </w:tcPr>
          <w:p>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保险丝</w:t>
            </w:r>
          </w:p>
        </w:tc>
        <w:tc>
          <w:tcPr>
            <w:tcW w:w="2000" w:type="dxa"/>
            <w:tcBorders>
              <w:top w:val="nil"/>
              <w:left w:val="nil"/>
              <w:bottom w:val="single" w:color="auto" w:sz="4" w:space="0"/>
              <w:right w:val="single" w:color="auto" w:sz="4" w:space="0"/>
            </w:tcBorders>
            <w:noWrap w:val="0"/>
            <w:vAlign w:val="center"/>
          </w:tcPr>
          <w:p>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80A</w:t>
            </w:r>
          </w:p>
        </w:tc>
      </w:tr>
      <w:tr>
        <w:tblPrEx>
          <w:tblCellMar>
            <w:top w:w="0" w:type="dxa"/>
            <w:left w:w="108" w:type="dxa"/>
            <w:bottom w:w="0" w:type="dxa"/>
            <w:right w:w="108" w:type="dxa"/>
          </w:tblCellMar>
        </w:tblPrEx>
        <w:trPr>
          <w:trHeight w:val="421" w:hRule="atLeast"/>
        </w:trPr>
        <w:tc>
          <w:tcPr>
            <w:tcW w:w="1000" w:type="dxa"/>
            <w:tcBorders>
              <w:top w:val="nil"/>
              <w:left w:val="single" w:color="auto" w:sz="4" w:space="0"/>
              <w:bottom w:val="single" w:color="auto" w:sz="4" w:space="0"/>
              <w:right w:val="single" w:color="auto" w:sz="4" w:space="0"/>
            </w:tcBorders>
            <w:noWrap w:val="0"/>
            <w:vAlign w:val="center"/>
          </w:tcPr>
          <w:p>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20</w:t>
            </w:r>
          </w:p>
        </w:tc>
        <w:tc>
          <w:tcPr>
            <w:tcW w:w="1650" w:type="dxa"/>
            <w:tcBorders>
              <w:top w:val="nil"/>
              <w:left w:val="single" w:color="auto" w:sz="4" w:space="0"/>
              <w:bottom w:val="single" w:color="auto" w:sz="4" w:space="0"/>
              <w:right w:val="single" w:color="auto" w:sz="4" w:space="0"/>
            </w:tcBorders>
            <w:noWrap w:val="0"/>
            <w:vAlign w:val="center"/>
          </w:tcPr>
          <w:p>
            <w:pPr>
              <w:adjustRightInd w:val="0"/>
              <w:spacing w:line="460" w:lineRule="exact"/>
              <w:ind w:firstLine="480" w:firstLineChars="200"/>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保险丝</w:t>
            </w:r>
          </w:p>
        </w:tc>
        <w:tc>
          <w:tcPr>
            <w:tcW w:w="2269" w:type="dxa"/>
            <w:tcBorders>
              <w:top w:val="nil"/>
              <w:left w:val="nil"/>
              <w:bottom w:val="single" w:color="auto" w:sz="4" w:space="0"/>
              <w:right w:val="single" w:color="auto" w:sz="4" w:space="0"/>
            </w:tcBorders>
            <w:noWrap w:val="0"/>
            <w:vAlign w:val="center"/>
          </w:tcPr>
          <w:p>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50A</w:t>
            </w:r>
          </w:p>
        </w:tc>
        <w:tc>
          <w:tcPr>
            <w:tcW w:w="1393" w:type="dxa"/>
            <w:tcBorders>
              <w:top w:val="nil"/>
              <w:left w:val="nil"/>
              <w:bottom w:val="single" w:color="auto" w:sz="4" w:space="0"/>
              <w:right w:val="single" w:color="auto" w:sz="4" w:space="0"/>
            </w:tcBorders>
            <w:noWrap w:val="0"/>
            <w:vAlign w:val="center"/>
          </w:tcPr>
          <w:p>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40</w:t>
            </w:r>
          </w:p>
        </w:tc>
        <w:tc>
          <w:tcPr>
            <w:tcW w:w="1638" w:type="dxa"/>
            <w:tcBorders>
              <w:top w:val="nil"/>
              <w:left w:val="nil"/>
              <w:bottom w:val="single" w:color="auto" w:sz="4" w:space="0"/>
              <w:right w:val="single" w:color="auto" w:sz="4" w:space="0"/>
            </w:tcBorders>
            <w:noWrap w:val="0"/>
            <w:vAlign w:val="center"/>
          </w:tcPr>
          <w:p>
            <w:pPr>
              <w:adjustRightInd w:val="0"/>
              <w:spacing w:line="460" w:lineRule="exact"/>
              <w:jc w:val="center"/>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保险丝</w:t>
            </w:r>
          </w:p>
        </w:tc>
        <w:tc>
          <w:tcPr>
            <w:tcW w:w="2000" w:type="dxa"/>
            <w:tcBorders>
              <w:top w:val="nil"/>
              <w:left w:val="nil"/>
              <w:bottom w:val="single" w:color="auto" w:sz="4" w:space="0"/>
              <w:right w:val="single" w:color="auto" w:sz="4" w:space="0"/>
            </w:tcBorders>
            <w:noWrap w:val="0"/>
            <w:vAlign w:val="center"/>
          </w:tcPr>
          <w:p>
            <w:pPr>
              <w:adjustRightInd w:val="0"/>
              <w:spacing w:line="460" w:lineRule="exact"/>
              <w:ind w:firstLine="480" w:firstLineChars="200"/>
              <w:jc w:val="left"/>
              <w:rPr>
                <w:rFonts w:hint="default" w:ascii="Times New Roman" w:hAnsi="Times New Roman" w:eastAsia="方正仿宋_GBK" w:cs="Times New Roman"/>
                <w:color w:val="000000"/>
                <w:sz w:val="24"/>
                <w:highlight w:val="none"/>
              </w:rPr>
            </w:pPr>
            <w:r>
              <w:rPr>
                <w:rFonts w:hint="default" w:ascii="Times New Roman" w:hAnsi="Times New Roman" w:eastAsia="方正仿宋_GBK" w:cs="Times New Roman"/>
                <w:color w:val="000000"/>
                <w:sz w:val="24"/>
                <w:highlight w:val="none"/>
              </w:rPr>
              <w:t>100A</w:t>
            </w:r>
          </w:p>
        </w:tc>
      </w:tr>
    </w:tbl>
    <w:p>
      <w:pPr>
        <w:pStyle w:val="11"/>
        <w:widowControl w:val="0"/>
        <w:rPr>
          <w:rFonts w:hint="default" w:ascii="Times New Roman" w:hAnsi="Times New Roman" w:eastAsia="方正仿宋_GBK" w:cs="Times New Roman"/>
          <w:color w:val="000000"/>
          <w:sz w:val="28"/>
          <w:szCs w:val="28"/>
          <w:highlight w:val="none"/>
        </w:rPr>
      </w:pPr>
    </w:p>
    <w:p>
      <w:pPr>
        <w:pStyle w:val="11"/>
        <w:widowControl w:val="0"/>
        <w:rPr>
          <w:rFonts w:hint="default" w:ascii="Times New Roman" w:hAnsi="Times New Roman" w:eastAsia="方正仿宋_GBK" w:cs="Times New Roman"/>
          <w:color w:val="000000"/>
          <w:sz w:val="28"/>
          <w:szCs w:val="28"/>
          <w:highlight w:val="none"/>
        </w:rPr>
      </w:pPr>
    </w:p>
    <w:p>
      <w:pPr>
        <w:pStyle w:val="11"/>
        <w:widowControl w:val="0"/>
        <w:rPr>
          <w:rFonts w:hint="default" w:ascii="Times New Roman" w:hAnsi="Times New Roman" w:eastAsia="方正仿宋_GBK" w:cs="Times New Roman"/>
          <w:color w:val="000000"/>
          <w:sz w:val="28"/>
          <w:szCs w:val="28"/>
          <w:highlight w:val="none"/>
        </w:rPr>
      </w:pPr>
    </w:p>
    <w:p>
      <w:pPr>
        <w:pStyle w:val="11"/>
        <w:widowControl w:val="0"/>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28"/>
          <w:szCs w:val="28"/>
          <w:highlight w:val="none"/>
        </w:rPr>
        <w:t>备注：1、此表包括且不限于以上价格在300元以内由</w:t>
      </w:r>
      <w:r>
        <w:rPr>
          <w:rFonts w:hint="eastAsia" w:ascii="Times New Roman" w:hAnsi="Times New Roman" w:eastAsia="方正仿宋_GBK" w:cs="Times New Roman"/>
          <w:color w:val="000000"/>
          <w:sz w:val="28"/>
          <w:szCs w:val="28"/>
          <w:highlight w:val="none"/>
          <w:lang w:eastAsia="zh-CN"/>
        </w:rPr>
        <w:t>参选人</w:t>
      </w:r>
      <w:r>
        <w:rPr>
          <w:rFonts w:hint="default" w:ascii="Times New Roman" w:hAnsi="Times New Roman" w:eastAsia="方正仿宋_GBK" w:cs="Times New Roman"/>
          <w:color w:val="000000"/>
          <w:sz w:val="28"/>
          <w:szCs w:val="28"/>
          <w:highlight w:val="none"/>
        </w:rPr>
        <w:t>免费提供的零配件；2、低于300元零配件如发生一次性单一配件更换金额达3000元以上时，费用由招标人与中选人另行协商。</w:t>
      </w:r>
    </w:p>
    <w:p>
      <w:pPr>
        <w:spacing w:line="240" w:lineRule="auto"/>
        <w:jc w:val="left"/>
        <w:rPr>
          <w:rFonts w:hint="default" w:ascii="Times New Roman" w:hAnsi="Times New Roman" w:eastAsia="方正仿宋_GBK" w:cs="Times New Roman"/>
          <w:b/>
          <w:color w:val="000000"/>
          <w:sz w:val="28"/>
          <w:szCs w:val="28"/>
          <w:highlight w:val="none"/>
        </w:rPr>
      </w:pPr>
      <w:r>
        <w:rPr>
          <w:rFonts w:hint="default" w:ascii="Times New Roman" w:hAnsi="Times New Roman" w:eastAsia="方正仿宋_GBK" w:cs="Times New Roman"/>
          <w:b/>
          <w:color w:val="000000"/>
          <w:sz w:val="28"/>
          <w:szCs w:val="28"/>
          <w:highlight w:val="none"/>
        </w:rPr>
        <w:br w:type="page"/>
      </w:r>
    </w:p>
    <w:p>
      <w:pPr>
        <w:spacing w:line="560" w:lineRule="exact"/>
        <w:jc w:val="both"/>
        <w:rPr>
          <w:rFonts w:hint="default" w:ascii="Times New Roman" w:hAnsi="Times New Roman" w:eastAsia="方正仿宋_GBK" w:cs="Times New Roman"/>
          <w:b/>
          <w:color w:val="000000"/>
          <w:sz w:val="28"/>
          <w:szCs w:val="28"/>
          <w:highlight w:val="none"/>
        </w:rPr>
      </w:pPr>
      <w:r>
        <w:rPr>
          <w:rFonts w:hint="default" w:ascii="Times New Roman" w:hAnsi="Times New Roman" w:eastAsia="方正仿宋_GBK" w:cs="Times New Roman"/>
          <w:b/>
          <w:color w:val="000000"/>
          <w:sz w:val="28"/>
          <w:szCs w:val="28"/>
          <w:highlight w:val="none"/>
        </w:rPr>
        <w:t>附件三：外委单位安全管理协议</w:t>
      </w:r>
    </w:p>
    <w:p>
      <w:pPr>
        <w:pStyle w:val="10"/>
        <w:kinsoku w:val="0"/>
        <w:autoSpaceDE w:val="0"/>
        <w:autoSpaceDN w:val="0"/>
        <w:adjustRightInd w:val="0"/>
        <w:snapToGrid w:val="0"/>
        <w:spacing w:line="560" w:lineRule="exact"/>
        <w:ind w:right="777"/>
        <w:textAlignment w:val="baseline"/>
        <w:rPr>
          <w:rFonts w:hint="default" w:ascii="Times New Roman" w:hAnsi="Times New Roman" w:eastAsia="方正仿宋_GBK" w:cs="Times New Roman"/>
          <w:color w:val="000000"/>
          <w:kern w:val="2"/>
          <w:sz w:val="28"/>
          <w:szCs w:val="28"/>
          <w:highlight w:val="none"/>
        </w:rPr>
      </w:pPr>
    </w:p>
    <w:p>
      <w:pPr>
        <w:pStyle w:val="10"/>
        <w:kinsoku w:val="0"/>
        <w:autoSpaceDE w:val="0"/>
        <w:autoSpaceDN w:val="0"/>
        <w:adjustRightInd w:val="0"/>
        <w:snapToGrid w:val="0"/>
        <w:spacing w:line="600" w:lineRule="exact"/>
        <w:textAlignment w:val="baseline"/>
        <w:rPr>
          <w:rFonts w:hint="default" w:ascii="Times New Roman" w:hAnsi="Times New Roman" w:eastAsia="方正仿宋_GBK" w:cs="Times New Roman"/>
          <w:color w:val="000000"/>
          <w:kern w:val="2"/>
          <w:sz w:val="28"/>
          <w:szCs w:val="28"/>
          <w:highlight w:val="none"/>
          <w:lang w:eastAsia="zh-CN"/>
        </w:rPr>
      </w:pPr>
      <w:r>
        <w:rPr>
          <w:rFonts w:hint="default" w:ascii="Times New Roman" w:hAnsi="Times New Roman" w:eastAsia="方正仿宋_GBK" w:cs="Times New Roman"/>
          <w:color w:val="000000"/>
          <w:kern w:val="2"/>
          <w:sz w:val="28"/>
          <w:szCs w:val="28"/>
          <w:highlight w:val="none"/>
        </w:rPr>
        <w:t>甲方</w:t>
      </w:r>
      <w:r>
        <w:rPr>
          <w:rFonts w:hint="eastAsia" w:eastAsia="方正仿宋_GBK" w:cs="Times New Roman"/>
          <w:color w:val="000000"/>
          <w:kern w:val="2"/>
          <w:sz w:val="28"/>
          <w:szCs w:val="28"/>
          <w:highlight w:val="none"/>
          <w:lang w:eastAsia="zh-CN"/>
        </w:rPr>
        <w:t>：</w:t>
      </w:r>
      <w:r>
        <w:rPr>
          <w:rFonts w:hint="eastAsia" w:eastAsia="方正仿宋_GBK" w:cs="Times New Roman"/>
          <w:color w:val="000000"/>
          <w:kern w:val="2"/>
          <w:sz w:val="28"/>
          <w:szCs w:val="28"/>
          <w:highlight w:val="none"/>
          <w:u w:val="single"/>
          <w:lang w:eastAsia="zh-CN"/>
        </w:rPr>
        <w:t>重庆通邑卫士智慧生活服务有限公司</w:t>
      </w:r>
    </w:p>
    <w:p>
      <w:pPr>
        <w:pStyle w:val="10"/>
        <w:kinsoku w:val="0"/>
        <w:autoSpaceDE w:val="0"/>
        <w:autoSpaceDN w:val="0"/>
        <w:adjustRightInd w:val="0"/>
        <w:snapToGrid w:val="0"/>
        <w:spacing w:line="600" w:lineRule="exact"/>
        <w:textAlignment w:val="baseline"/>
        <w:rPr>
          <w:rFonts w:hint="default" w:ascii="Times New Roman" w:hAnsi="Times New Roman" w:eastAsia="方正仿宋_GBK" w:cs="Times New Roman"/>
          <w:color w:val="000000"/>
          <w:sz w:val="28"/>
          <w:szCs w:val="28"/>
          <w:highlight w:val="none"/>
          <w:u w:val="single"/>
        </w:rPr>
      </w:pPr>
      <w:r>
        <w:rPr>
          <w:rFonts w:hint="default" w:ascii="Times New Roman" w:hAnsi="Times New Roman" w:eastAsia="方正仿宋_GBK" w:cs="Times New Roman"/>
          <w:color w:val="000000"/>
          <w:kern w:val="2"/>
          <w:sz w:val="28"/>
          <w:szCs w:val="28"/>
          <w:highlight w:val="none"/>
        </w:rPr>
        <w:t>乙方</w:t>
      </w:r>
      <w:r>
        <w:rPr>
          <w:rFonts w:hint="eastAsia" w:eastAsia="方正仿宋_GBK" w:cs="Times New Roman"/>
          <w:color w:val="000000"/>
          <w:kern w:val="2"/>
          <w:sz w:val="28"/>
          <w:szCs w:val="28"/>
          <w:highlight w:val="none"/>
          <w:lang w:eastAsia="zh-CN"/>
        </w:rPr>
        <w:t>：</w:t>
      </w:r>
      <w:r>
        <w:rPr>
          <w:rFonts w:hint="default" w:ascii="Times New Roman" w:hAnsi="Times New Roman" w:eastAsia="方正仿宋_GBK" w:cs="Times New Roman"/>
          <w:color w:val="000000"/>
          <w:kern w:val="2"/>
          <w:sz w:val="28"/>
          <w:szCs w:val="28"/>
          <w:highlight w:val="none"/>
          <w:u w:val="single"/>
        </w:rPr>
        <w:t xml:space="preserve">                    </w:t>
      </w:r>
      <w:r>
        <w:rPr>
          <w:rFonts w:hint="eastAsia" w:eastAsia="方正仿宋_GBK" w:cs="Times New Roman"/>
          <w:color w:val="000000"/>
          <w:kern w:val="2"/>
          <w:sz w:val="28"/>
          <w:szCs w:val="28"/>
          <w:highlight w:val="none"/>
          <w:u w:val="single"/>
          <w:lang w:val="en-US" w:eastAsia="zh-CN"/>
        </w:rPr>
        <w:t xml:space="preserve">        </w:t>
      </w:r>
      <w:r>
        <w:rPr>
          <w:rFonts w:hint="default" w:ascii="Times New Roman" w:hAnsi="Times New Roman" w:eastAsia="方正仿宋_GBK" w:cs="Times New Roman"/>
          <w:color w:val="000000"/>
          <w:kern w:val="2"/>
          <w:sz w:val="28"/>
          <w:szCs w:val="28"/>
          <w:highlight w:val="none"/>
          <w:u w:val="single"/>
        </w:rPr>
        <w:t xml:space="preserve">    </w:t>
      </w:r>
    </w:p>
    <w:p>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为预防和减少各类安全风险及隐患，搞好项目的安全管理工作，根据《中华人民共和国民法典</w:t>
      </w:r>
      <w:r>
        <w:rPr>
          <w:rFonts w:hint="eastAsia" w:ascii="Times New Roman" w:hAnsi="Times New Roman" w:eastAsia="方正仿宋_GBK" w:cs="Times New Roman"/>
          <w:color w:val="000000"/>
          <w:sz w:val="28"/>
          <w:szCs w:val="28"/>
          <w:highlight w:val="none"/>
          <w:lang w:eastAsia="zh-CN"/>
        </w:rPr>
        <w:t>》和《</w:t>
      </w:r>
      <w:r>
        <w:rPr>
          <w:rFonts w:hint="default" w:ascii="Times New Roman" w:hAnsi="Times New Roman" w:eastAsia="方正仿宋_GBK" w:cs="Times New Roman"/>
          <w:color w:val="000000"/>
          <w:sz w:val="28"/>
          <w:szCs w:val="28"/>
          <w:highlight w:val="none"/>
        </w:rPr>
        <w:t>中华人民共和国安全生产法》，甲乙双方经过协商达成以下协议。</w:t>
      </w:r>
    </w:p>
    <w:p>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一、甲方权利与义务</w:t>
      </w:r>
    </w:p>
    <w:p>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 xml:space="preserve">（一）发现违章违纪行为和安全隐患的，甲方有权责令乙方停工并要求限时整改，所造成的一切损失由乙方承担。               </w:t>
      </w:r>
    </w:p>
    <w:p>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（二）对在现场安全工作中不称职的承包人项目经理、安全管理负责人，有权要求更换。</w:t>
      </w:r>
    </w:p>
    <w:p>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（三）协助乙方办理进入甲方管理区域的相关手续，并对乙方进行安全交底。</w:t>
      </w:r>
    </w:p>
    <w:p>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（四）协助乙方对其作业区域的安全、环境、防火管控措施进行监督检查。</w:t>
      </w:r>
    </w:p>
    <w:p>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二、乙方权利与义务</w:t>
      </w:r>
    </w:p>
    <w:p>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（一）乙方对作业人员的资质进行审查 ，确保作业人员具备相关资质。根据甲方的要求编制作业方案，完善作业手续。</w:t>
      </w:r>
    </w:p>
    <w:p>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（二）乙方对其作业区域的安全、环境 、防火、治安等工作负全部责任并指派专人在现场负责其作业区域的安全监督管理工作，同时向甲方提供经乙方盖章的现场安全监督管理人员名单。乙方变更现场安全监督管理人员的，需提前向甲方告知并征得甲方同意。</w:t>
      </w:r>
    </w:p>
    <w:p>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（三）根据作业特点制定安全管理措施，自备合格的安全设备、设施和劳保用品，做好作业人员安全教育和安全技术交底工作，并对作业范围内的乙方作业人员、甲方人员、第三人的人身安全和财产安全等负责。</w:t>
      </w:r>
    </w:p>
    <w:p>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（四）乙方进入作业区域前，应主动履行登记核验手续，因未履行登记手续带来的一切后果和责任由乙方全部承担。同时，乙方作业人员进入围挡（或</w:t>
      </w:r>
      <w:r>
        <w:rPr>
          <w:rFonts w:hint="eastAsia" w:ascii="Times New Roman" w:hAnsi="Times New Roman" w:eastAsia="方正仿宋_GBK" w:cs="Times New Roman"/>
          <w:color w:val="000000"/>
          <w:sz w:val="28"/>
          <w:szCs w:val="28"/>
          <w:highlight w:val="none"/>
          <w:lang w:eastAsia="zh-CN"/>
        </w:rPr>
        <w:t>其他</w:t>
      </w:r>
      <w:r>
        <w:rPr>
          <w:rFonts w:hint="default" w:ascii="Times New Roman" w:hAnsi="Times New Roman" w:eastAsia="方正仿宋_GBK" w:cs="Times New Roman"/>
          <w:color w:val="000000"/>
          <w:sz w:val="28"/>
          <w:szCs w:val="28"/>
          <w:highlight w:val="none"/>
        </w:rPr>
        <w:t>隔离设施）后，应保持围挡（或</w:t>
      </w:r>
      <w:r>
        <w:rPr>
          <w:rFonts w:hint="eastAsia" w:ascii="Times New Roman" w:hAnsi="Times New Roman" w:eastAsia="方正仿宋_GBK" w:cs="Times New Roman"/>
          <w:color w:val="000000"/>
          <w:sz w:val="28"/>
          <w:szCs w:val="28"/>
          <w:highlight w:val="none"/>
          <w:lang w:eastAsia="zh-CN"/>
        </w:rPr>
        <w:t>其他</w:t>
      </w:r>
      <w:r>
        <w:rPr>
          <w:rFonts w:hint="default" w:ascii="Times New Roman" w:hAnsi="Times New Roman" w:eastAsia="方正仿宋_GBK" w:cs="Times New Roman"/>
          <w:color w:val="000000"/>
          <w:sz w:val="28"/>
          <w:szCs w:val="28"/>
          <w:highlight w:val="none"/>
        </w:rPr>
        <w:t>隔离设施）处于锁闭良好状态。作业结束后，乙方作业人员须确认围挡（或</w:t>
      </w:r>
      <w:r>
        <w:rPr>
          <w:rFonts w:hint="eastAsia" w:ascii="Times New Roman" w:hAnsi="Times New Roman" w:eastAsia="方正仿宋_GBK" w:cs="Times New Roman"/>
          <w:color w:val="000000"/>
          <w:sz w:val="28"/>
          <w:szCs w:val="28"/>
          <w:highlight w:val="none"/>
          <w:lang w:eastAsia="zh-CN"/>
        </w:rPr>
        <w:t>其他</w:t>
      </w:r>
      <w:r>
        <w:rPr>
          <w:rFonts w:hint="default" w:ascii="Times New Roman" w:hAnsi="Times New Roman" w:eastAsia="方正仿宋_GBK" w:cs="Times New Roman"/>
          <w:color w:val="000000"/>
          <w:sz w:val="28"/>
          <w:szCs w:val="28"/>
          <w:highlight w:val="none"/>
        </w:rPr>
        <w:t>隔离设施）处于锁闭良好状态，并主动履行销记手续，因未履行销记手续带来的一切后果和责任由乙方全部承担。</w:t>
      </w:r>
    </w:p>
    <w:p>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（五）严格遵守</w:t>
      </w:r>
      <w:r>
        <w:rPr>
          <w:rFonts w:hint="eastAsia" w:ascii="Times New Roman" w:hAnsi="Times New Roman" w:eastAsia="方正仿宋_GBK" w:cs="Times New Roman"/>
          <w:color w:val="000000"/>
          <w:sz w:val="28"/>
          <w:szCs w:val="28"/>
          <w:highlight w:val="none"/>
          <w:lang w:eastAsia="zh-CN"/>
        </w:rPr>
        <w:t>甲方相关</w:t>
      </w:r>
      <w:r>
        <w:rPr>
          <w:rFonts w:hint="default" w:ascii="Times New Roman" w:hAnsi="Times New Roman" w:eastAsia="方正仿宋_GBK" w:cs="Times New Roman"/>
          <w:color w:val="000000"/>
          <w:sz w:val="28"/>
          <w:szCs w:val="28"/>
          <w:highlight w:val="none"/>
        </w:rPr>
        <w:t>安全管理规定，承担因违反相关规定造成的损失和罚款。</w:t>
      </w:r>
    </w:p>
    <w:p>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（六）按照甲方运营特点及要求，乙方合理安排具体实施方案并需经过甲方同意，不得影响甲方正常运营</w:t>
      </w:r>
      <w:r>
        <w:rPr>
          <w:rFonts w:hint="eastAsia" w:ascii="Times New Roman" w:hAnsi="Times New Roman" w:eastAsia="方正仿宋_GBK" w:cs="Times New Roman"/>
          <w:color w:val="000000"/>
          <w:sz w:val="28"/>
          <w:szCs w:val="28"/>
          <w:highlight w:val="none"/>
          <w:lang w:eastAsia="zh-CN"/>
        </w:rPr>
        <w:t>，并</w:t>
      </w:r>
      <w:r>
        <w:rPr>
          <w:rFonts w:hint="default" w:ascii="Times New Roman" w:hAnsi="Times New Roman" w:eastAsia="方正仿宋_GBK" w:cs="Times New Roman"/>
          <w:color w:val="000000"/>
          <w:sz w:val="28"/>
          <w:szCs w:val="28"/>
          <w:highlight w:val="none"/>
        </w:rPr>
        <w:t>承担影响甲方正常运行造成的损失和罚款。</w:t>
      </w:r>
    </w:p>
    <w:p>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（七）严格按照甲方核准的作业区域和时间段实施作业，不得擅自扩大作业区域或延长作业时间、不得擅自进入未经甲方批准的管理区域，服从甲方的管理。</w:t>
      </w:r>
    </w:p>
    <w:p>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（八）在作业过程中做好对甲方既有设施、设备的安全保护措施，不擅自动用或损坏甲方设施、设备，若有损坏照价赔偿，并按原设计功能要求如实恢复。</w:t>
      </w:r>
    </w:p>
    <w:p>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（九）自觉接受甲方人员的安全监督，作业期间如发生影响甲方运营和生产安全的情况，需立即报告甲方，并积极采取应急救援措施。</w:t>
      </w:r>
    </w:p>
    <w:p>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十）制定并落实乙方作业范围内安全管理制度，落实安全生产责任制，并承担实施过程中的全部安全、质量责任。实施过程中发生任何安全事故或质量事件，由乙方承担全部责任，给甲方造成经济损失的由乙方负全部赔偿责任。</w:t>
      </w:r>
    </w:p>
    <w:p>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（十一）负责乙方作业区域内的消防安全管理工作，并按照相关法律法规配备消防安全器材。</w:t>
      </w:r>
    </w:p>
    <w:p>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（十二）因乙方作业引起的客伤、投诉、舆情和信访等问题，由乙方及时有效进行处理，并承担全部责任。</w:t>
      </w:r>
    </w:p>
    <w:p>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（十三）由甲方供电的乙方所属设备，供电设备、线路以及用电安全等，由乙方自行负责，并保证安全用电。</w:t>
      </w:r>
    </w:p>
    <w:p>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（十四）作业现场必须具有相关的安全标志牌，如因乙方对围挡设置不当或无警示标识引起客伤、投诉、舆情、信访和事故等问题，由乙方及时有效进行处理，并承担全部责任。</w:t>
      </w:r>
    </w:p>
    <w:p>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（十五）乙方在任何时候都应采取各种合理的预防措施，防止其员工发生任何违法、</w:t>
      </w:r>
      <w:r>
        <w:rPr>
          <w:rFonts w:hint="eastAsia" w:ascii="Times New Roman" w:hAnsi="Times New Roman" w:eastAsia="方正仿宋_GBK" w:cs="Times New Roman"/>
          <w:color w:val="000000"/>
          <w:sz w:val="28"/>
          <w:szCs w:val="28"/>
          <w:highlight w:val="none"/>
          <w:lang w:eastAsia="zh-CN"/>
        </w:rPr>
        <w:t>违纪</w:t>
      </w:r>
      <w:r>
        <w:rPr>
          <w:rFonts w:hint="default" w:ascii="Times New Roman" w:hAnsi="Times New Roman" w:eastAsia="方正仿宋_GBK" w:cs="Times New Roman"/>
          <w:color w:val="000000"/>
          <w:sz w:val="28"/>
          <w:szCs w:val="28"/>
          <w:highlight w:val="none"/>
        </w:rPr>
        <w:t>、暴力或妨碍治安的行为。</w:t>
      </w:r>
    </w:p>
    <w:p>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（十六）作业人员上岗，必须按规定穿戴防护用品。负责人和安全检查员应随时检查劳动防护用品的穿戴情况，不按规定穿戴防护用品的人员不得上岗。</w:t>
      </w:r>
    </w:p>
    <w:p>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（十七）所有作业机具及安全设备设施均应定期检查，并有安全员的签字记录，保证其处于完好状态；不合格的机具、设备和劳动保护用品严禁使用。</w:t>
      </w:r>
    </w:p>
    <w:p>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（十八）乙方必须按照本项目特点，组织制定安全事故应急救援预案；如果发生安全事故，应按照《国务院关于特大安全事故行政责任追究的规定》以及</w:t>
      </w:r>
      <w:r>
        <w:rPr>
          <w:rFonts w:hint="eastAsia" w:ascii="Times New Roman" w:hAnsi="Times New Roman" w:eastAsia="方正仿宋_GBK" w:cs="Times New Roman"/>
          <w:color w:val="000000"/>
          <w:sz w:val="28"/>
          <w:szCs w:val="28"/>
          <w:highlight w:val="none"/>
          <w:lang w:eastAsia="zh-CN"/>
        </w:rPr>
        <w:t>其他</w:t>
      </w:r>
      <w:r>
        <w:rPr>
          <w:rFonts w:hint="default" w:ascii="Times New Roman" w:hAnsi="Times New Roman" w:eastAsia="方正仿宋_GBK" w:cs="Times New Roman"/>
          <w:color w:val="000000"/>
          <w:sz w:val="28"/>
          <w:szCs w:val="28"/>
          <w:highlight w:val="none"/>
        </w:rPr>
        <w:t>有关规定，及时上报有关部门，并坚持“三不放过”的原则，严肃处理相关责任人。</w:t>
      </w:r>
    </w:p>
    <w:p>
      <w:pPr>
        <w:spacing w:line="600" w:lineRule="exact"/>
        <w:ind w:firstLine="560" w:firstLineChars="200"/>
        <w:rPr>
          <w:rFonts w:hint="default" w:ascii="Times New Roman" w:hAnsi="Times New Roman" w:eastAsia="方正仿宋_GBK" w:cs="Times New Roman"/>
          <w:bCs/>
          <w:color w:val="000000"/>
          <w:sz w:val="28"/>
          <w:szCs w:val="28"/>
          <w:highlight w:val="none"/>
        </w:rPr>
      </w:pPr>
      <w:r>
        <w:rPr>
          <w:rFonts w:hint="default" w:ascii="Times New Roman" w:hAnsi="Times New Roman" w:eastAsia="方正仿宋_GBK" w:cs="Times New Roman"/>
          <w:bCs/>
          <w:color w:val="000000"/>
          <w:sz w:val="28"/>
          <w:szCs w:val="28"/>
          <w:highlight w:val="none"/>
        </w:rPr>
        <w:t>三、违约责任</w:t>
      </w:r>
    </w:p>
    <w:p>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（一）如作业过</w:t>
      </w:r>
      <w:r>
        <w:rPr>
          <w:rFonts w:hint="eastAsia" w:ascii="Times New Roman" w:hAnsi="Times New Roman" w:eastAsia="方正仿宋_GBK" w:cs="Times New Roman"/>
          <w:color w:val="000000"/>
          <w:sz w:val="28"/>
          <w:szCs w:val="28"/>
          <w:highlight w:val="none"/>
          <w:lang w:eastAsia="zh-CN"/>
        </w:rPr>
        <w:t>程中</w:t>
      </w:r>
      <w:r>
        <w:rPr>
          <w:rFonts w:hint="default" w:ascii="Times New Roman" w:hAnsi="Times New Roman" w:eastAsia="方正仿宋_GBK" w:cs="Times New Roman"/>
          <w:color w:val="000000"/>
          <w:sz w:val="28"/>
          <w:szCs w:val="28"/>
          <w:highlight w:val="none"/>
        </w:rPr>
        <w:t>甲方发现存在安全问题或隐患并向乙方提出整改，乙方未及时整改的，根据情况甲方有权处罚乙方合同金额1%至10%的违约金，并由乙方赔偿由此造成的一切损失；</w:t>
      </w:r>
    </w:p>
    <w:p>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（二）如作业过程中因乙方原因发生安全事故，由乙方承担相关法律责任并赔偿由此产生的一切损失。根据事故损失及后果严重程度，甲方有权处罚乙方实际损失金额30%以上的违约金；</w:t>
      </w:r>
    </w:p>
    <w:p>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（三）乙方违反本协议约定义务，每发生一次，应向甲方支付合同金额3%的违约金，累计发生3次及以上的，甲方有权解除相关服务合同，并要求乙方支付合同金额 20%的违约金。因乙方违约导致事故发生或给甲方造成损失的，乙方除需支付前述违约金外，还应赔偿由此造成的一切损失。</w:t>
      </w:r>
    </w:p>
    <w:p>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（四）因乙方违约产生的违约金、赔偿金等，将直接从合同应付金额中扣除。如以上两种方式的金额不足以承担违约金、赔偿金时，甲方有权向乙方追偿。</w:t>
      </w:r>
    </w:p>
    <w:p>
      <w:pPr>
        <w:spacing w:line="600" w:lineRule="exact"/>
        <w:ind w:firstLine="560" w:firstLineChars="200"/>
        <w:rPr>
          <w:rFonts w:hint="default" w:ascii="Times New Roman" w:hAnsi="Times New Roman" w:eastAsia="方正仿宋_GBK" w:cs="Times New Roman"/>
          <w:bCs/>
          <w:color w:val="000000"/>
          <w:sz w:val="28"/>
          <w:szCs w:val="28"/>
          <w:highlight w:val="none"/>
        </w:rPr>
      </w:pPr>
      <w:r>
        <w:rPr>
          <w:rFonts w:hint="default" w:ascii="Times New Roman" w:hAnsi="Times New Roman" w:eastAsia="方正仿宋_GBK" w:cs="Times New Roman"/>
          <w:bCs/>
          <w:color w:val="000000"/>
          <w:sz w:val="28"/>
          <w:szCs w:val="28"/>
          <w:highlight w:val="none"/>
        </w:rPr>
        <w:t>四、附则</w:t>
      </w:r>
    </w:p>
    <w:p>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（一）本合同份数与主合同份数一致。</w:t>
      </w:r>
    </w:p>
    <w:p>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（二）本协议自甲乙双方签字盖章之日起生效。</w:t>
      </w:r>
    </w:p>
    <w:p>
      <w:pPr>
        <w:spacing w:line="600" w:lineRule="exact"/>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（三）安全管理交底书作为该协议附件具有同等法律效力。</w:t>
      </w:r>
    </w:p>
    <w:p>
      <w:pPr>
        <w:spacing w:line="600" w:lineRule="exact"/>
        <w:ind w:firstLine="560" w:firstLineChars="200"/>
        <w:rPr>
          <w:rFonts w:hint="default" w:ascii="Times New Roman" w:hAnsi="Times New Roman" w:eastAsia="方正仿宋_GBK" w:cs="Times New Roman"/>
          <w:color w:val="000000"/>
          <w:sz w:val="28"/>
          <w:szCs w:val="28"/>
          <w:highlight w:val="none"/>
          <w:lang w:bidi="zh-TW"/>
        </w:rPr>
      </w:pPr>
      <w:r>
        <w:rPr>
          <w:rFonts w:hint="default" w:ascii="Times New Roman" w:hAnsi="Times New Roman" w:eastAsia="方正仿宋_GBK" w:cs="Times New Roman"/>
          <w:color w:val="000000"/>
          <w:sz w:val="28"/>
          <w:szCs w:val="28"/>
          <w:highlight w:val="none"/>
          <w:lang w:bidi="zh-TW"/>
        </w:rPr>
        <w:t>（以下无正文，为签署页）</w:t>
      </w:r>
    </w:p>
    <w:p>
      <w:pPr>
        <w:spacing w:line="520" w:lineRule="exact"/>
        <w:ind w:firstLine="560" w:firstLineChars="200"/>
        <w:rPr>
          <w:rFonts w:hint="default" w:ascii="Times New Roman" w:hAnsi="Times New Roman" w:eastAsia="方正仿宋_GBK" w:cs="Times New Roman"/>
          <w:color w:val="000000"/>
          <w:sz w:val="28"/>
          <w:szCs w:val="28"/>
          <w:highlight w:val="none"/>
          <w:lang w:bidi="zh-TW"/>
        </w:rPr>
      </w:pPr>
      <w:r>
        <w:rPr>
          <w:rFonts w:hint="default" w:ascii="Times New Roman" w:hAnsi="Times New Roman" w:eastAsia="方正仿宋_GBK" w:cs="Times New Roman"/>
          <w:color w:val="000000"/>
          <w:kern w:val="0"/>
          <w:sz w:val="28"/>
          <w:szCs w:val="28"/>
          <w:highlight w:val="none"/>
        </w:rPr>
        <w:br w:type="page"/>
      </w:r>
      <w:r>
        <w:rPr>
          <w:rFonts w:hint="default" w:ascii="Times New Roman" w:hAnsi="Times New Roman" w:eastAsia="方正仿宋_GBK" w:cs="Times New Roman"/>
          <w:color w:val="000000"/>
          <w:sz w:val="28"/>
          <w:szCs w:val="28"/>
          <w:highlight w:val="none"/>
          <w:lang w:bidi="zh-TW"/>
        </w:rPr>
        <w:t>（本页无正文，为签署页）</w:t>
      </w:r>
    </w:p>
    <w:p>
      <w:pPr>
        <w:pStyle w:val="7"/>
        <w:rPr>
          <w:rFonts w:hint="default" w:ascii="Times New Roman" w:hAnsi="Times New Roman" w:cs="Times New Roman"/>
          <w:color w:val="000000"/>
          <w:highlight w:val="none"/>
        </w:rPr>
      </w:pPr>
    </w:p>
    <w:p>
      <w:pPr>
        <w:snapToGrid w:val="0"/>
        <w:spacing w:line="360" w:lineRule="auto"/>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甲方：</w:t>
      </w:r>
      <w:r>
        <w:rPr>
          <w:rFonts w:hint="eastAsia" w:ascii="Times New Roman" w:hAnsi="Times New Roman" w:eastAsia="方正仿宋_GBK" w:cs="Times New Roman"/>
          <w:color w:val="000000"/>
          <w:sz w:val="28"/>
          <w:szCs w:val="28"/>
          <w:highlight w:val="none"/>
          <w:lang w:eastAsia="zh-CN"/>
        </w:rPr>
        <w:t>重庆通邑卫士智慧生活服务有限公司</w:t>
      </w:r>
      <w:r>
        <w:rPr>
          <w:rFonts w:hint="default" w:ascii="Times New Roman" w:hAnsi="Times New Roman" w:eastAsia="方正仿宋_GBK" w:cs="Times New Roman"/>
          <w:color w:val="000000"/>
          <w:sz w:val="28"/>
          <w:szCs w:val="28"/>
          <w:highlight w:val="none"/>
        </w:rPr>
        <w:t xml:space="preserve">  </w:t>
      </w:r>
    </w:p>
    <w:p>
      <w:pPr>
        <w:snapToGrid w:val="0"/>
        <w:spacing w:line="360" w:lineRule="auto"/>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 xml:space="preserve">经办人：            　　　    　 </w:t>
      </w:r>
    </w:p>
    <w:p>
      <w:pPr>
        <w:snapToGrid w:val="0"/>
        <w:spacing w:line="360" w:lineRule="auto"/>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 xml:space="preserve">电话：                         </w:t>
      </w:r>
    </w:p>
    <w:p>
      <w:pPr>
        <w:snapToGrid w:val="0"/>
        <w:spacing w:line="360" w:lineRule="auto"/>
        <w:ind w:firstLine="560" w:firstLineChars="2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 xml:space="preserve">年　　月　　日               </w:t>
      </w:r>
    </w:p>
    <w:p>
      <w:pPr>
        <w:pStyle w:val="7"/>
        <w:spacing w:before="0" w:after="0" w:line="360" w:lineRule="auto"/>
        <w:rPr>
          <w:rFonts w:hint="default" w:ascii="Times New Roman" w:hAnsi="Times New Roman" w:cs="Times New Roman"/>
          <w:color w:val="000000"/>
          <w:sz w:val="18"/>
          <w:szCs w:val="18"/>
          <w:highlight w:val="none"/>
        </w:rPr>
      </w:pPr>
    </w:p>
    <w:p>
      <w:pPr>
        <w:snapToGrid w:val="0"/>
        <w:spacing w:line="360" w:lineRule="auto"/>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乙方：</w:t>
      </w:r>
      <w:r>
        <w:rPr>
          <w:rFonts w:hint="default" w:ascii="Times New Roman" w:hAnsi="Times New Roman" w:eastAsia="方正仿宋_GBK" w:cs="Times New Roman"/>
          <w:color w:val="000000"/>
          <w:kern w:val="0"/>
          <w:sz w:val="28"/>
          <w:szCs w:val="28"/>
          <w:highlight w:val="none"/>
        </w:rPr>
        <w:t xml:space="preserve"> </w:t>
      </w:r>
      <w:r>
        <w:rPr>
          <w:rFonts w:hint="default" w:ascii="Times New Roman" w:hAnsi="Times New Roman" w:eastAsia="方正仿宋_GBK" w:cs="Times New Roman"/>
          <w:color w:val="000000"/>
          <w:sz w:val="28"/>
          <w:szCs w:val="28"/>
          <w:highlight w:val="none"/>
        </w:rPr>
        <w:t xml:space="preserve">      </w:t>
      </w:r>
    </w:p>
    <w:p>
      <w:pPr>
        <w:snapToGrid w:val="0"/>
        <w:spacing w:line="360" w:lineRule="auto"/>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 xml:space="preserve">经办人： </w:t>
      </w:r>
    </w:p>
    <w:p>
      <w:pPr>
        <w:snapToGrid w:val="0"/>
        <w:spacing w:line="360" w:lineRule="auto"/>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电话：</w:t>
      </w:r>
    </w:p>
    <w:p>
      <w:pPr>
        <w:snapToGrid w:val="0"/>
        <w:spacing w:line="360" w:lineRule="auto"/>
        <w:ind w:firstLine="280" w:firstLineChars="100"/>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 xml:space="preserve">   年    月   日</w:t>
      </w:r>
    </w:p>
    <w:p>
      <w:pPr>
        <w:snapToGrid w:val="0"/>
        <w:spacing w:line="560" w:lineRule="exact"/>
        <w:rPr>
          <w:rFonts w:hint="default" w:ascii="Times New Roman" w:hAnsi="Times New Roman" w:cs="Times New Roman"/>
          <w:color w:val="000000"/>
          <w:highlight w:val="none"/>
        </w:rPr>
      </w:pPr>
    </w:p>
    <w:p>
      <w:pPr>
        <w:snapToGrid w:val="0"/>
        <w:spacing w:line="560" w:lineRule="exact"/>
        <w:ind w:firstLine="210" w:firstLineChars="75"/>
        <w:rPr>
          <w:rFonts w:eastAsia="方正仿宋_GBK"/>
          <w:color w:val="auto"/>
          <w:sz w:val="28"/>
          <w:szCs w:val="28"/>
          <w:highlight w:val="none"/>
        </w:rPr>
      </w:pPr>
    </w:p>
    <w:p>
      <w:pPr>
        <w:rPr>
          <w:rFonts w:hint="eastAsia"/>
          <w:color w:val="auto"/>
          <w:highlight w:val="none"/>
        </w:rPr>
      </w:pPr>
    </w:p>
    <w:p>
      <w:pPr>
        <w:spacing w:line="600" w:lineRule="exact"/>
        <w:rPr>
          <w:color w:val="auto"/>
          <w:highlight w:val="none"/>
        </w:rPr>
      </w:pPr>
    </w:p>
    <w:p>
      <w:pPr>
        <w:pStyle w:val="7"/>
        <w:keepNext/>
        <w:keepLines/>
        <w:pageBreakBefore w:val="0"/>
        <w:widowControl w:val="0"/>
        <w:kinsoku/>
        <w:wordWrap/>
        <w:overflowPunct/>
        <w:topLinePunct w:val="0"/>
        <w:autoSpaceDE/>
        <w:autoSpaceDN/>
        <w:bidi w:val="0"/>
        <w:adjustRightInd/>
        <w:snapToGrid/>
        <w:spacing w:before="0" w:after="0" w:line="416" w:lineRule="auto"/>
        <w:textAlignment w:val="auto"/>
        <w:rPr>
          <w:rFonts w:hint="default" w:ascii="Times New Roman" w:hAnsi="Times New Roman" w:eastAsia="方正仿宋_GBK" w:cs="Times New Roman"/>
          <w:b w:val="0"/>
          <w:color w:val="auto"/>
          <w:sz w:val="28"/>
          <w:szCs w:val="28"/>
          <w:highlight w:val="none"/>
        </w:rPr>
      </w:pPr>
    </w:p>
    <w:p>
      <w:pPr>
        <w:spacing w:line="360" w:lineRule="auto"/>
        <w:rPr>
          <w:rFonts w:hint="default" w:ascii="Times New Roman" w:hAnsi="Times New Roman" w:eastAsia="方正仿宋_GBK" w:cs="Times New Roman"/>
          <w:bCs/>
          <w:color w:val="auto"/>
          <w:sz w:val="28"/>
          <w:szCs w:val="28"/>
          <w:highlight w:val="none"/>
        </w:rPr>
      </w:pPr>
    </w:p>
    <w:p>
      <w:pPr>
        <w:pStyle w:val="7"/>
        <w:keepNext/>
        <w:keepLines/>
        <w:pageBreakBefore w:val="0"/>
        <w:widowControl w:val="0"/>
        <w:kinsoku/>
        <w:wordWrap/>
        <w:overflowPunct/>
        <w:topLinePunct w:val="0"/>
        <w:autoSpaceDE/>
        <w:autoSpaceDN/>
        <w:bidi w:val="0"/>
        <w:adjustRightInd/>
        <w:snapToGrid/>
        <w:spacing w:before="0" w:after="0" w:line="416" w:lineRule="auto"/>
        <w:textAlignment w:val="auto"/>
        <w:rPr>
          <w:rFonts w:hint="default" w:ascii="Times New Roman" w:hAnsi="Times New Roman" w:eastAsia="方正仿宋_GBK" w:cs="Times New Roman"/>
          <w:b w:val="0"/>
          <w:color w:val="auto"/>
          <w:sz w:val="28"/>
          <w:szCs w:val="28"/>
          <w:highlight w:val="none"/>
        </w:rPr>
      </w:pPr>
    </w:p>
    <w:p>
      <w:pPr>
        <w:rPr>
          <w:rFonts w:hint="eastAsia" w:ascii="宋体" w:hAnsi="宋体" w:eastAsia="宋体" w:cs="宋体"/>
          <w:color w:val="auto"/>
          <w:highlight w:val="none"/>
        </w:rPr>
        <w:sectPr>
          <w:headerReference r:id="rId7" w:type="default"/>
          <w:pgSz w:w="11900" w:h="16840"/>
          <w:pgMar w:top="1440" w:right="1134" w:bottom="1440" w:left="1134" w:header="920" w:footer="454" w:gutter="0"/>
          <w:pgNumType w:fmt="decimal"/>
          <w:cols w:space="720" w:num="1"/>
          <w:docGrid w:type="lines" w:linePitch="1" w:charSpace="0"/>
        </w:sectPr>
      </w:pPr>
      <w:r>
        <w:rPr>
          <w:rFonts w:hint="eastAsia" w:ascii="宋体" w:hAnsi="宋体" w:eastAsia="宋体" w:cs="宋体"/>
          <w:color w:val="auto"/>
          <w:highlight w:val="none"/>
        </w:rPr>
        <w:br w:type="page"/>
      </w:r>
    </w:p>
    <w:p>
      <w:pPr>
        <w:pStyle w:val="2"/>
        <w:rPr>
          <w:rFonts w:hint="eastAsia"/>
          <w:highlight w:val="none"/>
        </w:rPr>
      </w:pPr>
    </w:p>
    <w:p>
      <w:pPr>
        <w:pStyle w:val="5"/>
        <w:numPr>
          <w:ilvl w:val="0"/>
          <w:numId w:val="0"/>
        </w:numPr>
        <w:tabs>
          <w:tab w:val="clear" w:pos="600"/>
        </w:tabs>
        <w:ind w:left="240" w:firstLine="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 xml:space="preserve">第五章 </w:t>
      </w:r>
      <w:bookmarkEnd w:id="149"/>
      <w:bookmarkEnd w:id="150"/>
      <w:bookmarkEnd w:id="151"/>
      <w:bookmarkEnd w:id="152"/>
      <w:bookmarkEnd w:id="153"/>
      <w:bookmarkEnd w:id="154"/>
      <w:bookmarkEnd w:id="155"/>
      <w:bookmarkEnd w:id="156"/>
      <w:bookmarkEnd w:id="157"/>
      <w:bookmarkEnd w:id="158"/>
      <w:bookmarkEnd w:id="159"/>
      <w:r>
        <w:rPr>
          <w:rFonts w:hint="eastAsia" w:ascii="宋体" w:hAnsi="宋体" w:eastAsia="宋体" w:cs="宋体"/>
          <w:color w:val="auto"/>
          <w:highlight w:val="none"/>
          <w:lang w:val="en-US" w:eastAsia="zh-CN"/>
        </w:rPr>
        <w:t>发包人要求</w:t>
      </w:r>
      <w:bookmarkEnd w:id="160"/>
    </w:p>
    <w:p>
      <w:pPr>
        <w:spacing w:line="360" w:lineRule="auto"/>
        <w:jc w:val="center"/>
        <w:rPr>
          <w:rFonts w:hint="default" w:ascii="Times New Roman" w:hAnsi="Times New Roman" w:eastAsia="方正仿宋_GBK" w:cs="Times New Roman"/>
          <w:b/>
          <w:bCs/>
          <w:color w:val="000000"/>
          <w:sz w:val="32"/>
          <w:szCs w:val="32"/>
          <w:highlight w:val="none"/>
        </w:rPr>
      </w:pPr>
      <w:r>
        <w:rPr>
          <w:rFonts w:hint="default" w:ascii="Times New Roman" w:hAnsi="Times New Roman" w:eastAsia="方正仿宋_GBK" w:cs="Times New Roman"/>
          <w:b/>
          <w:bCs/>
          <w:color w:val="000000"/>
          <w:sz w:val="32"/>
          <w:szCs w:val="32"/>
          <w:highlight w:val="none"/>
        </w:rPr>
        <w:t>配电维保服务清单</w:t>
      </w:r>
    </w:p>
    <w:tbl>
      <w:tblPr>
        <w:tblStyle w:val="23"/>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1080"/>
        <w:gridCol w:w="1080"/>
        <w:gridCol w:w="1080"/>
        <w:gridCol w:w="1110"/>
        <w:gridCol w:w="1080"/>
        <w:gridCol w:w="1080"/>
        <w:gridCol w:w="1080"/>
        <w:gridCol w:w="1080"/>
        <w:gridCol w:w="1080"/>
        <w:gridCol w:w="1080"/>
        <w:gridCol w:w="1080"/>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00"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站场单项维保明细表 （维保时间：12个月）                                维保时间：2026.1.1-2026.12.31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108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序号</w:t>
            </w:r>
          </w:p>
        </w:tc>
        <w:tc>
          <w:tcPr>
            <w:tcW w:w="108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项目名称</w:t>
            </w:r>
          </w:p>
        </w:tc>
        <w:tc>
          <w:tcPr>
            <w:tcW w:w="108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维保项目</w:t>
            </w:r>
          </w:p>
        </w:tc>
        <w:tc>
          <w:tcPr>
            <w:tcW w:w="108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变压器</w:t>
            </w:r>
          </w:p>
        </w:tc>
        <w:tc>
          <w:tcPr>
            <w:tcW w:w="111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10KV高压柜</w:t>
            </w:r>
          </w:p>
        </w:tc>
        <w:tc>
          <w:tcPr>
            <w:tcW w:w="2160"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避雷器</w:t>
            </w:r>
          </w:p>
        </w:tc>
        <w:tc>
          <w:tcPr>
            <w:tcW w:w="108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电缆</w:t>
            </w:r>
          </w:p>
        </w:tc>
        <w:tc>
          <w:tcPr>
            <w:tcW w:w="108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继电保护装置</w:t>
            </w:r>
          </w:p>
        </w:tc>
        <w:tc>
          <w:tcPr>
            <w:tcW w:w="108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地阻测试</w:t>
            </w:r>
          </w:p>
        </w:tc>
        <w:tc>
          <w:tcPr>
            <w:tcW w:w="108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工具检测</w:t>
            </w:r>
          </w:p>
        </w:tc>
        <w:tc>
          <w:tcPr>
            <w:tcW w:w="108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真空断路器</w:t>
            </w:r>
          </w:p>
        </w:tc>
        <w:tc>
          <w:tcPr>
            <w:tcW w:w="111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低压屏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bCs/>
                <w:i w:val="0"/>
                <w:iCs w:val="0"/>
                <w:color w:val="000000"/>
                <w:sz w:val="21"/>
                <w:szCs w:val="21"/>
                <w:highlight w:val="none"/>
                <w:u w:val="none"/>
              </w:rPr>
            </w:pPr>
          </w:p>
        </w:tc>
        <w:tc>
          <w:tcPr>
            <w:tcW w:w="10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bCs/>
                <w:i w:val="0"/>
                <w:iCs w:val="0"/>
                <w:color w:val="000000"/>
                <w:sz w:val="21"/>
                <w:szCs w:val="21"/>
                <w:highlight w:val="none"/>
                <w:u w:val="none"/>
              </w:rPr>
            </w:pPr>
          </w:p>
        </w:tc>
        <w:tc>
          <w:tcPr>
            <w:tcW w:w="10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bCs/>
                <w:i w:val="0"/>
                <w:iCs w:val="0"/>
                <w:color w:val="000000"/>
                <w:sz w:val="21"/>
                <w:szCs w:val="21"/>
                <w:highlight w:val="none"/>
                <w:u w:val="none"/>
              </w:rPr>
            </w:pPr>
          </w:p>
        </w:tc>
        <w:tc>
          <w:tcPr>
            <w:tcW w:w="10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bCs/>
                <w:i w:val="0"/>
                <w:iCs w:val="0"/>
                <w:color w:val="000000"/>
                <w:sz w:val="21"/>
                <w:szCs w:val="21"/>
                <w:highlight w:val="none"/>
                <w:u w:val="none"/>
              </w:rPr>
            </w:pPr>
          </w:p>
        </w:tc>
        <w:tc>
          <w:tcPr>
            <w:tcW w:w="11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bCs/>
                <w:i w:val="0"/>
                <w:iCs w:val="0"/>
                <w:color w:val="000000"/>
                <w:sz w:val="21"/>
                <w:szCs w:val="21"/>
                <w:highlight w:val="none"/>
                <w:u w:val="none"/>
              </w:rPr>
            </w:pP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10KV</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0.4KV</w:t>
            </w:r>
          </w:p>
        </w:tc>
        <w:tc>
          <w:tcPr>
            <w:tcW w:w="10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bCs/>
                <w:i w:val="0"/>
                <w:iCs w:val="0"/>
                <w:color w:val="000000"/>
                <w:sz w:val="21"/>
                <w:szCs w:val="21"/>
                <w:highlight w:val="none"/>
                <w:u w:val="none"/>
              </w:rPr>
            </w:pPr>
          </w:p>
        </w:tc>
        <w:tc>
          <w:tcPr>
            <w:tcW w:w="10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bCs/>
                <w:i w:val="0"/>
                <w:iCs w:val="0"/>
                <w:color w:val="000000"/>
                <w:sz w:val="21"/>
                <w:szCs w:val="21"/>
                <w:highlight w:val="none"/>
                <w:u w:val="none"/>
              </w:rPr>
            </w:pPr>
          </w:p>
        </w:tc>
        <w:tc>
          <w:tcPr>
            <w:tcW w:w="10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bCs/>
                <w:i w:val="0"/>
                <w:iCs w:val="0"/>
                <w:color w:val="000000"/>
                <w:sz w:val="21"/>
                <w:szCs w:val="21"/>
                <w:highlight w:val="none"/>
                <w:u w:val="none"/>
              </w:rPr>
            </w:pPr>
          </w:p>
        </w:tc>
        <w:tc>
          <w:tcPr>
            <w:tcW w:w="10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bCs/>
                <w:i w:val="0"/>
                <w:iCs w:val="0"/>
                <w:color w:val="000000"/>
                <w:sz w:val="21"/>
                <w:szCs w:val="21"/>
                <w:highlight w:val="none"/>
                <w:u w:val="none"/>
              </w:rPr>
            </w:pPr>
          </w:p>
        </w:tc>
        <w:tc>
          <w:tcPr>
            <w:tcW w:w="10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bCs/>
                <w:i w:val="0"/>
                <w:iCs w:val="0"/>
                <w:color w:val="000000"/>
                <w:sz w:val="21"/>
                <w:szCs w:val="21"/>
                <w:highlight w:val="none"/>
                <w:u w:val="none"/>
              </w:rPr>
            </w:pPr>
          </w:p>
        </w:tc>
        <w:tc>
          <w:tcPr>
            <w:tcW w:w="11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b/>
                <w:bCs/>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108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1</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白鹤</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数量（台）</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8</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6</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腾黄路</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数量（台）</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10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0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0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0</w:t>
            </w:r>
          </w:p>
        </w:tc>
        <w:tc>
          <w:tcPr>
            <w:tcW w:w="10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0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10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0</w:t>
            </w:r>
          </w:p>
        </w:tc>
        <w:tc>
          <w:tcPr>
            <w:tcW w:w="111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康庄</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数量（台）</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8</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w:t>
            </w:r>
          </w:p>
        </w:tc>
        <w:tc>
          <w:tcPr>
            <w:tcW w:w="10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10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10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10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0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10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111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盛德路</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数量（台）</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0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0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0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0</w:t>
            </w:r>
          </w:p>
        </w:tc>
        <w:tc>
          <w:tcPr>
            <w:tcW w:w="10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0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10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0</w:t>
            </w:r>
          </w:p>
        </w:tc>
        <w:tc>
          <w:tcPr>
            <w:tcW w:w="111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沙坪坝</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数量（台）</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10</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10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10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10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6</w:t>
            </w:r>
          </w:p>
        </w:tc>
        <w:tc>
          <w:tcPr>
            <w:tcW w:w="10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0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10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6</w:t>
            </w:r>
          </w:p>
        </w:tc>
        <w:tc>
          <w:tcPr>
            <w:tcW w:w="111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西站</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数量（台）</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0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0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0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10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0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10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0</w:t>
            </w:r>
          </w:p>
        </w:tc>
        <w:tc>
          <w:tcPr>
            <w:tcW w:w="111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陈庹路</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数量（台）</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w:t>
            </w:r>
          </w:p>
        </w:tc>
        <w:tc>
          <w:tcPr>
            <w:tcW w:w="108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10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10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10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10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0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10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111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交通局</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数量（台）</w:t>
            </w:r>
          </w:p>
        </w:tc>
        <w:tc>
          <w:tcPr>
            <w:tcW w:w="10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111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w:t>
            </w:r>
          </w:p>
        </w:tc>
        <w:tc>
          <w:tcPr>
            <w:tcW w:w="10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10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0</w:t>
            </w:r>
          </w:p>
        </w:tc>
        <w:tc>
          <w:tcPr>
            <w:tcW w:w="10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10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0</w:t>
            </w:r>
          </w:p>
        </w:tc>
        <w:tc>
          <w:tcPr>
            <w:tcW w:w="10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0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10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111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保税港</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数量（台）</w:t>
            </w:r>
          </w:p>
        </w:tc>
        <w:tc>
          <w:tcPr>
            <w:tcW w:w="10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11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10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10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0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0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0</w:t>
            </w:r>
          </w:p>
        </w:tc>
        <w:tc>
          <w:tcPr>
            <w:tcW w:w="10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0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10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0</w:t>
            </w:r>
          </w:p>
        </w:tc>
        <w:tc>
          <w:tcPr>
            <w:tcW w:w="111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金沙街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数量（台）</w:t>
            </w:r>
          </w:p>
        </w:tc>
        <w:tc>
          <w:tcPr>
            <w:tcW w:w="10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111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12</w:t>
            </w:r>
          </w:p>
        </w:tc>
        <w:tc>
          <w:tcPr>
            <w:tcW w:w="10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w:t>
            </w:r>
          </w:p>
        </w:tc>
        <w:tc>
          <w:tcPr>
            <w:tcW w:w="10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10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10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6</w:t>
            </w:r>
          </w:p>
        </w:tc>
        <w:tc>
          <w:tcPr>
            <w:tcW w:w="10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0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108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6</w:t>
            </w:r>
          </w:p>
        </w:tc>
        <w:tc>
          <w:tcPr>
            <w:tcW w:w="111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highlight w:val="none"/>
                <w:u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合计</w:t>
            </w: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23</w:t>
            </w: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64</w:t>
            </w: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34</w:t>
            </w: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18</w:t>
            </w: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21</w:t>
            </w: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25</w:t>
            </w: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10</w:t>
            </w: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30</w:t>
            </w: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26</w:t>
            </w: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highlight w:val="none"/>
                <w:u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127</w:t>
            </w:r>
          </w:p>
        </w:tc>
      </w:tr>
    </w:tbl>
    <w:p>
      <w:pPr>
        <w:spacing w:line="360" w:lineRule="auto"/>
        <w:rPr>
          <w:rFonts w:hint="default" w:ascii="Times New Roman" w:hAnsi="Times New Roman" w:eastAsia="方正仿宋_GBK" w:cs="Times New Roman"/>
          <w:b/>
          <w:bCs/>
          <w:color w:val="000000"/>
          <w:sz w:val="32"/>
          <w:szCs w:val="32"/>
          <w:highlight w:val="none"/>
        </w:rPr>
        <w:sectPr>
          <w:pgSz w:w="16840" w:h="11900" w:orient="landscape"/>
          <w:pgMar w:top="1134" w:right="1440" w:bottom="1134" w:left="1440" w:header="920" w:footer="454" w:gutter="0"/>
          <w:pgNumType w:fmt="decimal"/>
          <w:cols w:space="720" w:num="1"/>
          <w:docGrid w:type="lines" w:linePitch="1" w:charSpace="0"/>
        </w:sectPr>
      </w:pPr>
    </w:p>
    <w:p>
      <w:pPr>
        <w:pStyle w:val="2"/>
        <w:rPr>
          <w:rFonts w:hint="eastAsia"/>
          <w:color w:val="auto"/>
          <w:highlight w:val="none"/>
          <w:lang w:val="en-US" w:eastAsia="zh-CN"/>
        </w:rPr>
      </w:pPr>
    </w:p>
    <w:p>
      <w:pPr>
        <w:keepNext/>
        <w:keepLines/>
        <w:numPr>
          <w:ilvl w:val="0"/>
          <w:numId w:val="4"/>
        </w:numPr>
        <w:snapToGrid w:val="0"/>
        <w:spacing w:before="340" w:after="330" w:line="576" w:lineRule="auto"/>
        <w:jc w:val="center"/>
        <w:outlineLvl w:val="0"/>
        <w:rPr>
          <w:rFonts w:hint="eastAsia" w:ascii="宋体" w:hAnsi="宋体" w:eastAsia="宋体" w:cs="宋体"/>
          <w:b/>
          <w:color w:val="auto"/>
          <w:sz w:val="44"/>
          <w:highlight w:val="none"/>
        </w:rPr>
      </w:pPr>
      <w:bookmarkStart w:id="161" w:name="_Toc4184"/>
      <w:bookmarkStart w:id="162" w:name="_Toc1890"/>
      <w:bookmarkStart w:id="163" w:name="_Toc32714"/>
      <w:r>
        <w:rPr>
          <w:rFonts w:hint="eastAsia" w:ascii="宋体" w:hAnsi="宋体" w:cs="宋体"/>
          <w:b/>
          <w:color w:val="auto"/>
          <w:sz w:val="44"/>
          <w:highlight w:val="none"/>
          <w:lang w:val="en-US" w:eastAsia="zh-CN"/>
        </w:rPr>
        <w:t>参选</w:t>
      </w:r>
      <w:r>
        <w:rPr>
          <w:rFonts w:hint="eastAsia" w:ascii="宋体" w:hAnsi="宋体" w:eastAsia="宋体" w:cs="宋体"/>
          <w:b/>
          <w:color w:val="auto"/>
          <w:sz w:val="44"/>
          <w:highlight w:val="none"/>
        </w:rPr>
        <w:t>文件格式</w:t>
      </w:r>
      <w:bookmarkEnd w:id="161"/>
      <w:bookmarkEnd w:id="162"/>
      <w:bookmarkEnd w:id="163"/>
    </w:p>
    <w:p>
      <w:pPr>
        <w:snapToGrid w:val="0"/>
        <w:spacing w:line="360" w:lineRule="auto"/>
        <w:ind w:firstLine="482"/>
        <w:jc w:val="left"/>
        <w:rPr>
          <w:rFonts w:hint="eastAsia" w:ascii="宋体" w:hAnsi="宋体" w:eastAsia="宋体" w:cs="宋体"/>
          <w:color w:val="auto"/>
          <w:sz w:val="24"/>
          <w:highlight w:val="none"/>
        </w:rPr>
      </w:pPr>
    </w:p>
    <w:p>
      <w:pPr>
        <w:pStyle w:val="7"/>
        <w:rPr>
          <w:rFonts w:hint="eastAsia" w:ascii="宋体" w:hAnsi="宋体" w:eastAsia="宋体" w:cs="宋体"/>
          <w:color w:val="auto"/>
          <w:highlight w:val="none"/>
        </w:rPr>
      </w:pPr>
    </w:p>
    <w:p>
      <w:pPr>
        <w:rPr>
          <w:rFonts w:hint="eastAsia" w:ascii="宋体" w:hAnsi="宋体" w:eastAsia="宋体" w:cs="宋体"/>
          <w:color w:val="auto"/>
          <w:highlight w:val="none"/>
        </w:rPr>
        <w:sectPr>
          <w:headerReference r:id="rId8" w:type="default"/>
          <w:footerReference r:id="rId9" w:type="default"/>
          <w:pgSz w:w="12240" w:h="15840"/>
          <w:pgMar w:top="1440" w:right="1080" w:bottom="1440" w:left="1080" w:header="680" w:footer="680" w:gutter="0"/>
          <w:pgNumType w:fmt="decimal"/>
          <w:cols w:space="720" w:num="1"/>
          <w:docGrid w:linePitch="360" w:charSpace="0"/>
        </w:sectPr>
      </w:pPr>
    </w:p>
    <w:p>
      <w:pPr>
        <w:pStyle w:val="7"/>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spacing w:line="360" w:lineRule="auto"/>
        <w:jc w:val="center"/>
        <w:rPr>
          <w:rFonts w:hint="eastAsia" w:ascii="方正小标宋_GBK" w:hAnsi="方正小标宋_GBK" w:eastAsia="方正小标宋_GBK" w:cs="方正小标宋_GBK"/>
          <w:b/>
          <w:bCs/>
          <w:sz w:val="52"/>
          <w:szCs w:val="52"/>
          <w:highlight w:val="none"/>
        </w:rPr>
      </w:pPr>
      <w:r>
        <w:rPr>
          <w:rFonts w:hint="eastAsia" w:ascii="方正小标宋_GBK" w:hAnsi="方正小标宋_GBK" w:eastAsia="方正小标宋_GBK" w:cs="方正小标宋_GBK"/>
          <w:b/>
          <w:bCs/>
          <w:sz w:val="52"/>
          <w:szCs w:val="52"/>
          <w:highlight w:val="none"/>
        </w:rPr>
        <w:t>XXX项目</w:t>
      </w:r>
    </w:p>
    <w:p>
      <w:pPr>
        <w:pStyle w:val="7"/>
        <w:jc w:val="center"/>
        <w:rPr>
          <w:rFonts w:eastAsia="方正小标宋_GBK"/>
          <w:sz w:val="84"/>
          <w:szCs w:val="84"/>
          <w:highlight w:val="none"/>
        </w:rPr>
      </w:pPr>
      <w:r>
        <w:rPr>
          <w:rFonts w:eastAsia="方正小标宋_GBK"/>
          <w:sz w:val="84"/>
          <w:szCs w:val="84"/>
          <w:highlight w:val="none"/>
        </w:rPr>
        <w:t>资格文件</w:t>
      </w:r>
    </w:p>
    <w:p>
      <w:pPr>
        <w:pStyle w:val="7"/>
        <w:rPr>
          <w:rFonts w:eastAsia="方正仿宋_GBK"/>
          <w:b w:val="0"/>
          <w:bCs w:val="0"/>
          <w:highlight w:val="none"/>
        </w:rPr>
      </w:pPr>
    </w:p>
    <w:p>
      <w:pPr>
        <w:rPr>
          <w:highlight w:val="none"/>
        </w:rPr>
      </w:pPr>
    </w:p>
    <w:p>
      <w:pPr>
        <w:pStyle w:val="3"/>
        <w:rPr>
          <w:highlight w:val="none"/>
        </w:rPr>
      </w:pPr>
    </w:p>
    <w:p>
      <w:pPr>
        <w:pStyle w:val="4"/>
        <w:rPr>
          <w:highlight w:val="none"/>
        </w:rPr>
      </w:pPr>
    </w:p>
    <w:p>
      <w:pPr>
        <w:rPr>
          <w:highlight w:val="none"/>
        </w:rPr>
      </w:pPr>
    </w:p>
    <w:p>
      <w:pPr>
        <w:pStyle w:val="3"/>
        <w:rPr>
          <w:highlight w:val="none"/>
        </w:rPr>
      </w:pPr>
    </w:p>
    <w:p>
      <w:pPr>
        <w:pStyle w:val="4"/>
        <w:rPr>
          <w:highlight w:val="none"/>
        </w:rPr>
      </w:pPr>
    </w:p>
    <w:p>
      <w:pPr>
        <w:rPr>
          <w:highlight w:val="none"/>
        </w:rPr>
      </w:pPr>
    </w:p>
    <w:p>
      <w:pPr>
        <w:pStyle w:val="3"/>
        <w:rPr>
          <w:highlight w:val="none"/>
        </w:rPr>
      </w:pPr>
    </w:p>
    <w:p>
      <w:pPr>
        <w:spacing w:line="360" w:lineRule="auto"/>
        <w:rPr>
          <w:rFonts w:eastAsia="方正仿宋_GBK"/>
          <w:b/>
          <w:bCs/>
          <w:sz w:val="32"/>
          <w:szCs w:val="32"/>
          <w:highlight w:val="none"/>
        </w:rPr>
      </w:pPr>
    </w:p>
    <w:p>
      <w:pPr>
        <w:spacing w:line="360" w:lineRule="auto"/>
        <w:rPr>
          <w:rFonts w:eastAsia="方正仿宋_GBK"/>
          <w:b/>
          <w:bCs/>
          <w:sz w:val="32"/>
          <w:szCs w:val="32"/>
          <w:highlight w:val="none"/>
        </w:rPr>
      </w:pPr>
    </w:p>
    <w:p>
      <w:pPr>
        <w:spacing w:line="360" w:lineRule="auto"/>
        <w:rPr>
          <w:rFonts w:eastAsia="方正仿宋_GBK"/>
          <w:b/>
          <w:bCs/>
          <w:sz w:val="32"/>
          <w:szCs w:val="32"/>
          <w:highlight w:val="none"/>
        </w:rPr>
      </w:pPr>
    </w:p>
    <w:p>
      <w:pPr>
        <w:spacing w:line="360" w:lineRule="auto"/>
        <w:rPr>
          <w:rFonts w:eastAsia="方正仿宋_GBK"/>
          <w:b/>
          <w:bCs/>
          <w:sz w:val="32"/>
          <w:szCs w:val="32"/>
          <w:highlight w:val="none"/>
        </w:rPr>
      </w:pPr>
    </w:p>
    <w:p>
      <w:pPr>
        <w:spacing w:line="360" w:lineRule="auto"/>
        <w:rPr>
          <w:rFonts w:eastAsia="方正仿宋_GBK"/>
          <w:b/>
          <w:bCs/>
          <w:sz w:val="32"/>
          <w:szCs w:val="32"/>
          <w:highlight w:val="none"/>
        </w:rPr>
      </w:pPr>
    </w:p>
    <w:p>
      <w:pPr>
        <w:spacing w:line="360" w:lineRule="auto"/>
        <w:ind w:firstLine="1920" w:firstLineChars="600"/>
        <w:rPr>
          <w:rFonts w:eastAsia="方正仿宋_GBK"/>
          <w:sz w:val="32"/>
          <w:szCs w:val="32"/>
          <w:highlight w:val="none"/>
        </w:rPr>
      </w:pPr>
      <w:r>
        <w:rPr>
          <w:rFonts w:eastAsia="方正仿宋_GBK"/>
          <w:sz w:val="32"/>
          <w:szCs w:val="32"/>
          <w:highlight w:val="none"/>
        </w:rPr>
        <w:t>比选单位：XXX（盖章）</w:t>
      </w:r>
    </w:p>
    <w:p>
      <w:pPr>
        <w:pStyle w:val="7"/>
        <w:ind w:firstLine="1920" w:firstLineChars="600"/>
        <w:rPr>
          <w:rFonts w:eastAsia="方正仿宋_GBK"/>
          <w:b w:val="0"/>
          <w:bCs w:val="0"/>
          <w:highlight w:val="none"/>
        </w:rPr>
      </w:pPr>
      <w:r>
        <w:rPr>
          <w:rFonts w:eastAsia="方正仿宋_GBK"/>
          <w:b w:val="0"/>
          <w:bCs w:val="0"/>
          <w:highlight w:val="none"/>
        </w:rPr>
        <w:t>日    期：   年   月  日</w:t>
      </w:r>
    </w:p>
    <w:p>
      <w:pPr>
        <w:spacing w:line="360" w:lineRule="auto"/>
        <w:rPr>
          <w:rFonts w:eastAsia="方正小标宋_GBK"/>
          <w:b/>
          <w:bCs/>
          <w:sz w:val="52"/>
          <w:szCs w:val="52"/>
          <w:highlight w:val="none"/>
        </w:rPr>
      </w:pPr>
      <w:r>
        <w:rPr>
          <w:rFonts w:eastAsia="方正小标宋_GBK"/>
          <w:b/>
          <w:bCs/>
          <w:sz w:val="52"/>
          <w:szCs w:val="52"/>
          <w:highlight w:val="none"/>
        </w:rPr>
        <w:br w:type="page"/>
      </w:r>
    </w:p>
    <w:p>
      <w:pPr>
        <w:pStyle w:val="7"/>
        <w:jc w:val="center"/>
        <w:rPr>
          <w:rFonts w:eastAsia="方正仿宋_GBK"/>
          <w:highlight w:val="none"/>
        </w:rPr>
      </w:pPr>
      <w:r>
        <w:rPr>
          <w:rFonts w:eastAsia="方正仿宋_GBK"/>
          <w:highlight w:val="none"/>
        </w:rPr>
        <w:t>资格文件目录</w:t>
      </w:r>
    </w:p>
    <w:p>
      <w:pPr>
        <w:spacing w:line="600" w:lineRule="exact"/>
        <w:jc w:val="left"/>
        <w:rPr>
          <w:rFonts w:eastAsia="方正仿宋_GBK"/>
          <w:sz w:val="32"/>
          <w:szCs w:val="32"/>
          <w:highlight w:val="none"/>
        </w:rPr>
      </w:pPr>
      <w:r>
        <w:rPr>
          <w:rFonts w:hint="eastAsia" w:eastAsia="方正仿宋_GBK"/>
          <w:sz w:val="32"/>
          <w:szCs w:val="32"/>
          <w:highlight w:val="none"/>
          <w:lang w:eastAsia="zh-CN"/>
        </w:rPr>
        <w:t>1.</w:t>
      </w:r>
      <w:r>
        <w:rPr>
          <w:rFonts w:eastAsia="方正仿宋_GBK"/>
          <w:sz w:val="32"/>
          <w:szCs w:val="32"/>
          <w:highlight w:val="none"/>
        </w:rPr>
        <w:t>营业执照复印件</w:t>
      </w:r>
    </w:p>
    <w:p>
      <w:pPr>
        <w:spacing w:line="600" w:lineRule="exact"/>
        <w:jc w:val="left"/>
        <w:rPr>
          <w:rFonts w:eastAsia="方正仿宋_GBK"/>
          <w:sz w:val="32"/>
          <w:szCs w:val="32"/>
          <w:highlight w:val="none"/>
        </w:rPr>
      </w:pPr>
      <w:r>
        <w:rPr>
          <w:rFonts w:hint="eastAsia" w:eastAsia="方正仿宋_GBK"/>
          <w:sz w:val="32"/>
          <w:szCs w:val="32"/>
          <w:highlight w:val="none"/>
          <w:lang w:eastAsia="zh-CN"/>
        </w:rPr>
        <w:t>2.</w:t>
      </w:r>
      <w:r>
        <w:rPr>
          <w:rFonts w:eastAsia="方正仿宋_GBK"/>
          <w:sz w:val="32"/>
          <w:szCs w:val="32"/>
          <w:highlight w:val="none"/>
        </w:rPr>
        <w:t>资质证书</w:t>
      </w:r>
    </w:p>
    <w:p>
      <w:pPr>
        <w:spacing w:line="600" w:lineRule="exact"/>
        <w:jc w:val="left"/>
        <w:rPr>
          <w:rFonts w:eastAsia="方正仿宋_GBK"/>
          <w:sz w:val="32"/>
          <w:szCs w:val="32"/>
          <w:highlight w:val="none"/>
        </w:rPr>
      </w:pPr>
      <w:r>
        <w:rPr>
          <w:rFonts w:hint="eastAsia" w:eastAsia="方正仿宋_GBK"/>
          <w:sz w:val="32"/>
          <w:szCs w:val="32"/>
          <w:highlight w:val="none"/>
          <w:lang w:eastAsia="zh-CN"/>
        </w:rPr>
        <w:t>3.</w:t>
      </w:r>
      <w:r>
        <w:rPr>
          <w:rFonts w:eastAsia="方正仿宋_GBK"/>
          <w:sz w:val="32"/>
          <w:szCs w:val="32"/>
          <w:highlight w:val="none"/>
        </w:rPr>
        <w:t>承诺函</w:t>
      </w:r>
    </w:p>
    <w:p>
      <w:pPr>
        <w:spacing w:line="600" w:lineRule="exact"/>
        <w:jc w:val="left"/>
        <w:rPr>
          <w:rFonts w:eastAsia="方正仿宋_GBK"/>
          <w:sz w:val="32"/>
          <w:szCs w:val="32"/>
          <w:highlight w:val="none"/>
        </w:rPr>
      </w:pPr>
      <w:r>
        <w:rPr>
          <w:rFonts w:hint="eastAsia" w:eastAsia="方正仿宋_GBK"/>
          <w:sz w:val="32"/>
          <w:szCs w:val="32"/>
          <w:highlight w:val="none"/>
          <w:lang w:eastAsia="zh-CN"/>
        </w:rPr>
        <w:t>4.</w:t>
      </w:r>
      <w:r>
        <w:rPr>
          <w:rFonts w:eastAsia="方正仿宋_GBK"/>
          <w:sz w:val="32"/>
          <w:szCs w:val="32"/>
          <w:highlight w:val="none"/>
        </w:rPr>
        <w:t>法定代表人资格证明书</w:t>
      </w:r>
    </w:p>
    <w:p>
      <w:pPr>
        <w:spacing w:line="600" w:lineRule="exact"/>
        <w:jc w:val="left"/>
        <w:rPr>
          <w:rFonts w:eastAsia="方正仿宋_GBK"/>
          <w:sz w:val="32"/>
          <w:szCs w:val="32"/>
          <w:highlight w:val="none"/>
        </w:rPr>
      </w:pPr>
      <w:r>
        <w:rPr>
          <w:rFonts w:hint="eastAsia" w:eastAsia="方正仿宋_GBK"/>
          <w:sz w:val="32"/>
          <w:szCs w:val="32"/>
          <w:highlight w:val="none"/>
          <w:lang w:eastAsia="zh-CN"/>
        </w:rPr>
        <w:t>5.</w:t>
      </w:r>
      <w:r>
        <w:rPr>
          <w:rFonts w:eastAsia="方正仿宋_GBK"/>
          <w:sz w:val="32"/>
          <w:szCs w:val="32"/>
          <w:highlight w:val="none"/>
        </w:rPr>
        <w:t>法定代表人授权委托书</w:t>
      </w:r>
    </w:p>
    <w:p>
      <w:pPr>
        <w:spacing w:line="600" w:lineRule="exact"/>
        <w:jc w:val="left"/>
        <w:rPr>
          <w:rFonts w:eastAsia="方正仿宋_GBK"/>
          <w:sz w:val="32"/>
          <w:szCs w:val="32"/>
          <w:highlight w:val="none"/>
        </w:rPr>
      </w:pPr>
      <w:r>
        <w:rPr>
          <w:rFonts w:hint="eastAsia" w:eastAsia="方正仿宋_GBK"/>
          <w:sz w:val="32"/>
          <w:szCs w:val="32"/>
          <w:highlight w:val="none"/>
          <w:lang w:eastAsia="zh-CN"/>
        </w:rPr>
        <w:t>6.</w:t>
      </w:r>
      <w:r>
        <w:rPr>
          <w:rFonts w:eastAsia="方正仿宋_GBK"/>
          <w:sz w:val="32"/>
          <w:szCs w:val="32"/>
          <w:highlight w:val="none"/>
        </w:rPr>
        <w:t>信用信息报告</w:t>
      </w:r>
    </w:p>
    <w:p>
      <w:pPr>
        <w:spacing w:line="600" w:lineRule="exact"/>
        <w:jc w:val="left"/>
        <w:rPr>
          <w:rFonts w:eastAsia="方正仿宋_GBK"/>
          <w:sz w:val="32"/>
          <w:szCs w:val="32"/>
          <w:highlight w:val="none"/>
        </w:rPr>
      </w:pPr>
      <w:r>
        <w:rPr>
          <w:rFonts w:hint="eastAsia" w:eastAsia="方正仿宋_GBK"/>
          <w:sz w:val="32"/>
          <w:szCs w:val="32"/>
          <w:highlight w:val="none"/>
          <w:lang w:eastAsia="zh-CN"/>
        </w:rPr>
        <w:t>7.</w:t>
      </w:r>
      <w:r>
        <w:rPr>
          <w:rFonts w:eastAsia="方正仿宋_GBK"/>
          <w:sz w:val="32"/>
          <w:szCs w:val="32"/>
          <w:highlight w:val="none"/>
        </w:rPr>
        <w:t>投标保证金缴纳凭证</w:t>
      </w:r>
    </w:p>
    <w:p>
      <w:pPr>
        <w:spacing w:line="600" w:lineRule="exact"/>
        <w:jc w:val="left"/>
        <w:rPr>
          <w:rFonts w:eastAsia="方正仿宋_GBK"/>
          <w:sz w:val="32"/>
          <w:szCs w:val="32"/>
          <w:highlight w:val="none"/>
        </w:rPr>
      </w:pPr>
      <w:r>
        <w:rPr>
          <w:rFonts w:hint="eastAsia" w:eastAsia="方正仿宋_GBK"/>
          <w:sz w:val="32"/>
          <w:szCs w:val="32"/>
          <w:highlight w:val="none"/>
          <w:lang w:eastAsia="zh-CN"/>
        </w:rPr>
        <w:t>8.参选人</w:t>
      </w:r>
      <w:r>
        <w:rPr>
          <w:rFonts w:eastAsia="方正仿宋_GBK"/>
          <w:sz w:val="32"/>
          <w:szCs w:val="32"/>
          <w:highlight w:val="none"/>
        </w:rPr>
        <w:t>关联关系单位披露表</w:t>
      </w:r>
    </w:p>
    <w:p>
      <w:pPr>
        <w:spacing w:line="600" w:lineRule="exact"/>
        <w:jc w:val="left"/>
        <w:rPr>
          <w:rFonts w:eastAsia="方正仿宋_GBK"/>
          <w:sz w:val="32"/>
          <w:szCs w:val="32"/>
          <w:highlight w:val="none"/>
        </w:rPr>
      </w:pPr>
      <w:r>
        <w:rPr>
          <w:rFonts w:hint="eastAsia" w:eastAsia="方正仿宋_GBK"/>
          <w:sz w:val="32"/>
          <w:szCs w:val="32"/>
          <w:highlight w:val="none"/>
          <w:lang w:eastAsia="zh-CN"/>
        </w:rPr>
        <w:t>9.</w:t>
      </w:r>
      <w:r>
        <w:rPr>
          <w:rFonts w:eastAsia="方正仿宋_GBK"/>
          <w:sz w:val="32"/>
          <w:szCs w:val="32"/>
          <w:highlight w:val="none"/>
        </w:rPr>
        <w:t>业绩证明材料</w:t>
      </w:r>
    </w:p>
    <w:p>
      <w:pPr>
        <w:spacing w:line="600" w:lineRule="exact"/>
        <w:jc w:val="left"/>
        <w:rPr>
          <w:rFonts w:eastAsia="方正仿宋_GBK"/>
          <w:sz w:val="32"/>
          <w:szCs w:val="32"/>
          <w:highlight w:val="none"/>
        </w:rPr>
      </w:pPr>
      <w:r>
        <w:rPr>
          <w:rFonts w:hint="eastAsia" w:eastAsia="方正仿宋_GBK"/>
          <w:sz w:val="32"/>
          <w:szCs w:val="32"/>
          <w:highlight w:val="none"/>
          <w:lang w:eastAsia="zh-CN"/>
        </w:rPr>
        <w:t>10.</w:t>
      </w:r>
      <w:r>
        <w:rPr>
          <w:rFonts w:eastAsia="方正仿宋_GBK"/>
          <w:sz w:val="32"/>
          <w:szCs w:val="32"/>
          <w:highlight w:val="none"/>
        </w:rPr>
        <w:t>参与项目人员资格证件</w:t>
      </w:r>
    </w:p>
    <w:p>
      <w:pPr>
        <w:spacing w:line="600" w:lineRule="exact"/>
        <w:jc w:val="left"/>
        <w:rPr>
          <w:rFonts w:eastAsia="方正仿宋_GBK"/>
          <w:sz w:val="32"/>
          <w:szCs w:val="32"/>
          <w:highlight w:val="none"/>
        </w:rPr>
      </w:pPr>
      <w:r>
        <w:rPr>
          <w:rFonts w:hint="eastAsia" w:eastAsia="方正仿宋_GBK"/>
          <w:sz w:val="32"/>
          <w:szCs w:val="32"/>
          <w:highlight w:val="none"/>
          <w:lang w:eastAsia="zh-CN"/>
        </w:rPr>
        <w:t>11.</w:t>
      </w:r>
      <w:r>
        <w:rPr>
          <w:rFonts w:eastAsia="方正仿宋_GBK"/>
          <w:sz w:val="32"/>
          <w:szCs w:val="32"/>
          <w:highlight w:val="none"/>
        </w:rPr>
        <w:t>社保缴纳情况相关资料</w:t>
      </w:r>
    </w:p>
    <w:p>
      <w:pPr>
        <w:spacing w:line="600" w:lineRule="exact"/>
        <w:jc w:val="left"/>
        <w:rPr>
          <w:rFonts w:eastAsia="方正仿宋_GBK"/>
          <w:sz w:val="32"/>
          <w:szCs w:val="32"/>
          <w:highlight w:val="none"/>
        </w:rPr>
      </w:pPr>
      <w:r>
        <w:rPr>
          <w:rFonts w:hint="eastAsia" w:eastAsia="方正仿宋_GBK"/>
          <w:sz w:val="32"/>
          <w:szCs w:val="32"/>
          <w:highlight w:val="none"/>
          <w:lang w:eastAsia="zh-CN"/>
        </w:rPr>
        <w:t>12.</w:t>
      </w:r>
      <w:r>
        <w:rPr>
          <w:rFonts w:eastAsia="方正仿宋_GBK"/>
          <w:sz w:val="32"/>
          <w:szCs w:val="32"/>
          <w:highlight w:val="none"/>
        </w:rPr>
        <w:t>需要添加的其他资料</w:t>
      </w:r>
    </w:p>
    <w:p>
      <w:pPr>
        <w:spacing w:line="360" w:lineRule="auto"/>
        <w:jc w:val="left"/>
        <w:rPr>
          <w:rFonts w:eastAsia="方正仿宋_GBK"/>
          <w:b/>
          <w:bCs/>
          <w:sz w:val="32"/>
          <w:szCs w:val="32"/>
          <w:highlight w:val="none"/>
        </w:rPr>
      </w:pPr>
    </w:p>
    <w:p>
      <w:pPr>
        <w:spacing w:line="360" w:lineRule="auto"/>
        <w:rPr>
          <w:rFonts w:eastAsia="方正仿宋_GBK"/>
          <w:b/>
          <w:bCs/>
          <w:sz w:val="32"/>
          <w:szCs w:val="32"/>
          <w:highlight w:val="none"/>
        </w:rPr>
      </w:pPr>
    </w:p>
    <w:p>
      <w:pPr>
        <w:spacing w:line="360" w:lineRule="auto"/>
        <w:rPr>
          <w:rFonts w:eastAsia="方正仿宋_GBK"/>
          <w:b/>
          <w:bCs/>
          <w:sz w:val="32"/>
          <w:szCs w:val="32"/>
          <w:highlight w:val="none"/>
        </w:rPr>
        <w:sectPr>
          <w:headerReference r:id="rId10" w:type="default"/>
          <w:footerReference r:id="rId11" w:type="default"/>
          <w:type w:val="continuous"/>
          <w:pgSz w:w="11900" w:h="16840"/>
          <w:pgMar w:top="1440" w:right="1134" w:bottom="1440" w:left="1134" w:header="920" w:footer="0" w:gutter="0"/>
          <w:pgNumType w:fmt="decimal"/>
          <w:cols w:space="720" w:num="1"/>
          <w:docGrid w:type="lines" w:linePitch="1" w:charSpace="0"/>
        </w:sectPr>
      </w:pPr>
    </w:p>
    <w:p>
      <w:pPr>
        <w:spacing w:line="360" w:lineRule="auto"/>
        <w:rPr>
          <w:rFonts w:eastAsia="方正仿宋_GBK"/>
          <w:b/>
          <w:bCs/>
          <w:sz w:val="32"/>
          <w:szCs w:val="32"/>
          <w:highlight w:val="none"/>
        </w:rPr>
      </w:pPr>
      <w:r>
        <w:rPr>
          <w:rFonts w:hint="eastAsia" w:eastAsia="方正仿宋_GBK"/>
          <w:b/>
          <w:bCs/>
          <w:sz w:val="32"/>
          <w:szCs w:val="32"/>
          <w:highlight w:val="none"/>
          <w:lang w:eastAsia="zh-CN"/>
        </w:rPr>
        <w:t>1.</w:t>
      </w:r>
      <w:r>
        <w:rPr>
          <w:rFonts w:eastAsia="方正仿宋_GBK"/>
          <w:b/>
          <w:bCs/>
          <w:sz w:val="32"/>
          <w:szCs w:val="32"/>
          <w:highlight w:val="none"/>
        </w:rPr>
        <w:t>营业执照复印件</w:t>
      </w:r>
    </w:p>
    <w:p>
      <w:pPr>
        <w:spacing w:line="360" w:lineRule="auto"/>
        <w:rPr>
          <w:rFonts w:eastAsia="方正仿宋_GBK"/>
          <w:sz w:val="28"/>
          <w:szCs w:val="28"/>
          <w:highlight w:val="none"/>
        </w:rPr>
      </w:pPr>
      <w:r>
        <w:rPr>
          <w:rFonts w:eastAsia="方正仿宋_GBK"/>
          <w:sz w:val="28"/>
          <w:szCs w:val="28"/>
          <w:highlight w:val="none"/>
        </w:rPr>
        <w:t>格式自拟</w:t>
      </w:r>
    </w:p>
    <w:p>
      <w:pPr>
        <w:spacing w:line="360" w:lineRule="auto"/>
        <w:rPr>
          <w:rFonts w:eastAsia="方正仿宋_GBK"/>
          <w:b/>
          <w:bCs/>
          <w:sz w:val="32"/>
          <w:szCs w:val="32"/>
          <w:highlight w:val="none"/>
        </w:rPr>
      </w:pPr>
    </w:p>
    <w:p>
      <w:pPr>
        <w:spacing w:line="360" w:lineRule="auto"/>
        <w:rPr>
          <w:rFonts w:eastAsia="方正仿宋_GBK"/>
          <w:b/>
          <w:bCs/>
          <w:sz w:val="32"/>
          <w:szCs w:val="32"/>
          <w:highlight w:val="none"/>
        </w:rPr>
      </w:pPr>
    </w:p>
    <w:p>
      <w:pPr>
        <w:spacing w:line="360" w:lineRule="auto"/>
        <w:rPr>
          <w:rFonts w:eastAsia="方正仿宋_GBK"/>
          <w:b/>
          <w:bCs/>
          <w:sz w:val="32"/>
          <w:szCs w:val="32"/>
          <w:highlight w:val="none"/>
        </w:rPr>
      </w:pPr>
      <w:r>
        <w:rPr>
          <w:rFonts w:hint="eastAsia" w:eastAsia="方正仿宋_GBK"/>
          <w:b/>
          <w:bCs/>
          <w:sz w:val="32"/>
          <w:szCs w:val="32"/>
          <w:highlight w:val="none"/>
          <w:lang w:eastAsia="zh-CN"/>
        </w:rPr>
        <w:t>2.</w:t>
      </w:r>
      <w:r>
        <w:rPr>
          <w:rFonts w:eastAsia="方正仿宋_GBK"/>
          <w:b/>
          <w:bCs/>
          <w:sz w:val="32"/>
          <w:szCs w:val="32"/>
          <w:highlight w:val="none"/>
        </w:rPr>
        <w:t>公司资质证书</w:t>
      </w:r>
    </w:p>
    <w:p>
      <w:pPr>
        <w:spacing w:line="360" w:lineRule="auto"/>
        <w:rPr>
          <w:highlight w:val="none"/>
        </w:rPr>
      </w:pPr>
      <w:r>
        <w:rPr>
          <w:rFonts w:eastAsia="方正仿宋_GBK"/>
          <w:sz w:val="28"/>
          <w:szCs w:val="28"/>
          <w:highlight w:val="none"/>
        </w:rPr>
        <w:t>格式自拟需包含：</w:t>
      </w:r>
    </w:p>
    <w:p>
      <w:pPr>
        <w:spacing w:line="560" w:lineRule="exact"/>
        <w:rPr>
          <w:rFonts w:eastAsia="方正仿宋_GBK"/>
          <w:sz w:val="28"/>
          <w:szCs w:val="28"/>
          <w:highlight w:val="none"/>
        </w:rPr>
      </w:pPr>
      <w:r>
        <w:rPr>
          <w:rFonts w:eastAsia="方正仿宋_GBK"/>
          <w:sz w:val="28"/>
          <w:szCs w:val="28"/>
          <w:highlight w:val="none"/>
        </w:rPr>
        <w:t>（1）资质证明文件。</w:t>
      </w:r>
    </w:p>
    <w:p>
      <w:pPr>
        <w:spacing w:line="440" w:lineRule="exact"/>
        <w:rPr>
          <w:rFonts w:eastAsia="方正仿宋_GBK"/>
          <w:sz w:val="28"/>
          <w:szCs w:val="28"/>
          <w:highlight w:val="none"/>
        </w:rPr>
      </w:pPr>
    </w:p>
    <w:p>
      <w:pPr>
        <w:spacing w:line="440" w:lineRule="exact"/>
        <w:rPr>
          <w:rFonts w:eastAsia="方正仿宋_GBK"/>
          <w:sz w:val="24"/>
          <w:highlight w:val="none"/>
        </w:rPr>
      </w:pPr>
    </w:p>
    <w:p>
      <w:pPr>
        <w:pStyle w:val="2"/>
        <w:rPr>
          <w:rFonts w:ascii="Times New Roman" w:hAnsi="Times New Roman" w:eastAsia="方正仿宋_GBK"/>
          <w:szCs w:val="28"/>
          <w:highlight w:val="none"/>
        </w:rPr>
        <w:sectPr>
          <w:pgSz w:w="11900" w:h="16840"/>
          <w:pgMar w:top="1440" w:right="1134" w:bottom="1440" w:left="1134" w:header="920" w:footer="0" w:gutter="0"/>
          <w:pgNumType w:fmt="decimal"/>
          <w:cols w:space="720" w:num="1"/>
          <w:docGrid w:type="lines" w:linePitch="1" w:charSpace="0"/>
        </w:sectPr>
      </w:pPr>
    </w:p>
    <w:p>
      <w:pPr>
        <w:rPr>
          <w:rFonts w:eastAsia="方正仿宋_GBK"/>
          <w:b/>
          <w:bCs/>
          <w:sz w:val="32"/>
          <w:szCs w:val="32"/>
          <w:highlight w:val="none"/>
        </w:rPr>
      </w:pPr>
      <w:r>
        <w:rPr>
          <w:rFonts w:hint="eastAsia" w:eastAsia="方正仿宋_GBK"/>
          <w:b/>
          <w:bCs/>
          <w:sz w:val="32"/>
          <w:szCs w:val="32"/>
          <w:highlight w:val="none"/>
          <w:lang w:eastAsia="zh-CN"/>
        </w:rPr>
        <w:t>3.</w:t>
      </w:r>
      <w:r>
        <w:rPr>
          <w:rFonts w:eastAsia="方正仿宋_GBK"/>
          <w:b/>
          <w:bCs/>
          <w:sz w:val="32"/>
          <w:szCs w:val="32"/>
          <w:highlight w:val="none"/>
        </w:rPr>
        <w:t>承诺函</w:t>
      </w:r>
      <w:r>
        <w:rPr>
          <w:rFonts w:eastAsia="方正仿宋_GBK"/>
          <w:sz w:val="32"/>
          <w:szCs w:val="32"/>
          <w:highlight w:val="none"/>
        </w:rPr>
        <w:t>（本页文字格式和内容不得删减和添加）</w:t>
      </w:r>
    </w:p>
    <w:p>
      <w:pPr>
        <w:rPr>
          <w:highlight w:val="none"/>
        </w:rPr>
      </w:pPr>
    </w:p>
    <w:p>
      <w:pPr>
        <w:jc w:val="center"/>
        <w:rPr>
          <w:rFonts w:eastAsia="方正仿宋_GBK"/>
          <w:b/>
          <w:bCs/>
          <w:sz w:val="36"/>
          <w:szCs w:val="36"/>
          <w:highlight w:val="none"/>
        </w:rPr>
      </w:pPr>
      <w:r>
        <w:rPr>
          <w:rFonts w:eastAsia="方正仿宋_GBK"/>
          <w:b/>
          <w:bCs/>
          <w:sz w:val="36"/>
          <w:szCs w:val="36"/>
          <w:highlight w:val="none"/>
        </w:rPr>
        <w:t>承  诺  函</w:t>
      </w:r>
    </w:p>
    <w:p>
      <w:pPr>
        <w:rPr>
          <w:szCs w:val="28"/>
          <w:highlight w:val="none"/>
        </w:rPr>
      </w:pPr>
    </w:p>
    <w:p>
      <w:pPr>
        <w:spacing w:line="360" w:lineRule="auto"/>
        <w:rPr>
          <w:rFonts w:eastAsia="方正仿宋_GBK"/>
          <w:sz w:val="28"/>
          <w:szCs w:val="28"/>
          <w:highlight w:val="none"/>
        </w:rPr>
      </w:pPr>
      <w:r>
        <w:rPr>
          <w:rFonts w:eastAsia="方正仿宋_GBK"/>
          <w:sz w:val="28"/>
          <w:szCs w:val="28"/>
          <w:highlight w:val="none"/>
        </w:rPr>
        <w:t>致：重庆通邑卫士智慧生活服务有限公司</w:t>
      </w:r>
    </w:p>
    <w:p>
      <w:pPr>
        <w:spacing w:line="560" w:lineRule="exact"/>
        <w:rPr>
          <w:rFonts w:eastAsia="方正仿宋_GBK"/>
          <w:sz w:val="28"/>
          <w:szCs w:val="28"/>
          <w:highlight w:val="none"/>
        </w:rPr>
      </w:pPr>
    </w:p>
    <w:p>
      <w:pPr>
        <w:spacing w:line="560" w:lineRule="exact"/>
        <w:ind w:firstLine="560" w:firstLineChars="200"/>
        <w:rPr>
          <w:rFonts w:eastAsia="方正仿宋_GBK"/>
          <w:color w:val="FF0000"/>
          <w:sz w:val="28"/>
          <w:szCs w:val="28"/>
          <w:highlight w:val="none"/>
        </w:rPr>
      </w:pPr>
      <w:r>
        <w:rPr>
          <w:rFonts w:eastAsia="方正仿宋_GBK"/>
          <w:sz w:val="28"/>
          <w:szCs w:val="28"/>
          <w:highlight w:val="none"/>
        </w:rPr>
        <w:t>根据比选邀请函要求，</w:t>
      </w:r>
      <w:r>
        <w:rPr>
          <w:rFonts w:eastAsia="方正仿宋_GBK"/>
          <w:sz w:val="28"/>
          <w:szCs w:val="28"/>
          <w:highlight w:val="none"/>
          <w:u w:val="single"/>
        </w:rPr>
        <w:t xml:space="preserve">                      （比选人公司名称） </w:t>
      </w:r>
      <w:r>
        <w:rPr>
          <w:rFonts w:eastAsia="方正仿宋_GBK"/>
          <w:sz w:val="28"/>
          <w:szCs w:val="28"/>
          <w:highlight w:val="none"/>
        </w:rPr>
        <w:t>郑重承诺：我司具有独立承担民事责任的能力、具有良好的商业信誉和健全的财务会计制度、具有履行合同所必需的设备和专业技术能力、具有依法缴纳税收和社会保障资金的良好记录和</w:t>
      </w:r>
      <w:r>
        <w:rPr>
          <w:rFonts w:eastAsia="方正仿宋_GBK"/>
          <w:color w:val="FF0000"/>
          <w:sz w:val="28"/>
          <w:szCs w:val="28"/>
          <w:highlight w:val="none"/>
        </w:rPr>
        <w:t>具备良好的商业信誉，参加本次招标前三年内，在经营活动中没有重大违法行为。</w:t>
      </w:r>
    </w:p>
    <w:p>
      <w:pPr>
        <w:spacing w:line="560" w:lineRule="exact"/>
        <w:ind w:firstLine="560" w:firstLineChars="200"/>
        <w:rPr>
          <w:rFonts w:eastAsia="方正仿宋_GBK"/>
          <w:sz w:val="28"/>
          <w:szCs w:val="28"/>
          <w:highlight w:val="none"/>
        </w:rPr>
      </w:pPr>
      <w:r>
        <w:rPr>
          <w:rFonts w:eastAsia="方正仿宋_GBK"/>
          <w:sz w:val="28"/>
          <w:szCs w:val="28"/>
          <w:highlight w:val="none"/>
        </w:rPr>
        <w:t>特此承诺。</w:t>
      </w:r>
    </w:p>
    <w:p>
      <w:pPr>
        <w:rPr>
          <w:rFonts w:eastAsia="方正仿宋_GBK"/>
          <w:sz w:val="28"/>
          <w:szCs w:val="28"/>
          <w:highlight w:val="none"/>
        </w:rPr>
      </w:pPr>
    </w:p>
    <w:p>
      <w:pPr>
        <w:pStyle w:val="7"/>
        <w:rPr>
          <w:highlight w:val="none"/>
        </w:rPr>
      </w:pPr>
    </w:p>
    <w:p>
      <w:pPr>
        <w:ind w:firstLine="560"/>
        <w:rPr>
          <w:szCs w:val="28"/>
          <w:highlight w:val="none"/>
        </w:rPr>
      </w:pPr>
    </w:p>
    <w:p>
      <w:pPr>
        <w:ind w:firstLine="560"/>
        <w:rPr>
          <w:szCs w:val="28"/>
          <w:highlight w:val="none"/>
        </w:rPr>
      </w:pPr>
    </w:p>
    <w:p>
      <w:pPr>
        <w:spacing w:line="360" w:lineRule="auto"/>
        <w:jc w:val="center"/>
        <w:rPr>
          <w:rFonts w:eastAsia="方正仿宋_GBK"/>
          <w:sz w:val="28"/>
          <w:szCs w:val="28"/>
          <w:highlight w:val="none"/>
        </w:rPr>
      </w:pPr>
      <w:r>
        <w:rPr>
          <w:rFonts w:eastAsia="方正仿宋_GBK"/>
          <w:bCs/>
          <w:kern w:val="0"/>
          <w:sz w:val="28"/>
          <w:szCs w:val="28"/>
          <w:highlight w:val="none"/>
        </w:rPr>
        <w:t>比选单位名称（盖章）：</w:t>
      </w:r>
      <w:r>
        <w:rPr>
          <w:rFonts w:eastAsia="方正仿宋_GBK"/>
          <w:bCs/>
          <w:kern w:val="0"/>
          <w:sz w:val="28"/>
          <w:szCs w:val="28"/>
          <w:highlight w:val="none"/>
          <w:u w:val="single"/>
        </w:rPr>
        <w:t xml:space="preserve">                    </w:t>
      </w:r>
      <w:r>
        <w:rPr>
          <w:rFonts w:eastAsia="方正仿宋_GBK"/>
          <w:sz w:val="28"/>
          <w:szCs w:val="28"/>
          <w:highlight w:val="none"/>
        </w:rPr>
        <w:t xml:space="preserve">                                                             </w:t>
      </w:r>
    </w:p>
    <w:p>
      <w:pPr>
        <w:spacing w:line="360" w:lineRule="auto"/>
        <w:jc w:val="center"/>
        <w:rPr>
          <w:rFonts w:eastAsia="方正仿宋_GBK"/>
          <w:sz w:val="28"/>
          <w:szCs w:val="28"/>
          <w:highlight w:val="none"/>
        </w:rPr>
      </w:pPr>
    </w:p>
    <w:p>
      <w:pPr>
        <w:spacing w:line="360" w:lineRule="auto"/>
        <w:jc w:val="center"/>
        <w:rPr>
          <w:rFonts w:eastAsia="方正仿宋_GBK"/>
          <w:sz w:val="28"/>
          <w:szCs w:val="28"/>
          <w:highlight w:val="none"/>
        </w:rPr>
      </w:pPr>
      <w:r>
        <w:rPr>
          <w:rFonts w:eastAsia="方正仿宋_GBK"/>
          <w:sz w:val="28"/>
          <w:szCs w:val="28"/>
          <w:highlight w:val="none"/>
        </w:rPr>
        <w:t xml:space="preserve">                                        年  月   日</w:t>
      </w:r>
    </w:p>
    <w:p>
      <w:pPr>
        <w:rPr>
          <w:rFonts w:eastAsia="方正仿宋_GBK"/>
          <w:b/>
          <w:bCs/>
          <w:sz w:val="28"/>
          <w:szCs w:val="28"/>
          <w:highlight w:val="none"/>
        </w:rPr>
        <w:sectPr>
          <w:headerReference r:id="rId12" w:type="default"/>
          <w:pgSz w:w="11900" w:h="16840"/>
          <w:pgMar w:top="1440" w:right="1134" w:bottom="1440" w:left="1134" w:header="920" w:footer="454" w:gutter="0"/>
          <w:pgNumType w:fmt="decimal"/>
          <w:cols w:space="720" w:num="1"/>
          <w:docGrid w:type="lines" w:linePitch="1" w:charSpace="0"/>
        </w:sectPr>
      </w:pPr>
    </w:p>
    <w:p>
      <w:pPr>
        <w:widowControl/>
        <w:spacing w:line="252" w:lineRule="atLeast"/>
        <w:jc w:val="left"/>
        <w:rPr>
          <w:rFonts w:eastAsia="方正仿宋_GBK"/>
          <w:b/>
          <w:bCs/>
          <w:sz w:val="32"/>
          <w:szCs w:val="32"/>
          <w:highlight w:val="none"/>
        </w:rPr>
      </w:pPr>
      <w:r>
        <w:rPr>
          <w:rFonts w:eastAsia="方正仿宋_GBK"/>
          <w:b/>
          <w:bCs/>
          <w:sz w:val="32"/>
          <w:szCs w:val="32"/>
          <w:highlight w:val="none"/>
        </w:rPr>
        <w:t>4-1、法定代表人资格证明书（附件4-1与4-2根据参选单位实际情况只能填写一个附件）</w:t>
      </w:r>
    </w:p>
    <w:p>
      <w:pPr>
        <w:jc w:val="center"/>
        <w:rPr>
          <w:rFonts w:eastAsia="方正小标宋_GBK"/>
          <w:b/>
          <w:bCs/>
          <w:sz w:val="36"/>
          <w:szCs w:val="36"/>
          <w:highlight w:val="none"/>
        </w:rPr>
      </w:pPr>
    </w:p>
    <w:p>
      <w:pPr>
        <w:tabs>
          <w:tab w:val="left" w:pos="2835"/>
        </w:tabs>
        <w:rPr>
          <w:rFonts w:eastAsia="方正小标宋_GBK"/>
          <w:b/>
          <w:bCs/>
          <w:sz w:val="36"/>
          <w:szCs w:val="36"/>
          <w:highlight w:val="none"/>
        </w:rPr>
      </w:pPr>
      <w:r>
        <w:rPr>
          <w:rFonts w:eastAsia="方正小标宋_GBK"/>
          <w:b/>
          <w:bCs/>
          <w:sz w:val="36"/>
          <w:szCs w:val="36"/>
          <w:highlight w:val="none"/>
        </w:rPr>
        <w:tab/>
      </w:r>
    </w:p>
    <w:p>
      <w:pPr>
        <w:jc w:val="center"/>
        <w:rPr>
          <w:rFonts w:eastAsia="方正小标宋_GBK"/>
          <w:b/>
          <w:bCs/>
          <w:sz w:val="36"/>
          <w:szCs w:val="36"/>
          <w:highlight w:val="none"/>
        </w:rPr>
      </w:pPr>
      <w:r>
        <w:rPr>
          <w:rFonts w:eastAsia="方正小标宋_GBK"/>
          <w:b/>
          <w:bCs/>
          <w:sz w:val="36"/>
          <w:szCs w:val="36"/>
          <w:highlight w:val="none"/>
        </w:rPr>
        <w:t>法定代表人资格证明书</w:t>
      </w:r>
    </w:p>
    <w:p>
      <w:pPr>
        <w:pStyle w:val="7"/>
        <w:rPr>
          <w:rFonts w:eastAsia="方正仿宋_GBK"/>
          <w:b w:val="0"/>
          <w:kern w:val="0"/>
          <w:sz w:val="28"/>
          <w:szCs w:val="28"/>
          <w:highlight w:val="none"/>
        </w:rPr>
      </w:pPr>
      <w:r>
        <w:rPr>
          <w:rFonts w:eastAsia="方正小标宋_GBK"/>
          <w:sz w:val="36"/>
          <w:szCs w:val="36"/>
          <w:highlight w:val="none"/>
        </w:rPr>
        <w:t xml:space="preserve">   </w:t>
      </w:r>
      <w:r>
        <w:rPr>
          <w:rFonts w:eastAsia="方正小标宋_GBK"/>
          <w:sz w:val="36"/>
          <w:szCs w:val="36"/>
          <w:highlight w:val="none"/>
          <w:u w:val="single"/>
        </w:rPr>
        <w:t xml:space="preserve">          </w:t>
      </w:r>
      <w:r>
        <w:rPr>
          <w:rFonts w:eastAsia="方正仿宋_GBK"/>
          <w:b w:val="0"/>
          <w:kern w:val="0"/>
          <w:sz w:val="28"/>
          <w:szCs w:val="28"/>
          <w:highlight w:val="none"/>
        </w:rPr>
        <w:t>（法定代表人姓名）系</w:t>
      </w:r>
      <w:r>
        <w:rPr>
          <w:rFonts w:eastAsia="方正小标宋_GBK"/>
          <w:sz w:val="36"/>
          <w:szCs w:val="36"/>
          <w:highlight w:val="none"/>
          <w:u w:val="single"/>
        </w:rPr>
        <w:t xml:space="preserve">              </w:t>
      </w:r>
      <w:r>
        <w:rPr>
          <w:rFonts w:eastAsia="方正仿宋_GBK"/>
          <w:b w:val="0"/>
          <w:kern w:val="0"/>
          <w:sz w:val="28"/>
          <w:szCs w:val="28"/>
          <w:highlight w:val="none"/>
        </w:rPr>
        <w:t>（比选单位）的法定代表人。</w:t>
      </w:r>
    </w:p>
    <w:p>
      <w:pPr>
        <w:ind w:firstLine="722"/>
        <w:rPr>
          <w:rFonts w:eastAsia="方正仿宋_GBK"/>
          <w:bCs/>
          <w:kern w:val="0"/>
          <w:sz w:val="28"/>
          <w:szCs w:val="28"/>
          <w:highlight w:val="none"/>
        </w:rPr>
      </w:pPr>
      <w:r>
        <w:rPr>
          <w:rFonts w:eastAsia="方正仿宋_GBK"/>
          <w:bCs/>
          <w:kern w:val="0"/>
          <w:sz w:val="28"/>
          <w:szCs w:val="28"/>
          <w:highlight w:val="none"/>
        </w:rPr>
        <w:t>特此证明</w:t>
      </w:r>
    </w:p>
    <w:p>
      <w:pPr>
        <w:pStyle w:val="7"/>
        <w:rPr>
          <w:highlight w:val="none"/>
        </w:rPr>
      </w:pPr>
      <w:r>
        <w:rPr>
          <w:rFonts w:eastAsia="方正仿宋_GBK"/>
          <w:kern w:val="0"/>
          <w:sz w:val="28"/>
          <w:szCs w:val="28"/>
          <w:highlight w:val="none"/>
        </w:rPr>
        <mc:AlternateContent>
          <mc:Choice Requires="wps">
            <w:drawing>
              <wp:anchor distT="0" distB="0" distL="114300" distR="114300" simplePos="0" relativeHeight="251667456" behindDoc="0" locked="0" layoutInCell="1" allowOverlap="1">
                <wp:simplePos x="0" y="0"/>
                <wp:positionH relativeFrom="column">
                  <wp:posOffset>-75565</wp:posOffset>
                </wp:positionH>
                <wp:positionV relativeFrom="paragraph">
                  <wp:posOffset>268605</wp:posOffset>
                </wp:positionV>
                <wp:extent cx="6399530" cy="3787775"/>
                <wp:effectExtent l="6350" t="6350" r="13970" b="15875"/>
                <wp:wrapNone/>
                <wp:docPr id="19" name="文本框 19"/>
                <wp:cNvGraphicFramePr/>
                <a:graphic xmlns:a="http://schemas.openxmlformats.org/drawingml/2006/main">
                  <a:graphicData uri="http://schemas.microsoft.com/office/word/2010/wordprocessingShape">
                    <wps:wsp>
                      <wps:cNvSpPr txBox="1"/>
                      <wps:spPr>
                        <a:xfrm>
                          <a:off x="0" y="0"/>
                          <a:ext cx="2857500" cy="3784600"/>
                        </a:xfrm>
                        <a:prstGeom prst="rect">
                          <a:avLst/>
                        </a:prstGeom>
                        <a:solidFill>
                          <a:srgbClr val="FFFFFF"/>
                        </a:solidFill>
                        <a:ln w="12700" cap="flat" cmpd="sng">
                          <a:solidFill>
                            <a:srgbClr val="000000"/>
                          </a:solidFill>
                          <a:prstDash val="dash"/>
                          <a:miter/>
                          <a:headEnd type="none" w="med" len="med"/>
                          <a:tailEnd type="none" w="med" len="med"/>
                        </a:ln>
                        <a:effectLst/>
                      </wps:spPr>
                      <wps:txbx>
                        <w:txbxContent>
                          <w:p>
                            <w:pPr>
                              <w:jc w:val="center"/>
                              <w:rPr>
                                <w:rFonts w:ascii="方正仿宋_GBK" w:hAnsi="方正仿宋_GBK" w:eastAsia="方正仿宋_GBK" w:cs="方正仿宋_GBK"/>
                              </w:rPr>
                            </w:pPr>
                            <w:r>
                              <w:rPr>
                                <w:rFonts w:hint="eastAsia" w:ascii="方正仿宋_GBK" w:hAnsi="方正仿宋_GBK" w:eastAsia="方正仿宋_GBK" w:cs="方正仿宋_GBK"/>
                              </w:rPr>
                              <w:t>法定代表人身份证复印件粘贴处</w:t>
                            </w:r>
                          </w:p>
                          <w:p>
                            <w:pPr>
                              <w:jc w:val="center"/>
                              <w:rPr>
                                <w:rFonts w:ascii="方正仿宋_GBK" w:hAnsi="方正仿宋_GBK" w:eastAsia="方正仿宋_GBK" w:cs="方正仿宋_GBK"/>
                              </w:rPr>
                            </w:pPr>
                            <w:r>
                              <w:rPr>
                                <w:rFonts w:hint="eastAsia" w:ascii="方正仿宋_GBK" w:hAnsi="方正仿宋_GBK" w:eastAsia="方正仿宋_GBK" w:cs="方正仿宋_GBK"/>
                              </w:rPr>
                              <w:t>（须提供正反两面）</w:t>
                            </w:r>
                          </w:p>
                        </w:txbxContent>
                      </wps:txbx>
                      <wps:bodyPr upright="1"/>
                    </wps:wsp>
                  </a:graphicData>
                </a:graphic>
              </wp:anchor>
            </w:drawing>
          </mc:Choice>
          <mc:Fallback>
            <w:pict>
              <v:shape id="_x0000_s1026" o:spid="_x0000_s1026" o:spt="202" type="#_x0000_t202" style="position:absolute;left:0pt;margin-left:-5.95pt;margin-top:21.15pt;height:298.25pt;width:503.9pt;z-index:251667456;mso-width-relative:page;mso-height-relative:page;" fillcolor="#FFFFFF" filled="t" stroked="t" coordsize="21600,21600" o:gfxdata="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WHy9i3AAAAAoBAAAPAAAA&#10;AAAAAAEAIAAAACIAAABkcnMvZG93bnJldi54bWxQSwECFAAUAAAACACHTuJATgJnpRECAABHBAAA&#10;DgAAAAAAAAABACAAAAArAQAAZHJzL2Uyb0RvYy54bWxQSwUGAAAAAAYABgBZAQAArgUAAAAA&#10;">
                <v:fill on="t" focussize="0,0"/>
                <v:stroke weight="1pt" color="#000000" joinstyle="miter" dashstyle="dash"/>
                <v:imagedata o:title=""/>
                <o:lock v:ext="edit" aspectratio="f"/>
                <v:textbox>
                  <w:txbxContent>
                    <w:p>
                      <w:pPr>
                        <w:jc w:val="center"/>
                        <w:rPr>
                          <w:rFonts w:ascii="方正仿宋_GBK" w:hAnsi="方正仿宋_GBK" w:eastAsia="方正仿宋_GBK" w:cs="方正仿宋_GBK"/>
                        </w:rPr>
                      </w:pPr>
                      <w:r>
                        <w:rPr>
                          <w:rFonts w:hint="eastAsia" w:ascii="方正仿宋_GBK" w:hAnsi="方正仿宋_GBK" w:eastAsia="方正仿宋_GBK" w:cs="方正仿宋_GBK"/>
                        </w:rPr>
                        <w:t>法定代表人身份证复印件粘贴处</w:t>
                      </w:r>
                    </w:p>
                    <w:p>
                      <w:pPr>
                        <w:jc w:val="center"/>
                        <w:rPr>
                          <w:rFonts w:ascii="方正仿宋_GBK" w:hAnsi="方正仿宋_GBK" w:eastAsia="方正仿宋_GBK" w:cs="方正仿宋_GBK"/>
                        </w:rPr>
                      </w:pPr>
                      <w:r>
                        <w:rPr>
                          <w:rFonts w:hint="eastAsia" w:ascii="方正仿宋_GBK" w:hAnsi="方正仿宋_GBK" w:eastAsia="方正仿宋_GBK" w:cs="方正仿宋_GBK"/>
                        </w:rPr>
                        <w:t>（须提供正反两面）</w:t>
                      </w:r>
                    </w:p>
                  </w:txbxContent>
                </v:textbox>
              </v:shape>
            </w:pict>
          </mc:Fallback>
        </mc:AlternateContent>
      </w:r>
    </w:p>
    <w:p>
      <w:pPr>
        <w:pStyle w:val="7"/>
        <w:ind w:firstLine="722"/>
        <w:rPr>
          <w:highlight w:val="none"/>
        </w:rPr>
      </w:pPr>
    </w:p>
    <w:p>
      <w:pPr>
        <w:widowControl/>
        <w:spacing w:before="100" w:beforeAutospacing="1" w:after="100" w:afterAutospacing="1" w:line="252" w:lineRule="atLeast"/>
        <w:rPr>
          <w:rFonts w:eastAsia="方正仿宋_GBK"/>
          <w:bCs/>
          <w:kern w:val="0"/>
          <w:sz w:val="28"/>
          <w:szCs w:val="28"/>
          <w:highlight w:val="none"/>
        </w:rPr>
      </w:pPr>
    </w:p>
    <w:p>
      <w:pPr>
        <w:widowControl/>
        <w:spacing w:before="100" w:beforeAutospacing="1" w:after="100" w:afterAutospacing="1" w:line="252" w:lineRule="atLeast"/>
        <w:jc w:val="center"/>
        <w:rPr>
          <w:rFonts w:eastAsia="方正仿宋_GBK"/>
          <w:bCs/>
          <w:kern w:val="0"/>
          <w:sz w:val="28"/>
          <w:szCs w:val="28"/>
          <w:highlight w:val="none"/>
        </w:rPr>
      </w:pPr>
    </w:p>
    <w:p>
      <w:pPr>
        <w:widowControl/>
        <w:spacing w:before="100" w:beforeAutospacing="1" w:after="100" w:afterAutospacing="1" w:line="252" w:lineRule="atLeast"/>
        <w:jc w:val="center"/>
        <w:rPr>
          <w:rFonts w:eastAsia="方正仿宋_GBK"/>
          <w:bCs/>
          <w:kern w:val="0"/>
          <w:sz w:val="28"/>
          <w:szCs w:val="28"/>
          <w:highlight w:val="none"/>
        </w:rPr>
      </w:pPr>
    </w:p>
    <w:p>
      <w:pPr>
        <w:widowControl/>
        <w:spacing w:before="100" w:beforeAutospacing="1" w:after="100" w:afterAutospacing="1" w:line="252" w:lineRule="atLeast"/>
        <w:jc w:val="center"/>
        <w:rPr>
          <w:rFonts w:eastAsia="方正仿宋_GBK"/>
          <w:bCs/>
          <w:kern w:val="0"/>
          <w:sz w:val="28"/>
          <w:szCs w:val="28"/>
          <w:highlight w:val="none"/>
        </w:rPr>
      </w:pPr>
    </w:p>
    <w:p>
      <w:pPr>
        <w:pStyle w:val="7"/>
        <w:tabs>
          <w:tab w:val="left" w:pos="5649"/>
        </w:tabs>
        <w:rPr>
          <w:rFonts w:eastAsia="方正仿宋_GBK"/>
          <w:kern w:val="0"/>
          <w:sz w:val="28"/>
          <w:szCs w:val="28"/>
          <w:highlight w:val="none"/>
        </w:rPr>
      </w:pPr>
    </w:p>
    <w:p>
      <w:pPr>
        <w:rPr>
          <w:highlight w:val="none"/>
        </w:rPr>
      </w:pPr>
    </w:p>
    <w:p>
      <w:pPr>
        <w:widowControl/>
        <w:spacing w:before="100" w:beforeAutospacing="1" w:after="100" w:afterAutospacing="1" w:line="252" w:lineRule="atLeast"/>
        <w:jc w:val="center"/>
        <w:rPr>
          <w:rFonts w:eastAsia="方正仿宋_GBK"/>
          <w:bCs/>
          <w:kern w:val="0"/>
          <w:sz w:val="28"/>
          <w:szCs w:val="28"/>
          <w:highlight w:val="none"/>
        </w:rPr>
      </w:pPr>
    </w:p>
    <w:p>
      <w:pPr>
        <w:widowControl/>
        <w:spacing w:before="100" w:beforeAutospacing="1" w:after="100" w:afterAutospacing="1" w:line="252" w:lineRule="atLeast"/>
        <w:jc w:val="center"/>
        <w:rPr>
          <w:rFonts w:eastAsia="方正仿宋_GBK"/>
          <w:bCs/>
          <w:kern w:val="0"/>
          <w:sz w:val="28"/>
          <w:szCs w:val="28"/>
          <w:highlight w:val="none"/>
        </w:rPr>
      </w:pPr>
    </w:p>
    <w:p>
      <w:pPr>
        <w:widowControl/>
        <w:spacing w:before="100" w:beforeAutospacing="1" w:after="100" w:afterAutospacing="1" w:line="252" w:lineRule="atLeast"/>
        <w:jc w:val="center"/>
        <w:rPr>
          <w:rFonts w:eastAsia="方正仿宋_GBK"/>
          <w:bCs/>
          <w:kern w:val="0"/>
          <w:sz w:val="28"/>
          <w:szCs w:val="28"/>
          <w:highlight w:val="none"/>
        </w:rPr>
      </w:pPr>
    </w:p>
    <w:p>
      <w:pPr>
        <w:widowControl/>
        <w:spacing w:before="100" w:beforeAutospacing="1" w:after="100" w:afterAutospacing="1" w:line="252" w:lineRule="atLeast"/>
        <w:jc w:val="center"/>
        <w:rPr>
          <w:rFonts w:eastAsia="方正仿宋_GBK"/>
          <w:bCs/>
          <w:kern w:val="0"/>
          <w:sz w:val="28"/>
          <w:szCs w:val="28"/>
          <w:highlight w:val="none"/>
        </w:rPr>
      </w:pPr>
    </w:p>
    <w:p>
      <w:pPr>
        <w:widowControl/>
        <w:spacing w:before="100" w:beforeAutospacing="1" w:after="100" w:afterAutospacing="1" w:line="252" w:lineRule="atLeast"/>
        <w:jc w:val="center"/>
        <w:rPr>
          <w:rFonts w:eastAsia="方正仿宋_GBK"/>
          <w:bCs/>
          <w:kern w:val="0"/>
          <w:sz w:val="28"/>
          <w:szCs w:val="28"/>
          <w:highlight w:val="none"/>
        </w:rPr>
      </w:pPr>
      <w:r>
        <w:rPr>
          <w:rFonts w:eastAsia="方正仿宋_GBK"/>
          <w:bCs/>
          <w:kern w:val="0"/>
          <w:sz w:val="28"/>
          <w:szCs w:val="28"/>
          <w:highlight w:val="none"/>
        </w:rPr>
        <w:t>比选单位名称（盖章）：</w:t>
      </w:r>
    </w:p>
    <w:p>
      <w:pPr>
        <w:pStyle w:val="7"/>
        <w:rPr>
          <w:highlight w:val="none"/>
        </w:rPr>
        <w:sectPr>
          <w:pgSz w:w="11900" w:h="16840"/>
          <w:pgMar w:top="1440" w:right="1134" w:bottom="1440" w:left="1134" w:header="920" w:footer="454" w:gutter="0"/>
          <w:pgNumType w:fmt="decimal"/>
          <w:cols w:space="720" w:num="1"/>
          <w:docGrid w:type="lines" w:linePitch="1" w:charSpace="0"/>
        </w:sectPr>
      </w:pPr>
      <w:r>
        <w:rPr>
          <w:rFonts w:eastAsia="方正仿宋_GBK"/>
          <w:b w:val="0"/>
          <w:kern w:val="0"/>
          <w:sz w:val="28"/>
          <w:szCs w:val="28"/>
          <w:highlight w:val="none"/>
        </w:rPr>
        <w:t xml:space="preserve">                                       日期：</w:t>
      </w:r>
    </w:p>
    <w:p>
      <w:pPr>
        <w:widowControl/>
        <w:spacing w:line="252" w:lineRule="atLeast"/>
        <w:jc w:val="left"/>
        <w:rPr>
          <w:rFonts w:eastAsia="方正仿宋_GBK"/>
          <w:b/>
          <w:bCs/>
          <w:sz w:val="32"/>
          <w:szCs w:val="32"/>
          <w:highlight w:val="none"/>
        </w:rPr>
      </w:pPr>
      <w:r>
        <w:rPr>
          <w:rFonts w:eastAsia="方正仿宋_GBK"/>
          <w:b/>
          <w:bCs/>
          <w:sz w:val="32"/>
          <w:szCs w:val="32"/>
          <w:highlight w:val="none"/>
        </w:rPr>
        <w:t>4-2、法定代表人资格证明书（附件4-1与4-2根据参选单位实际情况只能填写一个附件）</w:t>
      </w:r>
    </w:p>
    <w:p>
      <w:pPr>
        <w:rPr>
          <w:rFonts w:eastAsia="方正小标宋_GBK"/>
          <w:b/>
          <w:bCs/>
          <w:sz w:val="36"/>
          <w:szCs w:val="36"/>
          <w:highlight w:val="none"/>
        </w:rPr>
      </w:pPr>
    </w:p>
    <w:p>
      <w:pPr>
        <w:jc w:val="center"/>
        <w:rPr>
          <w:rFonts w:eastAsia="方正小标宋_GBK"/>
          <w:b/>
          <w:bCs/>
          <w:sz w:val="36"/>
          <w:szCs w:val="36"/>
          <w:highlight w:val="none"/>
        </w:rPr>
      </w:pPr>
      <w:r>
        <w:rPr>
          <w:rFonts w:eastAsia="方正小标宋_GBK"/>
          <w:b/>
          <w:bCs/>
          <w:sz w:val="36"/>
          <w:szCs w:val="36"/>
          <w:highlight w:val="none"/>
        </w:rPr>
        <w:t>法定代表人资格证明书</w:t>
      </w:r>
    </w:p>
    <w:p>
      <w:pPr>
        <w:pStyle w:val="7"/>
        <w:rPr>
          <w:rFonts w:eastAsia="方正仿宋_GBK"/>
          <w:b w:val="0"/>
          <w:kern w:val="0"/>
          <w:sz w:val="28"/>
          <w:szCs w:val="28"/>
          <w:highlight w:val="none"/>
        </w:rPr>
      </w:pPr>
      <w:r>
        <w:rPr>
          <w:rFonts w:eastAsia="方正小标宋_GBK"/>
          <w:sz w:val="36"/>
          <w:szCs w:val="36"/>
          <w:highlight w:val="none"/>
        </w:rPr>
        <w:t xml:space="preserve">    </w:t>
      </w:r>
      <w:r>
        <w:rPr>
          <w:rFonts w:eastAsia="方正小标宋_GBK"/>
          <w:sz w:val="36"/>
          <w:szCs w:val="36"/>
          <w:highlight w:val="none"/>
          <w:u w:val="single"/>
        </w:rPr>
        <w:t xml:space="preserve">          </w:t>
      </w:r>
      <w:r>
        <w:rPr>
          <w:rFonts w:eastAsia="方正仿宋_GBK"/>
          <w:b w:val="0"/>
          <w:kern w:val="0"/>
          <w:sz w:val="28"/>
          <w:szCs w:val="28"/>
          <w:highlight w:val="none"/>
        </w:rPr>
        <w:t>（法定代表人姓名）系</w:t>
      </w:r>
      <w:r>
        <w:rPr>
          <w:rFonts w:eastAsia="方正小标宋_GBK"/>
          <w:sz w:val="36"/>
          <w:szCs w:val="36"/>
          <w:highlight w:val="none"/>
          <w:u w:val="single"/>
        </w:rPr>
        <w:t xml:space="preserve">              </w:t>
      </w:r>
      <w:r>
        <w:rPr>
          <w:rFonts w:eastAsia="方正仿宋_GBK"/>
          <w:b w:val="0"/>
          <w:kern w:val="0"/>
          <w:sz w:val="28"/>
          <w:szCs w:val="28"/>
          <w:highlight w:val="none"/>
        </w:rPr>
        <w:t>（比选单位）的法定代表人（）。</w:t>
      </w:r>
    </w:p>
    <w:p>
      <w:pPr>
        <w:ind w:firstLine="722"/>
        <w:rPr>
          <w:rFonts w:eastAsia="方正仿宋_GBK"/>
          <w:bCs/>
          <w:kern w:val="0"/>
          <w:sz w:val="28"/>
          <w:szCs w:val="28"/>
          <w:highlight w:val="none"/>
        </w:rPr>
      </w:pPr>
      <w:r>
        <w:rPr>
          <w:rFonts w:eastAsia="方正仿宋_GBK"/>
          <w:bCs/>
          <w:kern w:val="0"/>
          <w:sz w:val="28"/>
          <w:szCs w:val="28"/>
          <w:highlight w:val="none"/>
        </w:rPr>
        <w:t>特此证明</w:t>
      </w:r>
    </w:p>
    <w:p>
      <w:pPr>
        <w:pStyle w:val="7"/>
        <w:rPr>
          <w:highlight w:val="none"/>
        </w:rPr>
      </w:pPr>
      <w:r>
        <w:rPr>
          <w:rFonts w:eastAsia="方正仿宋_GBK"/>
          <w:kern w:val="0"/>
          <w:sz w:val="28"/>
          <w:szCs w:val="28"/>
          <w:highlight w:val="none"/>
        </w:rPr>
        <mc:AlternateContent>
          <mc:Choice Requires="wps">
            <w:drawing>
              <wp:anchor distT="0" distB="0" distL="114300" distR="114300" simplePos="0" relativeHeight="251666432" behindDoc="0" locked="0" layoutInCell="1" allowOverlap="1">
                <wp:simplePos x="0" y="0"/>
                <wp:positionH relativeFrom="column">
                  <wp:posOffset>-75565</wp:posOffset>
                </wp:positionH>
                <wp:positionV relativeFrom="paragraph">
                  <wp:posOffset>268605</wp:posOffset>
                </wp:positionV>
                <wp:extent cx="6399530" cy="3491865"/>
                <wp:effectExtent l="6350" t="6350" r="13970" b="6985"/>
                <wp:wrapNone/>
                <wp:docPr id="20" name="文本框 20"/>
                <wp:cNvGraphicFramePr/>
                <a:graphic xmlns:a="http://schemas.openxmlformats.org/drawingml/2006/main">
                  <a:graphicData uri="http://schemas.microsoft.com/office/word/2010/wordprocessingShape">
                    <wps:wsp>
                      <wps:cNvSpPr txBox="1"/>
                      <wps:spPr>
                        <a:xfrm>
                          <a:off x="0" y="0"/>
                          <a:ext cx="2857500" cy="3784600"/>
                        </a:xfrm>
                        <a:prstGeom prst="rect">
                          <a:avLst/>
                        </a:prstGeom>
                        <a:solidFill>
                          <a:srgbClr val="FFFFFF"/>
                        </a:solidFill>
                        <a:ln w="12700" cap="flat" cmpd="sng">
                          <a:solidFill>
                            <a:srgbClr val="000000"/>
                          </a:solidFill>
                          <a:prstDash val="dash"/>
                          <a:miter/>
                          <a:headEnd type="none" w="med" len="med"/>
                          <a:tailEnd type="none" w="med" len="med"/>
                        </a:ln>
                        <a:effectLst/>
                      </wps:spPr>
                      <wps:txbx>
                        <w:txbxContent>
                          <w:p>
                            <w:pPr>
                              <w:jc w:val="center"/>
                              <w:rPr>
                                <w:rFonts w:ascii="方正仿宋_GBK" w:hAnsi="方正仿宋_GBK" w:eastAsia="方正仿宋_GBK" w:cs="方正仿宋_GBK"/>
                              </w:rPr>
                            </w:pPr>
                            <w:r>
                              <w:rPr>
                                <w:rFonts w:hint="eastAsia" w:ascii="方正仿宋_GBK" w:hAnsi="方正仿宋_GBK" w:eastAsia="方正仿宋_GBK" w:cs="方正仿宋_GBK"/>
                              </w:rPr>
                              <w:t>法定代表人身份证复印件粘贴处</w:t>
                            </w:r>
                          </w:p>
                          <w:p>
                            <w:pPr>
                              <w:jc w:val="center"/>
                              <w:rPr>
                                <w:rFonts w:ascii="方正仿宋_GBK" w:hAnsi="方正仿宋_GBK" w:eastAsia="方正仿宋_GBK" w:cs="方正仿宋_GBK"/>
                              </w:rPr>
                            </w:pPr>
                            <w:r>
                              <w:rPr>
                                <w:rFonts w:hint="eastAsia" w:ascii="方正仿宋_GBK" w:hAnsi="方正仿宋_GBK" w:eastAsia="方正仿宋_GBK" w:cs="方正仿宋_GBK"/>
                              </w:rPr>
                              <w:t>（须提供正反两面）</w:t>
                            </w:r>
                          </w:p>
                        </w:txbxContent>
                      </wps:txbx>
                      <wps:bodyPr upright="1"/>
                    </wps:wsp>
                  </a:graphicData>
                </a:graphic>
              </wp:anchor>
            </w:drawing>
          </mc:Choice>
          <mc:Fallback>
            <w:pict>
              <v:shape id="_x0000_s1026" o:spid="_x0000_s1026" o:spt="202" type="#_x0000_t202" style="position:absolute;left:0pt;margin-left:-5.95pt;margin-top:21.15pt;height:274.95pt;width:503.9pt;z-index:251666432;mso-width-relative:page;mso-height-relative:page;" fillcolor="#FFFFFF" filled="t" stroked="t" coordsize="21600,21600" o:gfxdata="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cBYbDbAAAACgEAAA8AAAAA&#10;AAAAAQAgAAAAIgAAAGRycy9kb3ducmV2LnhtbFBLAQIUABQAAAAIAIdO4kDmnh3EEQIAAEcEAAAO&#10;AAAAAAAAAAEAIAAAACoBAABkcnMvZTJvRG9jLnhtbFBLBQYAAAAABgAGAFkBAACtBQAAAAA=&#10;">
                <v:fill on="t" focussize="0,0"/>
                <v:stroke weight="1pt" color="#000000" joinstyle="miter" dashstyle="dash"/>
                <v:imagedata o:title=""/>
                <o:lock v:ext="edit" aspectratio="f"/>
                <v:textbox>
                  <w:txbxContent>
                    <w:p>
                      <w:pPr>
                        <w:jc w:val="center"/>
                        <w:rPr>
                          <w:rFonts w:ascii="方正仿宋_GBK" w:hAnsi="方正仿宋_GBK" w:eastAsia="方正仿宋_GBK" w:cs="方正仿宋_GBK"/>
                        </w:rPr>
                      </w:pPr>
                      <w:r>
                        <w:rPr>
                          <w:rFonts w:hint="eastAsia" w:ascii="方正仿宋_GBK" w:hAnsi="方正仿宋_GBK" w:eastAsia="方正仿宋_GBK" w:cs="方正仿宋_GBK"/>
                        </w:rPr>
                        <w:t>法定代表人身份证复印件粘贴处</w:t>
                      </w:r>
                    </w:p>
                    <w:p>
                      <w:pPr>
                        <w:jc w:val="center"/>
                        <w:rPr>
                          <w:rFonts w:ascii="方正仿宋_GBK" w:hAnsi="方正仿宋_GBK" w:eastAsia="方正仿宋_GBK" w:cs="方正仿宋_GBK"/>
                        </w:rPr>
                      </w:pPr>
                      <w:r>
                        <w:rPr>
                          <w:rFonts w:hint="eastAsia" w:ascii="方正仿宋_GBK" w:hAnsi="方正仿宋_GBK" w:eastAsia="方正仿宋_GBK" w:cs="方正仿宋_GBK"/>
                        </w:rPr>
                        <w:t>（须提供正反两面）</w:t>
                      </w:r>
                    </w:p>
                  </w:txbxContent>
                </v:textbox>
              </v:shape>
            </w:pict>
          </mc:Fallback>
        </mc:AlternateContent>
      </w:r>
    </w:p>
    <w:p>
      <w:pPr>
        <w:pStyle w:val="7"/>
        <w:ind w:firstLine="722"/>
        <w:rPr>
          <w:highlight w:val="none"/>
        </w:rPr>
      </w:pPr>
    </w:p>
    <w:p>
      <w:pPr>
        <w:widowControl/>
        <w:spacing w:before="100" w:beforeAutospacing="1" w:after="100" w:afterAutospacing="1" w:line="252" w:lineRule="atLeast"/>
        <w:rPr>
          <w:rFonts w:eastAsia="方正仿宋_GBK"/>
          <w:bCs/>
          <w:kern w:val="0"/>
          <w:sz w:val="28"/>
          <w:szCs w:val="28"/>
          <w:highlight w:val="none"/>
        </w:rPr>
      </w:pPr>
    </w:p>
    <w:p>
      <w:pPr>
        <w:widowControl/>
        <w:spacing w:before="100" w:beforeAutospacing="1" w:after="100" w:afterAutospacing="1" w:line="252" w:lineRule="atLeast"/>
        <w:jc w:val="center"/>
        <w:rPr>
          <w:rFonts w:eastAsia="方正仿宋_GBK"/>
          <w:bCs/>
          <w:kern w:val="0"/>
          <w:sz w:val="28"/>
          <w:szCs w:val="28"/>
          <w:highlight w:val="none"/>
        </w:rPr>
      </w:pPr>
    </w:p>
    <w:p>
      <w:pPr>
        <w:widowControl/>
        <w:spacing w:before="100" w:beforeAutospacing="1" w:after="100" w:afterAutospacing="1" w:line="252" w:lineRule="atLeast"/>
        <w:jc w:val="center"/>
        <w:rPr>
          <w:rFonts w:eastAsia="方正仿宋_GBK"/>
          <w:bCs/>
          <w:kern w:val="0"/>
          <w:sz w:val="28"/>
          <w:szCs w:val="28"/>
          <w:highlight w:val="none"/>
        </w:rPr>
      </w:pPr>
    </w:p>
    <w:p>
      <w:pPr>
        <w:widowControl/>
        <w:spacing w:before="100" w:beforeAutospacing="1" w:after="100" w:afterAutospacing="1" w:line="252" w:lineRule="atLeast"/>
        <w:jc w:val="center"/>
        <w:rPr>
          <w:rFonts w:eastAsia="方正仿宋_GBK"/>
          <w:bCs/>
          <w:kern w:val="0"/>
          <w:sz w:val="28"/>
          <w:szCs w:val="28"/>
          <w:highlight w:val="none"/>
        </w:rPr>
      </w:pPr>
    </w:p>
    <w:p>
      <w:pPr>
        <w:pStyle w:val="7"/>
        <w:tabs>
          <w:tab w:val="left" w:pos="5649"/>
        </w:tabs>
        <w:rPr>
          <w:rFonts w:eastAsia="方正仿宋_GBK"/>
          <w:kern w:val="0"/>
          <w:sz w:val="28"/>
          <w:szCs w:val="28"/>
          <w:highlight w:val="none"/>
        </w:rPr>
      </w:pPr>
    </w:p>
    <w:p>
      <w:pPr>
        <w:rPr>
          <w:highlight w:val="none"/>
        </w:rPr>
      </w:pPr>
    </w:p>
    <w:p>
      <w:pPr>
        <w:widowControl/>
        <w:spacing w:before="100" w:beforeAutospacing="1" w:after="100" w:afterAutospacing="1" w:line="252" w:lineRule="atLeast"/>
        <w:jc w:val="center"/>
        <w:rPr>
          <w:rFonts w:eastAsia="方正仿宋_GBK"/>
          <w:bCs/>
          <w:kern w:val="0"/>
          <w:sz w:val="28"/>
          <w:szCs w:val="28"/>
          <w:highlight w:val="none"/>
        </w:rPr>
      </w:pPr>
    </w:p>
    <w:p>
      <w:pPr>
        <w:widowControl/>
        <w:spacing w:before="100" w:beforeAutospacing="1" w:after="100" w:afterAutospacing="1" w:line="252" w:lineRule="atLeast"/>
        <w:jc w:val="center"/>
        <w:rPr>
          <w:rFonts w:eastAsia="方正仿宋_GBK"/>
          <w:bCs/>
          <w:kern w:val="0"/>
          <w:sz w:val="28"/>
          <w:szCs w:val="28"/>
          <w:highlight w:val="none"/>
        </w:rPr>
      </w:pPr>
    </w:p>
    <w:p>
      <w:pPr>
        <w:widowControl/>
        <w:spacing w:before="100" w:beforeAutospacing="1" w:after="100" w:afterAutospacing="1" w:line="252" w:lineRule="atLeast"/>
        <w:jc w:val="center"/>
        <w:rPr>
          <w:rFonts w:eastAsia="方正仿宋_GBK"/>
          <w:bCs/>
          <w:kern w:val="0"/>
          <w:sz w:val="28"/>
          <w:szCs w:val="28"/>
          <w:highlight w:val="none"/>
        </w:rPr>
      </w:pPr>
    </w:p>
    <w:p>
      <w:pPr>
        <w:widowControl/>
        <w:spacing w:before="100" w:beforeAutospacing="1" w:after="100" w:afterAutospacing="1" w:line="252" w:lineRule="atLeast"/>
        <w:jc w:val="center"/>
        <w:rPr>
          <w:rFonts w:eastAsia="方正仿宋_GBK"/>
          <w:bCs/>
          <w:kern w:val="0"/>
          <w:sz w:val="28"/>
          <w:szCs w:val="28"/>
          <w:highlight w:val="none"/>
        </w:rPr>
      </w:pPr>
    </w:p>
    <w:p>
      <w:pPr>
        <w:widowControl/>
        <w:spacing w:before="100" w:beforeAutospacing="1" w:after="100" w:afterAutospacing="1" w:line="252" w:lineRule="atLeast"/>
        <w:jc w:val="center"/>
        <w:rPr>
          <w:rFonts w:eastAsia="方正仿宋_GBK"/>
          <w:bCs/>
          <w:kern w:val="0"/>
          <w:sz w:val="28"/>
          <w:szCs w:val="28"/>
          <w:highlight w:val="none"/>
        </w:rPr>
      </w:pPr>
      <w:r>
        <w:rPr>
          <w:rFonts w:eastAsia="方正仿宋_GBK"/>
          <w:bCs/>
          <w:kern w:val="0"/>
          <w:sz w:val="28"/>
          <w:szCs w:val="28"/>
          <w:highlight w:val="none"/>
        </w:rPr>
        <w:t>比选单位名称（盖章）：</w:t>
      </w:r>
    </w:p>
    <w:p>
      <w:pPr>
        <w:pStyle w:val="7"/>
        <w:rPr>
          <w:rFonts w:eastAsia="方正仿宋_GBK"/>
          <w:sz w:val="28"/>
          <w:szCs w:val="28"/>
          <w:highlight w:val="none"/>
        </w:rPr>
        <w:sectPr>
          <w:pgSz w:w="11900" w:h="16840"/>
          <w:pgMar w:top="1440" w:right="1134" w:bottom="1440" w:left="1134" w:header="920" w:footer="454" w:gutter="0"/>
          <w:pgNumType w:fmt="decimal"/>
          <w:cols w:space="720" w:num="1"/>
          <w:docGrid w:type="lines" w:linePitch="1" w:charSpace="0"/>
        </w:sectPr>
      </w:pPr>
      <w:r>
        <w:rPr>
          <w:rFonts w:eastAsia="方正仿宋_GBK"/>
          <w:b w:val="0"/>
          <w:kern w:val="0"/>
          <w:sz w:val="28"/>
          <w:szCs w:val="28"/>
          <w:highlight w:val="none"/>
        </w:rPr>
        <w:t xml:space="preserve">                                       日期：</w:t>
      </w:r>
    </w:p>
    <w:p>
      <w:pPr>
        <w:rPr>
          <w:rFonts w:eastAsia="方正仿宋_GBK"/>
          <w:b/>
          <w:bCs/>
          <w:sz w:val="28"/>
          <w:szCs w:val="28"/>
          <w:highlight w:val="none"/>
        </w:rPr>
      </w:pPr>
      <w:r>
        <w:rPr>
          <w:rFonts w:hint="eastAsia" w:eastAsia="方正仿宋_GBK"/>
          <w:b/>
          <w:bCs/>
          <w:sz w:val="32"/>
          <w:szCs w:val="32"/>
          <w:highlight w:val="none"/>
          <w:lang w:eastAsia="zh-CN"/>
        </w:rPr>
        <w:t>5.</w:t>
      </w:r>
      <w:r>
        <w:rPr>
          <w:rFonts w:eastAsia="方正仿宋_GBK"/>
          <w:b/>
          <w:bCs/>
          <w:sz w:val="32"/>
          <w:szCs w:val="32"/>
          <w:highlight w:val="none"/>
        </w:rPr>
        <w:t>法定代表人授权委托书</w:t>
      </w:r>
      <w:r>
        <w:rPr>
          <w:rFonts w:eastAsia="方正仿宋_GBK"/>
          <w:sz w:val="32"/>
          <w:szCs w:val="32"/>
          <w:highlight w:val="none"/>
        </w:rPr>
        <w:t>（本页文字格式和内容不得删减和添加）</w:t>
      </w:r>
    </w:p>
    <w:p>
      <w:pPr>
        <w:jc w:val="center"/>
        <w:rPr>
          <w:rFonts w:eastAsia="方正小标宋_GBK"/>
          <w:b/>
          <w:kern w:val="0"/>
          <w:sz w:val="24"/>
          <w:highlight w:val="none"/>
        </w:rPr>
      </w:pPr>
      <w:r>
        <w:rPr>
          <w:rFonts w:eastAsia="方正仿宋_GBK"/>
          <w:sz w:val="28"/>
          <w:szCs w:val="28"/>
          <w:highlight w:val="none"/>
        </w:rPr>
        <w:t xml:space="preserve"> </w:t>
      </w:r>
      <w:r>
        <w:rPr>
          <w:rFonts w:eastAsia="方正小标宋_GBK"/>
          <w:b/>
          <w:bCs/>
          <w:sz w:val="36"/>
          <w:szCs w:val="36"/>
          <w:highlight w:val="none"/>
        </w:rPr>
        <w:t xml:space="preserve">法定代表人授权委托书 </w:t>
      </w:r>
    </w:p>
    <w:p>
      <w:pPr>
        <w:widowControl/>
        <w:snapToGrid w:val="0"/>
        <w:spacing w:before="100" w:beforeAutospacing="1" w:after="100" w:afterAutospacing="1" w:line="360" w:lineRule="auto"/>
        <w:jc w:val="left"/>
        <w:textAlignment w:val="bottom"/>
        <w:rPr>
          <w:rFonts w:eastAsia="方正仿宋_GBK"/>
          <w:bCs/>
          <w:kern w:val="0"/>
          <w:sz w:val="28"/>
          <w:szCs w:val="28"/>
          <w:highlight w:val="none"/>
        </w:rPr>
      </w:pPr>
      <w:r>
        <w:rPr>
          <w:rFonts w:eastAsia="方正仿宋_GBK"/>
          <w:bCs/>
          <w:kern w:val="0"/>
          <w:sz w:val="28"/>
          <w:szCs w:val="28"/>
          <w:highlight w:val="none"/>
        </w:rPr>
        <w:t>     本授权书声明：注册于</w:t>
      </w:r>
      <w:r>
        <w:rPr>
          <w:rFonts w:eastAsia="方正仿宋_GBK"/>
          <w:bCs/>
          <w:iCs/>
          <w:kern w:val="0"/>
          <w:sz w:val="28"/>
          <w:szCs w:val="28"/>
          <w:highlight w:val="none"/>
          <w:u w:val="single"/>
        </w:rPr>
        <w:t xml:space="preserve">                                  （</w:t>
      </w:r>
      <w:r>
        <w:rPr>
          <w:rFonts w:eastAsia="方正仿宋_GBK"/>
          <w:bCs/>
          <w:kern w:val="0"/>
          <w:sz w:val="28"/>
          <w:szCs w:val="28"/>
          <w:highlight w:val="none"/>
          <w:u w:val="single"/>
        </w:rPr>
        <w:t>注册地址）</w:t>
      </w:r>
      <w:r>
        <w:rPr>
          <w:rFonts w:eastAsia="方正仿宋_GBK"/>
          <w:bCs/>
          <w:kern w:val="0"/>
          <w:sz w:val="28"/>
          <w:szCs w:val="28"/>
          <w:highlight w:val="none"/>
        </w:rPr>
        <w:t>的</w:t>
      </w:r>
      <w:r>
        <w:rPr>
          <w:rFonts w:eastAsia="方正仿宋_GBK"/>
          <w:bCs/>
          <w:iCs/>
          <w:kern w:val="0"/>
          <w:sz w:val="28"/>
          <w:szCs w:val="28"/>
          <w:highlight w:val="none"/>
          <w:u w:val="single"/>
        </w:rPr>
        <w:t xml:space="preserve">                   </w:t>
      </w:r>
      <w:r>
        <w:rPr>
          <w:rFonts w:eastAsia="方正仿宋_GBK"/>
          <w:bCs/>
          <w:kern w:val="0"/>
          <w:sz w:val="28"/>
          <w:szCs w:val="28"/>
          <w:highlight w:val="none"/>
          <w:u w:val="single"/>
        </w:rPr>
        <w:t xml:space="preserve">  （公司名称）</w:t>
      </w:r>
      <w:r>
        <w:rPr>
          <w:rFonts w:eastAsia="方正仿宋_GBK"/>
          <w:bCs/>
          <w:kern w:val="0"/>
          <w:sz w:val="28"/>
          <w:szCs w:val="28"/>
          <w:highlight w:val="none"/>
        </w:rPr>
        <w:t>公司的在下面签字的</w:t>
      </w:r>
      <w:r>
        <w:rPr>
          <w:rFonts w:eastAsia="方正仿宋_GBK"/>
          <w:bCs/>
          <w:iCs/>
          <w:kern w:val="0"/>
          <w:sz w:val="28"/>
          <w:szCs w:val="28"/>
          <w:highlight w:val="none"/>
          <w:u w:val="single"/>
        </w:rPr>
        <w:t xml:space="preserve">           </w:t>
      </w:r>
      <w:r>
        <w:rPr>
          <w:rFonts w:eastAsia="方正仿宋_GBK"/>
          <w:bCs/>
          <w:kern w:val="0"/>
          <w:sz w:val="28"/>
          <w:szCs w:val="28"/>
          <w:highlight w:val="none"/>
        </w:rPr>
        <w:t>（法定代表人姓名、职务）代表本公司授权在下面签字的</w:t>
      </w:r>
      <w:r>
        <w:rPr>
          <w:rFonts w:eastAsia="方正仿宋_GBK"/>
          <w:bCs/>
          <w:iCs/>
          <w:kern w:val="0"/>
          <w:sz w:val="28"/>
          <w:szCs w:val="28"/>
          <w:highlight w:val="none"/>
          <w:u w:val="single"/>
        </w:rPr>
        <w:t xml:space="preserve">            （</w:t>
      </w:r>
      <w:r>
        <w:rPr>
          <w:rFonts w:eastAsia="方正仿宋_GBK"/>
          <w:bCs/>
          <w:kern w:val="0"/>
          <w:sz w:val="28"/>
          <w:szCs w:val="28"/>
          <w:highlight w:val="none"/>
        </w:rPr>
        <w:t>被授权人的姓名、职务）为本公司的合法代理人，就</w:t>
      </w:r>
      <w:r>
        <w:rPr>
          <w:rFonts w:eastAsia="方正仿宋_GBK"/>
          <w:bCs/>
          <w:kern w:val="0"/>
          <w:sz w:val="28"/>
          <w:szCs w:val="28"/>
          <w:highlight w:val="none"/>
          <w:u w:val="single"/>
        </w:rPr>
        <w:t xml:space="preserve"> </w:t>
      </w:r>
      <w:r>
        <w:rPr>
          <w:rFonts w:hint="eastAsia" w:eastAsia="方正仿宋_GBK"/>
          <w:bCs/>
          <w:kern w:val="0"/>
          <w:sz w:val="28"/>
          <w:szCs w:val="28"/>
          <w:highlight w:val="none"/>
          <w:u w:val="single"/>
          <w:lang w:eastAsia="zh-CN"/>
        </w:rPr>
        <w:t>2026年度配电维保服务比选（第二次）</w:t>
      </w:r>
      <w:r>
        <w:rPr>
          <w:rFonts w:eastAsia="方正仿宋_GBK"/>
          <w:bCs/>
          <w:kern w:val="0"/>
          <w:sz w:val="28"/>
          <w:szCs w:val="28"/>
          <w:highlight w:val="none"/>
          <w:u w:val="single"/>
        </w:rPr>
        <w:t xml:space="preserve"> </w:t>
      </w:r>
      <w:r>
        <w:rPr>
          <w:rFonts w:eastAsia="方正仿宋_GBK"/>
          <w:bCs/>
          <w:kern w:val="0"/>
          <w:sz w:val="28"/>
          <w:szCs w:val="28"/>
          <w:highlight w:val="none"/>
        </w:rPr>
        <w:t>项目的报价以及合同的谈判、签约、执行、完成等全权负责，以本公司名义处理一切与之有关的事务。</w:t>
      </w:r>
    </w:p>
    <w:p>
      <w:pPr>
        <w:widowControl/>
        <w:snapToGrid w:val="0"/>
        <w:spacing w:before="100" w:beforeAutospacing="1" w:after="100" w:afterAutospacing="1" w:line="360" w:lineRule="auto"/>
        <w:ind w:firstLine="560" w:firstLineChars="200"/>
        <w:jc w:val="left"/>
        <w:textAlignment w:val="bottom"/>
        <w:rPr>
          <w:rFonts w:eastAsia="方正仿宋_GBK"/>
          <w:bCs/>
          <w:kern w:val="0"/>
          <w:sz w:val="28"/>
          <w:szCs w:val="28"/>
          <w:highlight w:val="none"/>
        </w:rPr>
      </w:pPr>
      <w:r>
        <w:rPr>
          <w:rFonts w:eastAsia="方正仿宋_GBK"/>
          <w:bCs/>
          <w:kern w:val="0"/>
          <w:sz w:val="28"/>
          <w:szCs w:val="28"/>
          <w:highlight w:val="none"/>
        </w:rPr>
        <w:t>本授权书于    年   月   日签字生效，特此声明。</w:t>
      </w:r>
    </w:p>
    <w:p>
      <w:pPr>
        <w:widowControl/>
        <w:snapToGrid w:val="0"/>
        <w:spacing w:before="100" w:beforeAutospacing="1" w:after="100" w:afterAutospacing="1" w:line="252" w:lineRule="atLeast"/>
        <w:jc w:val="left"/>
        <w:textAlignment w:val="bottom"/>
        <w:rPr>
          <w:rFonts w:eastAsia="方正仿宋_GBK"/>
          <w:kern w:val="0"/>
          <w:sz w:val="28"/>
          <w:szCs w:val="28"/>
          <w:highlight w:val="none"/>
        </w:rPr>
      </w:pPr>
      <w:r>
        <w:rPr>
          <w:rFonts w:eastAsia="方正仿宋_GBK"/>
          <w:kern w:val="0"/>
          <w:sz w:val="28"/>
          <w:szCs w:val="28"/>
          <w:highlight w:val="none"/>
        </w:rPr>
        <w:t xml:space="preserve">比选单位名称（盖章）：          </w:t>
      </w:r>
    </w:p>
    <w:p>
      <w:pPr>
        <w:widowControl/>
        <w:snapToGrid w:val="0"/>
        <w:spacing w:before="100" w:beforeAutospacing="1" w:after="100" w:afterAutospacing="1" w:line="252" w:lineRule="atLeast"/>
        <w:jc w:val="left"/>
        <w:textAlignment w:val="bottom"/>
        <w:rPr>
          <w:rFonts w:eastAsia="方正仿宋_GBK"/>
          <w:kern w:val="0"/>
          <w:sz w:val="28"/>
          <w:szCs w:val="28"/>
          <w:highlight w:val="none"/>
        </w:rPr>
      </w:pPr>
      <w:r>
        <w:rPr>
          <w:rFonts w:eastAsia="方正仿宋_GBK"/>
          <w:kern w:val="0"/>
          <w:sz w:val="28"/>
          <w:szCs w:val="28"/>
          <w:highlight w:val="none"/>
        </w:rPr>
        <w:t>比选单位地址：</w:t>
      </w:r>
    </w:p>
    <w:p>
      <w:pPr>
        <w:widowControl/>
        <w:snapToGrid w:val="0"/>
        <w:spacing w:before="100" w:beforeAutospacing="1" w:after="100" w:afterAutospacing="1" w:line="252" w:lineRule="atLeast"/>
        <w:jc w:val="left"/>
        <w:textAlignment w:val="bottom"/>
        <w:rPr>
          <w:rFonts w:eastAsia="方正仿宋_GBK"/>
          <w:kern w:val="0"/>
          <w:sz w:val="28"/>
          <w:szCs w:val="28"/>
          <w:highlight w:val="none"/>
        </w:rPr>
      </w:pPr>
      <w:r>
        <w:rPr>
          <w:rFonts w:eastAsia="方正仿宋_GBK"/>
          <w:kern w:val="0"/>
          <w:sz w:val="28"/>
          <w:szCs w:val="28"/>
          <w:highlight w:val="none"/>
        </w:rPr>
        <w:t xml:space="preserve">授权人（法定代表人）签字（或盖章）：                     </w:t>
      </w:r>
    </w:p>
    <w:p>
      <w:pPr>
        <w:widowControl/>
        <w:snapToGrid w:val="0"/>
        <w:spacing w:before="100" w:beforeAutospacing="1" w:after="100" w:afterAutospacing="1" w:line="252" w:lineRule="atLeast"/>
        <w:jc w:val="left"/>
        <w:textAlignment w:val="bottom"/>
        <w:rPr>
          <w:rFonts w:eastAsia="方正仿宋_GBK"/>
          <w:bCs/>
          <w:kern w:val="0"/>
          <w:sz w:val="28"/>
          <w:szCs w:val="28"/>
          <w:highlight w:val="none"/>
        </w:rPr>
      </w:pPr>
      <w:r>
        <w:rPr>
          <w:rFonts w:eastAsia="方正仿宋_GBK"/>
          <w:kern w:val="0"/>
          <w:sz w:val="28"/>
          <w:szCs w:val="28"/>
          <w:highlight w:val="none"/>
        </w:rPr>
        <w:t>被授权人（代理人）签字：  </w:t>
      </w:r>
      <w:r>
        <w:rPr>
          <w:rFonts w:eastAsia="方正仿宋_GBK"/>
          <w:kern w:val="0"/>
          <w:sz w:val="32"/>
          <w:szCs w:val="32"/>
          <w:highlight w:val="none"/>
        </w:rPr>
        <w:t> </w:t>
      </w:r>
    </w:p>
    <w:p>
      <w:pPr>
        <w:widowControl/>
        <w:snapToGrid w:val="0"/>
        <w:spacing w:before="100" w:beforeAutospacing="1" w:after="100" w:afterAutospacing="1" w:line="252" w:lineRule="atLeast"/>
        <w:ind w:firstLine="480"/>
        <w:jc w:val="left"/>
        <w:textAlignment w:val="bottom"/>
        <w:rPr>
          <w:rFonts w:eastAsia="方正仿宋_GBK"/>
          <w:b/>
          <w:kern w:val="0"/>
          <w:sz w:val="28"/>
          <w:szCs w:val="28"/>
          <w:highlight w:val="none"/>
        </w:rPr>
      </w:pPr>
      <w:r>
        <w:rPr>
          <w:rFonts w:eastAsia="方正仿宋_GBK"/>
          <w:b/>
          <w:kern w:val="0"/>
          <w:sz w:val="28"/>
          <w:szCs w:val="28"/>
          <w:highlight w:val="none"/>
        </w:rPr>
        <mc:AlternateContent>
          <mc:Choice Requires="wps">
            <w:drawing>
              <wp:anchor distT="0" distB="0" distL="114300" distR="114300" simplePos="0" relativeHeight="251665408" behindDoc="0" locked="0" layoutInCell="1" allowOverlap="1">
                <wp:simplePos x="0" y="0"/>
                <wp:positionH relativeFrom="column">
                  <wp:posOffset>3204845</wp:posOffset>
                </wp:positionH>
                <wp:positionV relativeFrom="paragraph">
                  <wp:posOffset>126365</wp:posOffset>
                </wp:positionV>
                <wp:extent cx="3006090" cy="3367405"/>
                <wp:effectExtent l="6350" t="6350" r="16510" b="17145"/>
                <wp:wrapNone/>
                <wp:docPr id="24" name="文本框 24"/>
                <wp:cNvGraphicFramePr/>
                <a:graphic xmlns:a="http://schemas.openxmlformats.org/drawingml/2006/main">
                  <a:graphicData uri="http://schemas.microsoft.com/office/word/2010/wordprocessingShape">
                    <wps:wsp>
                      <wps:cNvSpPr txBox="1"/>
                      <wps:spPr>
                        <a:xfrm>
                          <a:off x="0" y="0"/>
                          <a:ext cx="2971800" cy="3732530"/>
                        </a:xfrm>
                        <a:prstGeom prst="rect">
                          <a:avLst/>
                        </a:prstGeom>
                        <a:solidFill>
                          <a:srgbClr val="FFFFFF"/>
                        </a:solidFill>
                        <a:ln w="12700" cap="flat" cmpd="sng">
                          <a:solidFill>
                            <a:srgbClr val="000000"/>
                          </a:solidFill>
                          <a:prstDash val="dash"/>
                          <a:miter/>
                          <a:headEnd type="none" w="med" len="med"/>
                          <a:tailEnd type="none" w="med" len="med"/>
                        </a:ln>
                        <a:effectLst/>
                      </wps:spPr>
                      <wps:txbx>
                        <w:txbxContent>
                          <w:p>
                            <w:pPr>
                              <w:rPr>
                                <w:rFonts w:ascii="仿宋_GB2312" w:hAnsi="仿宋_GB2312" w:eastAsia="仿宋_GB2312" w:cs="仿宋_GB2312"/>
                              </w:rPr>
                            </w:pPr>
                            <w:r>
                              <w:rPr>
                                <w:rFonts w:hint="eastAsia" w:ascii="仿宋_GB2312" w:hAnsi="仿宋_GB2312" w:eastAsia="仿宋_GB2312" w:cs="仿宋_GB2312"/>
                              </w:rPr>
                              <w:t>被授权人身份证复印件粘贴处（须提供正反面）</w:t>
                            </w:r>
                          </w:p>
                          <w:p>
                            <w:pPr>
                              <w:pStyle w:val="7"/>
                              <w:rPr>
                                <w:rFonts w:ascii="仿宋_GB2312" w:hAnsi="仿宋_GB2312" w:eastAsia="仿宋_GB2312" w:cs="仿宋_GB2312"/>
                                <w:b w:val="0"/>
                                <w:bCs w:val="0"/>
                                <w:sz w:val="21"/>
                                <w:szCs w:val="24"/>
                              </w:rPr>
                            </w:pPr>
                            <w:r>
                              <w:rPr>
                                <w:rFonts w:hint="eastAsia" w:ascii="仿宋_GB2312" w:hAnsi="仿宋_GB2312" w:eastAsia="仿宋_GB2312" w:cs="仿宋_GB2312"/>
                                <w:b w:val="0"/>
                                <w:bCs w:val="0"/>
                                <w:sz w:val="21"/>
                                <w:szCs w:val="24"/>
                              </w:rPr>
                              <w:t>此页位置不足，可增页并加盖鲜章</w:t>
                            </w:r>
                          </w:p>
                          <w:p/>
                        </w:txbxContent>
                      </wps:txbx>
                      <wps:bodyPr upright="1"/>
                    </wps:wsp>
                  </a:graphicData>
                </a:graphic>
              </wp:anchor>
            </w:drawing>
          </mc:Choice>
          <mc:Fallback>
            <w:pict>
              <v:shape id="_x0000_s1026" o:spid="_x0000_s1026" o:spt="202" type="#_x0000_t202" style="position:absolute;left:0pt;margin-left:252.35pt;margin-top:9.95pt;height:265.15pt;width:236.7pt;z-index:251665408;mso-width-relative:page;mso-height-relative:page;" fillcolor="#FFFFFF" filled="t" stroked="t" coordsize="21600,21600" o:gfxdata="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ERfTLbAAAACgEAAA8A&#10;AAAAAAAAAQAgAAAAIgAAAGRycy9kb3ducmV2LnhtbFBLAQIUABQAAAAIAIdO4kDbG/xVFAIAAEcE&#10;AAAOAAAAAAAAAAEAIAAAACoBAABkcnMvZTJvRG9jLnhtbFBLBQYAAAAABgAGAFkBAACwBQAAAAA=&#10;">
                <v:fill on="t" focussize="0,0"/>
                <v:stroke weight="1pt" color="#000000" joinstyle="miter" dashstyle="dash"/>
                <v:imagedata o:title=""/>
                <o:lock v:ext="edit" aspectratio="f"/>
                <v:textbox>
                  <w:txbxContent>
                    <w:p>
                      <w:pPr>
                        <w:rPr>
                          <w:rFonts w:ascii="仿宋_GB2312" w:hAnsi="仿宋_GB2312" w:eastAsia="仿宋_GB2312" w:cs="仿宋_GB2312"/>
                        </w:rPr>
                      </w:pPr>
                      <w:r>
                        <w:rPr>
                          <w:rFonts w:hint="eastAsia" w:ascii="仿宋_GB2312" w:hAnsi="仿宋_GB2312" w:eastAsia="仿宋_GB2312" w:cs="仿宋_GB2312"/>
                        </w:rPr>
                        <w:t>被授权人身份证复印件粘贴处（须提供正反面）</w:t>
                      </w:r>
                    </w:p>
                    <w:p>
                      <w:pPr>
                        <w:pStyle w:val="7"/>
                        <w:rPr>
                          <w:rFonts w:ascii="仿宋_GB2312" w:hAnsi="仿宋_GB2312" w:eastAsia="仿宋_GB2312" w:cs="仿宋_GB2312"/>
                          <w:b w:val="0"/>
                          <w:bCs w:val="0"/>
                          <w:sz w:val="21"/>
                          <w:szCs w:val="24"/>
                        </w:rPr>
                      </w:pPr>
                      <w:r>
                        <w:rPr>
                          <w:rFonts w:hint="eastAsia" w:ascii="仿宋_GB2312" w:hAnsi="仿宋_GB2312" w:eastAsia="仿宋_GB2312" w:cs="仿宋_GB2312"/>
                          <w:b w:val="0"/>
                          <w:bCs w:val="0"/>
                          <w:sz w:val="21"/>
                          <w:szCs w:val="24"/>
                        </w:rPr>
                        <w:t>此页位置不足，可增页并加盖鲜章</w:t>
                      </w:r>
                    </w:p>
                    <w:p/>
                  </w:txbxContent>
                </v:textbox>
              </v:shape>
            </w:pict>
          </mc:Fallback>
        </mc:AlternateContent>
      </w:r>
      <w:r>
        <w:rPr>
          <w:rFonts w:eastAsia="方正仿宋_GBK"/>
          <w:b/>
          <w:kern w:val="0"/>
          <w:sz w:val="28"/>
          <w:szCs w:val="28"/>
          <w:highlight w:val="none"/>
        </w:rPr>
        <mc:AlternateContent>
          <mc:Choice Requires="wps">
            <w:drawing>
              <wp:anchor distT="0" distB="0" distL="114300" distR="114300" simplePos="0" relativeHeight="251664384" behindDoc="0" locked="0" layoutInCell="1" allowOverlap="1">
                <wp:simplePos x="0" y="0"/>
                <wp:positionH relativeFrom="column">
                  <wp:posOffset>80010</wp:posOffset>
                </wp:positionH>
                <wp:positionV relativeFrom="paragraph">
                  <wp:posOffset>128905</wp:posOffset>
                </wp:positionV>
                <wp:extent cx="3006090" cy="3368040"/>
                <wp:effectExtent l="6350" t="6350" r="16510" b="16510"/>
                <wp:wrapNone/>
                <wp:docPr id="25" name="文本框 25"/>
                <wp:cNvGraphicFramePr/>
                <a:graphic xmlns:a="http://schemas.openxmlformats.org/drawingml/2006/main">
                  <a:graphicData uri="http://schemas.microsoft.com/office/word/2010/wordprocessingShape">
                    <wps:wsp>
                      <wps:cNvSpPr txBox="1"/>
                      <wps:spPr>
                        <a:xfrm>
                          <a:off x="0" y="0"/>
                          <a:ext cx="2857500" cy="3784600"/>
                        </a:xfrm>
                        <a:prstGeom prst="rect">
                          <a:avLst/>
                        </a:prstGeom>
                        <a:solidFill>
                          <a:srgbClr val="FFFFFF"/>
                        </a:solidFill>
                        <a:ln w="12700" cap="flat" cmpd="sng">
                          <a:solidFill>
                            <a:srgbClr val="000000"/>
                          </a:solidFill>
                          <a:prstDash val="dash"/>
                          <a:miter/>
                          <a:headEnd type="none" w="med" len="med"/>
                          <a:tailEnd type="none" w="med" len="med"/>
                        </a:ln>
                        <a:effectLst/>
                      </wps:spPr>
                      <wps:txbx>
                        <w:txbxContent>
                          <w:p>
                            <w:pPr>
                              <w:rPr>
                                <w:rFonts w:hint="eastAsia" w:ascii="仿宋_GB2312" w:hAnsi="仿宋_GB2312" w:eastAsia="仿宋_GB2312" w:cs="仿宋_GB2312"/>
                              </w:rPr>
                            </w:pPr>
                            <w:r>
                              <w:rPr>
                                <w:rFonts w:hint="eastAsia" w:ascii="仿宋_GB2312" w:hAnsi="仿宋_GB2312" w:eastAsia="仿宋_GB2312" w:cs="仿宋_GB2312"/>
                              </w:rPr>
                              <w:t>授权人身份证复印件粘贴处（须提供正反面）</w:t>
                            </w:r>
                          </w:p>
                          <w:p>
                            <w:pPr>
                              <w:pStyle w:val="7"/>
                              <w:rPr>
                                <w:rFonts w:ascii="仿宋_GB2312" w:hAnsi="仿宋_GB2312" w:eastAsia="仿宋_GB2312" w:cs="仿宋_GB2312"/>
                                <w:b w:val="0"/>
                                <w:bCs w:val="0"/>
                                <w:sz w:val="21"/>
                                <w:szCs w:val="24"/>
                              </w:rPr>
                            </w:pPr>
                            <w:r>
                              <w:rPr>
                                <w:rFonts w:hint="eastAsia" w:ascii="仿宋_GB2312" w:hAnsi="仿宋_GB2312" w:eastAsia="仿宋_GB2312" w:cs="仿宋_GB2312"/>
                                <w:b w:val="0"/>
                                <w:bCs w:val="0"/>
                                <w:sz w:val="21"/>
                                <w:szCs w:val="24"/>
                              </w:rPr>
                              <w:t>此页位置不足，可增页并加盖鲜章</w:t>
                            </w:r>
                          </w:p>
                          <w:p>
                            <w:pPr>
                              <w:pStyle w:val="7"/>
                            </w:pPr>
                          </w:p>
                        </w:txbxContent>
                      </wps:txbx>
                      <wps:bodyPr upright="1"/>
                    </wps:wsp>
                  </a:graphicData>
                </a:graphic>
              </wp:anchor>
            </w:drawing>
          </mc:Choice>
          <mc:Fallback>
            <w:pict>
              <v:shape id="_x0000_s1026" o:spid="_x0000_s1026" o:spt="202" type="#_x0000_t202" style="position:absolute;left:0pt;margin-left:6.3pt;margin-top:10.15pt;height:265.2pt;width:236.7pt;z-index:251664384;mso-width-relative:page;mso-height-relative:page;" fillcolor="#FFFFFF" filled="t" stroked="t" coordsize="21600,21600" o:gfxdata="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7KNdgNoAAAAJAQAADwAAAAAA&#10;AAABACAAAAAiAAAAZHJzL2Rvd25yZXYueG1sUEsBAhQAFAAAAAgAh07iQI0lLF0RAgAARwQAAA4A&#10;AAAAAAAAAQAgAAAAKQEAAGRycy9lMm9Eb2MueG1sUEsFBgAAAAAGAAYAWQEAAKwFAAAAAA==&#10;">
                <v:fill on="t" focussize="0,0"/>
                <v:stroke weight="1pt" color="#000000" joinstyle="miter" dashstyle="dash"/>
                <v:imagedata o:title=""/>
                <o:lock v:ext="edit" aspectratio="f"/>
                <v:textbox>
                  <w:txbxContent>
                    <w:p>
                      <w:pPr>
                        <w:rPr>
                          <w:rFonts w:hint="eastAsia" w:ascii="仿宋_GB2312" w:hAnsi="仿宋_GB2312" w:eastAsia="仿宋_GB2312" w:cs="仿宋_GB2312"/>
                        </w:rPr>
                      </w:pPr>
                      <w:r>
                        <w:rPr>
                          <w:rFonts w:hint="eastAsia" w:ascii="仿宋_GB2312" w:hAnsi="仿宋_GB2312" w:eastAsia="仿宋_GB2312" w:cs="仿宋_GB2312"/>
                        </w:rPr>
                        <w:t>授权人身份证复印件粘贴处（须提供正反面）</w:t>
                      </w:r>
                    </w:p>
                    <w:p>
                      <w:pPr>
                        <w:pStyle w:val="7"/>
                        <w:rPr>
                          <w:rFonts w:ascii="仿宋_GB2312" w:hAnsi="仿宋_GB2312" w:eastAsia="仿宋_GB2312" w:cs="仿宋_GB2312"/>
                          <w:b w:val="0"/>
                          <w:bCs w:val="0"/>
                          <w:sz w:val="21"/>
                          <w:szCs w:val="24"/>
                        </w:rPr>
                      </w:pPr>
                      <w:r>
                        <w:rPr>
                          <w:rFonts w:hint="eastAsia" w:ascii="仿宋_GB2312" w:hAnsi="仿宋_GB2312" w:eastAsia="仿宋_GB2312" w:cs="仿宋_GB2312"/>
                          <w:b w:val="0"/>
                          <w:bCs w:val="0"/>
                          <w:sz w:val="21"/>
                          <w:szCs w:val="24"/>
                        </w:rPr>
                        <w:t>此页位置不足，可增页并加盖鲜章</w:t>
                      </w:r>
                    </w:p>
                    <w:p>
                      <w:pPr>
                        <w:pStyle w:val="7"/>
                      </w:pPr>
                    </w:p>
                  </w:txbxContent>
                </v:textbox>
              </v:shape>
            </w:pict>
          </mc:Fallback>
        </mc:AlternateContent>
      </w:r>
    </w:p>
    <w:p>
      <w:pPr>
        <w:widowControl/>
        <w:snapToGrid w:val="0"/>
        <w:spacing w:before="100" w:beforeAutospacing="1" w:after="100" w:afterAutospacing="1" w:line="252" w:lineRule="atLeast"/>
        <w:ind w:firstLine="480"/>
        <w:jc w:val="left"/>
        <w:textAlignment w:val="bottom"/>
        <w:rPr>
          <w:rFonts w:eastAsia="方正仿宋_GBK"/>
          <w:b/>
          <w:kern w:val="0"/>
          <w:sz w:val="28"/>
          <w:szCs w:val="28"/>
          <w:highlight w:val="none"/>
        </w:rPr>
      </w:pPr>
    </w:p>
    <w:p>
      <w:pPr>
        <w:widowControl/>
        <w:snapToGrid w:val="0"/>
        <w:spacing w:before="100" w:beforeAutospacing="1" w:after="100" w:afterAutospacing="1" w:line="252" w:lineRule="atLeast"/>
        <w:ind w:firstLine="480"/>
        <w:jc w:val="left"/>
        <w:textAlignment w:val="bottom"/>
        <w:rPr>
          <w:rFonts w:eastAsia="方正仿宋_GBK"/>
          <w:b/>
          <w:kern w:val="0"/>
          <w:sz w:val="28"/>
          <w:szCs w:val="28"/>
          <w:highlight w:val="none"/>
        </w:rPr>
      </w:pPr>
    </w:p>
    <w:p>
      <w:pPr>
        <w:widowControl/>
        <w:snapToGrid w:val="0"/>
        <w:spacing w:before="100" w:beforeAutospacing="1" w:after="100" w:afterAutospacing="1" w:line="252" w:lineRule="atLeast"/>
        <w:ind w:firstLine="480"/>
        <w:jc w:val="left"/>
        <w:textAlignment w:val="bottom"/>
        <w:rPr>
          <w:rFonts w:eastAsia="方正仿宋_GBK"/>
          <w:b/>
          <w:kern w:val="0"/>
          <w:sz w:val="28"/>
          <w:szCs w:val="28"/>
          <w:highlight w:val="none"/>
        </w:rPr>
      </w:pPr>
      <w:r>
        <w:rPr>
          <w:rFonts w:eastAsia="方正仿宋_GBK"/>
          <w:b/>
          <w:kern w:val="0"/>
          <w:sz w:val="28"/>
          <w:szCs w:val="28"/>
          <w:highlight w:val="none"/>
        </w:rPr>
        <w:t> </w:t>
      </w:r>
    </w:p>
    <w:p>
      <w:pPr>
        <w:widowControl/>
        <w:spacing w:line="252" w:lineRule="atLeast"/>
        <w:jc w:val="left"/>
        <w:rPr>
          <w:rFonts w:eastAsia="方正仿宋_GBK"/>
          <w:b/>
          <w:bCs/>
          <w:sz w:val="32"/>
          <w:szCs w:val="32"/>
          <w:highlight w:val="none"/>
        </w:rPr>
      </w:pPr>
    </w:p>
    <w:p>
      <w:pPr>
        <w:widowControl/>
        <w:spacing w:line="252" w:lineRule="atLeast"/>
        <w:jc w:val="left"/>
        <w:rPr>
          <w:rFonts w:eastAsia="方正仿宋_GBK"/>
          <w:b/>
          <w:bCs/>
          <w:sz w:val="32"/>
          <w:szCs w:val="32"/>
          <w:highlight w:val="none"/>
        </w:rPr>
      </w:pPr>
    </w:p>
    <w:p>
      <w:pPr>
        <w:widowControl/>
        <w:spacing w:line="252" w:lineRule="atLeast"/>
        <w:jc w:val="left"/>
        <w:rPr>
          <w:rFonts w:eastAsia="方正仿宋_GBK"/>
          <w:b/>
          <w:bCs/>
          <w:sz w:val="32"/>
          <w:szCs w:val="32"/>
          <w:highlight w:val="none"/>
        </w:rPr>
      </w:pPr>
    </w:p>
    <w:p>
      <w:pPr>
        <w:widowControl/>
        <w:spacing w:line="252" w:lineRule="atLeast"/>
        <w:jc w:val="left"/>
        <w:rPr>
          <w:rFonts w:eastAsia="方正仿宋_GBK"/>
          <w:b/>
          <w:bCs/>
          <w:sz w:val="32"/>
          <w:szCs w:val="32"/>
          <w:highlight w:val="none"/>
        </w:rPr>
      </w:pPr>
    </w:p>
    <w:p>
      <w:pPr>
        <w:widowControl/>
        <w:spacing w:line="252" w:lineRule="atLeast"/>
        <w:jc w:val="left"/>
        <w:rPr>
          <w:rFonts w:eastAsia="方正仿宋_GBK"/>
          <w:b/>
          <w:bCs/>
          <w:sz w:val="32"/>
          <w:szCs w:val="32"/>
          <w:highlight w:val="none"/>
        </w:rPr>
      </w:pPr>
    </w:p>
    <w:p>
      <w:pPr>
        <w:rPr>
          <w:rFonts w:eastAsia="方正仿宋_GBK"/>
          <w:b/>
          <w:bCs/>
          <w:sz w:val="28"/>
          <w:szCs w:val="28"/>
          <w:highlight w:val="none"/>
        </w:rPr>
        <w:sectPr>
          <w:pgSz w:w="11900" w:h="16840"/>
          <w:pgMar w:top="1440" w:right="1134" w:bottom="1440" w:left="1134" w:header="920" w:footer="283" w:gutter="0"/>
          <w:pgNumType w:fmt="decimal"/>
          <w:cols w:space="720" w:num="1"/>
          <w:docGrid w:type="lines" w:linePitch="1" w:charSpace="0"/>
        </w:sectPr>
      </w:pPr>
    </w:p>
    <w:p>
      <w:pPr>
        <w:spacing w:line="600" w:lineRule="exact"/>
        <w:jc w:val="left"/>
        <w:rPr>
          <w:rFonts w:eastAsia="方正仿宋_GBK"/>
          <w:sz w:val="28"/>
          <w:szCs w:val="28"/>
          <w:highlight w:val="none"/>
        </w:rPr>
      </w:pPr>
      <w:r>
        <w:rPr>
          <w:rFonts w:hint="eastAsia" w:eastAsia="方正仿宋_GBK"/>
          <w:b/>
          <w:bCs/>
          <w:sz w:val="32"/>
          <w:szCs w:val="32"/>
          <w:highlight w:val="none"/>
          <w:lang w:eastAsia="zh-CN"/>
        </w:rPr>
        <w:t>6.</w:t>
      </w:r>
      <w:r>
        <w:rPr>
          <w:rFonts w:eastAsia="方正仿宋_GBK"/>
          <w:b/>
          <w:bCs/>
          <w:sz w:val="32"/>
          <w:szCs w:val="32"/>
          <w:highlight w:val="none"/>
        </w:rPr>
        <w:t>信用信息报告。</w:t>
      </w:r>
    </w:p>
    <w:p>
      <w:pPr>
        <w:rPr>
          <w:rFonts w:eastAsia="方正仿宋_GBK"/>
          <w:sz w:val="28"/>
          <w:szCs w:val="28"/>
          <w:highlight w:val="none"/>
        </w:rPr>
      </w:pPr>
    </w:p>
    <w:p>
      <w:pPr>
        <w:spacing w:line="440" w:lineRule="exact"/>
        <w:rPr>
          <w:rFonts w:eastAsia="方正仿宋_GBK"/>
          <w:sz w:val="28"/>
          <w:szCs w:val="28"/>
          <w:highlight w:val="none"/>
        </w:rPr>
      </w:pPr>
      <w:r>
        <w:rPr>
          <w:rFonts w:hint="eastAsia" w:eastAsia="方正仿宋_GBK"/>
          <w:b/>
          <w:bCs/>
          <w:sz w:val="32"/>
          <w:szCs w:val="32"/>
          <w:highlight w:val="none"/>
          <w:lang w:eastAsia="zh-CN"/>
        </w:rPr>
        <w:t>7.</w:t>
      </w:r>
      <w:r>
        <w:rPr>
          <w:rFonts w:eastAsia="方正仿宋_GBK"/>
          <w:b/>
          <w:bCs/>
          <w:sz w:val="32"/>
          <w:szCs w:val="32"/>
          <w:highlight w:val="none"/>
        </w:rPr>
        <w:t>投标保证金缴纳凭证</w:t>
      </w:r>
      <w:r>
        <w:rPr>
          <w:rFonts w:eastAsia="方正仿宋_GBK"/>
          <w:sz w:val="28"/>
          <w:szCs w:val="28"/>
          <w:highlight w:val="none"/>
        </w:rPr>
        <w:t>（格式自拟，加盖公章）。</w:t>
      </w:r>
    </w:p>
    <w:p>
      <w:pPr>
        <w:rPr>
          <w:rFonts w:eastAsia="方正仿宋_GBK"/>
          <w:sz w:val="28"/>
          <w:szCs w:val="28"/>
          <w:highlight w:val="none"/>
        </w:rPr>
      </w:pPr>
    </w:p>
    <w:p>
      <w:pPr>
        <w:pStyle w:val="7"/>
        <w:rPr>
          <w:rFonts w:eastAsia="方正仿宋_GBK"/>
          <w:sz w:val="28"/>
          <w:szCs w:val="28"/>
          <w:highlight w:val="none"/>
        </w:rPr>
      </w:pPr>
    </w:p>
    <w:p>
      <w:pPr>
        <w:rPr>
          <w:rFonts w:eastAsia="方正仿宋_GBK"/>
          <w:sz w:val="28"/>
          <w:szCs w:val="28"/>
          <w:highlight w:val="none"/>
        </w:rPr>
      </w:pPr>
    </w:p>
    <w:p>
      <w:pPr>
        <w:pStyle w:val="7"/>
        <w:rPr>
          <w:rFonts w:eastAsia="方正仿宋_GBK"/>
          <w:sz w:val="28"/>
          <w:szCs w:val="28"/>
          <w:highlight w:val="none"/>
        </w:rPr>
      </w:pPr>
    </w:p>
    <w:p>
      <w:pPr>
        <w:rPr>
          <w:rFonts w:eastAsia="方正仿宋_GBK"/>
          <w:sz w:val="28"/>
          <w:szCs w:val="28"/>
          <w:highlight w:val="none"/>
        </w:rPr>
      </w:pPr>
    </w:p>
    <w:p>
      <w:pPr>
        <w:pStyle w:val="7"/>
        <w:rPr>
          <w:rFonts w:eastAsia="方正仿宋_GBK"/>
          <w:sz w:val="28"/>
          <w:szCs w:val="28"/>
          <w:highlight w:val="none"/>
        </w:rPr>
      </w:pPr>
    </w:p>
    <w:p>
      <w:pPr>
        <w:rPr>
          <w:rFonts w:eastAsia="方正仿宋_GBK"/>
          <w:sz w:val="28"/>
          <w:szCs w:val="28"/>
          <w:highlight w:val="none"/>
        </w:rPr>
      </w:pPr>
    </w:p>
    <w:p>
      <w:pPr>
        <w:pStyle w:val="7"/>
        <w:rPr>
          <w:rFonts w:eastAsia="方正仿宋_GBK"/>
          <w:sz w:val="28"/>
          <w:szCs w:val="28"/>
          <w:highlight w:val="none"/>
        </w:rPr>
      </w:pPr>
    </w:p>
    <w:p>
      <w:pPr>
        <w:rPr>
          <w:rFonts w:eastAsia="方正仿宋_GBK"/>
          <w:sz w:val="28"/>
          <w:szCs w:val="28"/>
          <w:highlight w:val="none"/>
        </w:rPr>
      </w:pPr>
    </w:p>
    <w:p>
      <w:pPr>
        <w:pStyle w:val="3"/>
        <w:rPr>
          <w:highlight w:val="none"/>
        </w:rPr>
      </w:pPr>
    </w:p>
    <w:p>
      <w:pPr>
        <w:pStyle w:val="7"/>
        <w:rPr>
          <w:rFonts w:eastAsia="方正仿宋_GBK"/>
          <w:sz w:val="28"/>
          <w:szCs w:val="28"/>
          <w:highlight w:val="none"/>
        </w:rPr>
      </w:pPr>
    </w:p>
    <w:p>
      <w:pPr>
        <w:rPr>
          <w:rFonts w:eastAsia="方正仿宋_GBK"/>
          <w:sz w:val="28"/>
          <w:szCs w:val="28"/>
          <w:highlight w:val="none"/>
        </w:rPr>
      </w:pPr>
    </w:p>
    <w:p>
      <w:pPr>
        <w:pStyle w:val="7"/>
        <w:rPr>
          <w:rFonts w:eastAsia="方正仿宋_GBK"/>
          <w:sz w:val="28"/>
          <w:szCs w:val="28"/>
          <w:highlight w:val="none"/>
        </w:rPr>
      </w:pPr>
    </w:p>
    <w:p>
      <w:pPr>
        <w:rPr>
          <w:rFonts w:eastAsia="方正仿宋_GBK"/>
          <w:sz w:val="28"/>
          <w:szCs w:val="28"/>
          <w:highlight w:val="none"/>
        </w:rPr>
      </w:pPr>
    </w:p>
    <w:p>
      <w:pPr>
        <w:rPr>
          <w:rFonts w:eastAsia="方正仿宋_GBK"/>
          <w:b/>
          <w:bCs/>
          <w:sz w:val="32"/>
          <w:szCs w:val="32"/>
          <w:highlight w:val="none"/>
        </w:rPr>
      </w:pPr>
    </w:p>
    <w:p>
      <w:pPr>
        <w:widowControl/>
        <w:spacing w:before="100" w:beforeAutospacing="1" w:after="100" w:afterAutospacing="1" w:line="252" w:lineRule="atLeast"/>
        <w:jc w:val="left"/>
        <w:rPr>
          <w:rFonts w:hint="default" w:ascii="Times New Roman" w:hAnsi="Times New Roman" w:eastAsia="方正仿宋_GBK" w:cs="Times New Roman"/>
          <w:b/>
          <w:bCs/>
          <w:color w:val="000000"/>
          <w:sz w:val="32"/>
          <w:szCs w:val="32"/>
          <w:highlight w:val="none"/>
          <w:lang w:val="en-US" w:eastAsia="zh-CN"/>
        </w:rPr>
      </w:pPr>
      <w:r>
        <w:rPr>
          <w:rFonts w:hint="default" w:ascii="Times New Roman" w:hAnsi="Times New Roman" w:eastAsia="方正仿宋_GBK" w:cs="Times New Roman"/>
          <w:b/>
          <w:bCs/>
          <w:sz w:val="32"/>
          <w:szCs w:val="32"/>
          <w:highlight w:val="none"/>
          <w:lang w:val="en-US" w:eastAsia="zh-CN"/>
        </w:rPr>
        <w:t>8.</w:t>
      </w:r>
      <w:r>
        <w:rPr>
          <w:rFonts w:hint="eastAsia" w:ascii="Times New Roman" w:hAnsi="Times New Roman" w:eastAsia="方正仿宋_GBK" w:cs="Times New Roman"/>
          <w:b/>
          <w:bCs/>
          <w:color w:val="000000"/>
          <w:sz w:val="32"/>
          <w:szCs w:val="32"/>
          <w:highlight w:val="none"/>
          <w:lang w:val="en-US" w:eastAsia="zh-CN"/>
        </w:rPr>
        <w:t>参选人</w:t>
      </w:r>
      <w:r>
        <w:rPr>
          <w:rFonts w:hint="default" w:ascii="Times New Roman" w:hAnsi="Times New Roman" w:eastAsia="方正仿宋_GBK" w:cs="Times New Roman"/>
          <w:b/>
          <w:bCs/>
          <w:color w:val="000000"/>
          <w:sz w:val="32"/>
          <w:szCs w:val="32"/>
          <w:highlight w:val="none"/>
          <w:lang w:val="en-US" w:eastAsia="zh-CN"/>
        </w:rPr>
        <w:t>关联关系单位披露表</w:t>
      </w:r>
    </w:p>
    <w:tbl>
      <w:tblPr>
        <w:tblStyle w:val="23"/>
        <w:tblW w:w="9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588"/>
        <w:gridCol w:w="2134"/>
        <w:gridCol w:w="2249"/>
        <w:gridCol w:w="2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79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000000"/>
                <w:sz w:val="24"/>
                <w:szCs w:val="24"/>
                <w:highlight w:val="none"/>
              </w:rPr>
            </w:pPr>
            <w:r>
              <w:rPr>
                <w:rFonts w:hint="default" w:ascii="Times New Roman" w:hAnsi="Times New Roman" w:eastAsia="方正仿宋_GBK" w:cs="Times New Roman"/>
                <w:b/>
                <w:color w:val="000000"/>
                <w:sz w:val="24"/>
                <w:szCs w:val="24"/>
                <w:highlight w:val="none"/>
              </w:rPr>
              <w:t>序号</w:t>
            </w:r>
          </w:p>
        </w:tc>
        <w:tc>
          <w:tcPr>
            <w:tcW w:w="158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000000"/>
                <w:sz w:val="24"/>
                <w:szCs w:val="24"/>
                <w:highlight w:val="none"/>
              </w:rPr>
            </w:pPr>
            <w:r>
              <w:rPr>
                <w:rFonts w:hint="default" w:ascii="Times New Roman" w:hAnsi="Times New Roman" w:eastAsia="方正仿宋_GBK" w:cs="Times New Roman"/>
                <w:b/>
                <w:color w:val="000000"/>
                <w:sz w:val="24"/>
                <w:szCs w:val="24"/>
                <w:highlight w:val="none"/>
              </w:rPr>
              <w:t>关联关系</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000000"/>
                <w:sz w:val="24"/>
                <w:szCs w:val="24"/>
                <w:highlight w:val="none"/>
              </w:rPr>
            </w:pPr>
            <w:r>
              <w:rPr>
                <w:rFonts w:hint="default" w:ascii="Times New Roman" w:hAnsi="Times New Roman" w:eastAsia="方正仿宋_GBK" w:cs="Times New Roman"/>
                <w:b/>
                <w:color w:val="000000"/>
                <w:sz w:val="24"/>
                <w:szCs w:val="24"/>
                <w:highlight w:val="none"/>
              </w:rPr>
              <w:t>类型</w:t>
            </w:r>
          </w:p>
        </w:tc>
        <w:tc>
          <w:tcPr>
            <w:tcW w:w="213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000000"/>
                <w:sz w:val="24"/>
                <w:szCs w:val="24"/>
                <w:highlight w:val="none"/>
              </w:rPr>
            </w:pPr>
            <w:r>
              <w:rPr>
                <w:rFonts w:hint="default" w:ascii="Times New Roman" w:hAnsi="Times New Roman" w:eastAsia="方正仿宋_GBK" w:cs="Times New Roman"/>
                <w:b/>
                <w:color w:val="000000"/>
                <w:sz w:val="24"/>
                <w:szCs w:val="24"/>
                <w:highlight w:val="none"/>
              </w:rPr>
              <w:t>关联单位名称</w:t>
            </w:r>
          </w:p>
        </w:tc>
        <w:tc>
          <w:tcPr>
            <w:tcW w:w="224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000000"/>
                <w:sz w:val="24"/>
                <w:szCs w:val="24"/>
                <w:highlight w:val="none"/>
              </w:rPr>
            </w:pPr>
            <w:r>
              <w:rPr>
                <w:rFonts w:hint="default" w:ascii="Times New Roman" w:hAnsi="Times New Roman" w:eastAsia="方正仿宋_GBK" w:cs="Times New Roman"/>
                <w:b/>
                <w:color w:val="000000"/>
                <w:sz w:val="24"/>
                <w:szCs w:val="24"/>
                <w:highlight w:val="none"/>
              </w:rPr>
              <w:t>关联单位</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000000"/>
                <w:sz w:val="24"/>
                <w:szCs w:val="24"/>
                <w:highlight w:val="none"/>
              </w:rPr>
            </w:pPr>
            <w:r>
              <w:rPr>
                <w:rFonts w:hint="default" w:ascii="Times New Roman" w:hAnsi="Times New Roman" w:eastAsia="方正仿宋_GBK" w:cs="Times New Roman"/>
                <w:b/>
                <w:color w:val="000000"/>
                <w:sz w:val="24"/>
                <w:szCs w:val="24"/>
                <w:highlight w:val="none"/>
              </w:rPr>
              <w:t>企业信用代码</w:t>
            </w:r>
          </w:p>
        </w:tc>
        <w:tc>
          <w:tcPr>
            <w:tcW w:w="2994"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000000"/>
                <w:sz w:val="24"/>
                <w:szCs w:val="24"/>
                <w:highlight w:val="none"/>
              </w:rPr>
            </w:pPr>
            <w:r>
              <w:rPr>
                <w:rFonts w:hint="default" w:ascii="Times New Roman" w:hAnsi="Times New Roman" w:eastAsia="方正仿宋_GBK" w:cs="Times New Roman"/>
                <w:b/>
                <w:color w:val="000000"/>
                <w:sz w:val="24"/>
                <w:szCs w:val="24"/>
                <w:highlight w:val="none"/>
              </w:rPr>
              <w:t>与</w:t>
            </w:r>
            <w:r>
              <w:rPr>
                <w:rFonts w:hint="eastAsia" w:ascii="Times New Roman" w:hAnsi="Times New Roman" w:eastAsia="方正仿宋_GBK" w:cs="Times New Roman"/>
                <w:b/>
                <w:color w:val="000000"/>
                <w:sz w:val="24"/>
                <w:szCs w:val="24"/>
                <w:highlight w:val="none"/>
                <w:lang w:eastAsia="zh-CN"/>
              </w:rPr>
              <w:t>参选人</w:t>
            </w:r>
            <w:r>
              <w:rPr>
                <w:rFonts w:hint="default" w:ascii="Times New Roman" w:hAnsi="Times New Roman" w:eastAsia="方正仿宋_GBK" w:cs="Times New Roman"/>
                <w:b/>
                <w:color w:val="000000"/>
                <w:sz w:val="24"/>
                <w:szCs w:val="24"/>
                <w:highlight w:val="none"/>
              </w:rPr>
              <w:t>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79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highlight w:val="none"/>
              </w:rPr>
            </w:pPr>
            <w:r>
              <w:rPr>
                <w:rFonts w:hint="default" w:ascii="Times New Roman" w:hAnsi="Times New Roman" w:eastAsia="方正仿宋_GBK" w:cs="Times New Roman"/>
                <w:bCs/>
                <w:color w:val="000000"/>
                <w:sz w:val="24"/>
                <w:szCs w:val="24"/>
                <w:highlight w:val="none"/>
              </w:rPr>
              <w:t>1</w:t>
            </w:r>
          </w:p>
        </w:tc>
        <w:tc>
          <w:tcPr>
            <w:tcW w:w="15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highlight w:val="none"/>
              </w:rPr>
            </w:pPr>
            <w:r>
              <w:rPr>
                <w:rFonts w:hint="default" w:ascii="Times New Roman" w:hAnsi="Times New Roman" w:eastAsia="方正仿宋_GBK" w:cs="Times New Roman"/>
                <w:bCs/>
                <w:color w:val="000000"/>
                <w:sz w:val="24"/>
                <w:szCs w:val="24"/>
                <w:highlight w:val="none"/>
              </w:rPr>
              <w:t>负责人</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highlight w:val="none"/>
              </w:rPr>
            </w:pPr>
            <w:r>
              <w:rPr>
                <w:rFonts w:hint="default" w:ascii="Times New Roman" w:hAnsi="Times New Roman" w:eastAsia="方正仿宋_GBK" w:cs="Times New Roman"/>
                <w:bCs/>
                <w:color w:val="000000"/>
                <w:sz w:val="24"/>
                <w:szCs w:val="24"/>
                <w:highlight w:val="none"/>
              </w:rPr>
              <w:t>为同一人</w:t>
            </w:r>
          </w:p>
        </w:tc>
        <w:tc>
          <w:tcPr>
            <w:tcW w:w="21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highlight w:val="none"/>
              </w:rPr>
            </w:pPr>
          </w:p>
        </w:tc>
        <w:tc>
          <w:tcPr>
            <w:tcW w:w="224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highlight w:val="none"/>
              </w:rPr>
            </w:pPr>
          </w:p>
        </w:tc>
        <w:tc>
          <w:tcPr>
            <w:tcW w:w="29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highlight w:val="none"/>
              </w:rPr>
            </w:pPr>
            <w:r>
              <w:rPr>
                <w:rFonts w:hint="default" w:ascii="Times New Roman" w:hAnsi="Times New Roman" w:eastAsia="方正仿宋_GBK" w:cs="Times New Roman"/>
                <w:bCs/>
                <w:color w:val="000000"/>
                <w:sz w:val="24"/>
                <w:szCs w:val="24"/>
                <w:highlight w:val="none"/>
              </w:rPr>
              <w:t>同一法定代表人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79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highlight w:val="none"/>
                <w:lang w:val="en-US" w:eastAsia="zh-CN"/>
              </w:rPr>
            </w:pPr>
            <w:r>
              <w:rPr>
                <w:rFonts w:hint="default" w:ascii="Times New Roman" w:hAnsi="Times New Roman" w:eastAsia="方正仿宋_GBK" w:cs="Times New Roman"/>
                <w:bCs/>
                <w:color w:val="000000"/>
                <w:sz w:val="24"/>
                <w:szCs w:val="24"/>
                <w:highlight w:val="none"/>
                <w:lang w:val="en-US" w:eastAsia="zh-CN"/>
              </w:rPr>
              <w:t>2</w:t>
            </w:r>
          </w:p>
        </w:tc>
        <w:tc>
          <w:tcPr>
            <w:tcW w:w="158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highlight w:val="none"/>
              </w:rPr>
            </w:pPr>
            <w:r>
              <w:rPr>
                <w:rFonts w:hint="default" w:ascii="Times New Roman" w:hAnsi="Times New Roman" w:eastAsia="方正仿宋_GBK" w:cs="Times New Roman"/>
                <w:bCs/>
                <w:color w:val="000000"/>
                <w:sz w:val="24"/>
                <w:szCs w:val="24"/>
                <w:highlight w:val="none"/>
              </w:rPr>
              <w:t>管理关系</w:t>
            </w:r>
          </w:p>
        </w:tc>
        <w:tc>
          <w:tcPr>
            <w:tcW w:w="21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highlight w:val="none"/>
              </w:rPr>
            </w:pPr>
          </w:p>
        </w:tc>
        <w:tc>
          <w:tcPr>
            <w:tcW w:w="224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highlight w:val="none"/>
              </w:rPr>
            </w:pPr>
          </w:p>
        </w:tc>
        <w:tc>
          <w:tcPr>
            <w:tcW w:w="29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highlight w:val="none"/>
              </w:rPr>
            </w:pPr>
            <w:r>
              <w:rPr>
                <w:rFonts w:hint="default" w:ascii="Times New Roman" w:hAnsi="Times New Roman" w:eastAsia="方正仿宋_GBK" w:cs="Times New Roman"/>
                <w:bCs/>
                <w:color w:val="000000"/>
                <w:sz w:val="24"/>
                <w:szCs w:val="24"/>
                <w:highlight w:val="none"/>
              </w:rPr>
              <w:t>是我公司的分公司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7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highlight w:val="none"/>
                <w:lang w:eastAsia="zh-CN"/>
              </w:rPr>
            </w:pPr>
          </w:p>
        </w:tc>
        <w:tc>
          <w:tcPr>
            <w:tcW w:w="158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highlight w:val="none"/>
              </w:rPr>
            </w:pPr>
          </w:p>
        </w:tc>
        <w:tc>
          <w:tcPr>
            <w:tcW w:w="21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highlight w:val="none"/>
              </w:rPr>
            </w:pPr>
          </w:p>
        </w:tc>
        <w:tc>
          <w:tcPr>
            <w:tcW w:w="224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highlight w:val="none"/>
              </w:rPr>
            </w:pPr>
          </w:p>
        </w:tc>
        <w:tc>
          <w:tcPr>
            <w:tcW w:w="29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highlight w:val="none"/>
              </w:rPr>
            </w:pPr>
            <w:r>
              <w:rPr>
                <w:rFonts w:hint="default" w:ascii="Times New Roman" w:hAnsi="Times New Roman" w:eastAsia="方正仿宋_GBK" w:cs="Times New Roman"/>
                <w:bCs/>
                <w:color w:val="000000"/>
                <w:sz w:val="24"/>
                <w:szCs w:val="24"/>
                <w:highlight w:val="none"/>
              </w:rPr>
              <w:t>是我公司的总公司</w:t>
            </w: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bCs w:val="0"/>
          <w:color w:val="000000"/>
          <w:sz w:val="28"/>
          <w:szCs w:val="28"/>
          <w:highlight w:val="none"/>
        </w:rPr>
      </w:pPr>
      <w:r>
        <w:rPr>
          <w:rFonts w:hint="default" w:ascii="Times New Roman" w:hAnsi="Times New Roman" w:eastAsia="方正仿宋_GBK" w:cs="Times New Roman"/>
          <w:b/>
          <w:bCs w:val="0"/>
          <w:color w:val="000000"/>
          <w:sz w:val="28"/>
          <w:szCs w:val="28"/>
          <w:highlight w:val="none"/>
        </w:rPr>
        <w:t>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eastAsia="方正仿宋_GBK" w:cs="Times New Roman"/>
          <w:b w:val="0"/>
          <w:bCs/>
          <w:color w:val="000000"/>
          <w:sz w:val="28"/>
          <w:szCs w:val="28"/>
          <w:highlight w:val="none"/>
        </w:rPr>
      </w:pPr>
      <w:r>
        <w:rPr>
          <w:rFonts w:hint="default" w:ascii="Times New Roman" w:hAnsi="Times New Roman" w:eastAsia="方正仿宋_GBK" w:cs="Times New Roman"/>
          <w:b w:val="0"/>
          <w:bCs/>
          <w:color w:val="000000"/>
          <w:sz w:val="28"/>
          <w:szCs w:val="28"/>
          <w:highlight w:val="none"/>
        </w:rPr>
        <w:t>1.</w:t>
      </w:r>
      <w:r>
        <w:rPr>
          <w:rFonts w:hint="eastAsia" w:ascii="Times New Roman" w:hAnsi="Times New Roman" w:eastAsia="方正仿宋_GBK" w:cs="Times New Roman"/>
          <w:b w:val="0"/>
          <w:bCs/>
          <w:color w:val="000000"/>
          <w:sz w:val="28"/>
          <w:szCs w:val="28"/>
          <w:highlight w:val="none"/>
          <w:lang w:eastAsia="zh-CN"/>
        </w:rPr>
        <w:t>参选人</w:t>
      </w:r>
      <w:r>
        <w:rPr>
          <w:rFonts w:hint="default" w:ascii="Times New Roman" w:hAnsi="Times New Roman" w:eastAsia="方正仿宋_GBK" w:cs="Times New Roman"/>
          <w:b w:val="0"/>
          <w:bCs/>
          <w:color w:val="000000"/>
          <w:sz w:val="28"/>
          <w:szCs w:val="28"/>
          <w:highlight w:val="none"/>
        </w:rPr>
        <w:t>应如实披露关联关系单位，禁止存在下列关联关系的</w:t>
      </w:r>
      <w:r>
        <w:rPr>
          <w:rFonts w:hint="eastAsia" w:ascii="Times New Roman" w:hAnsi="Times New Roman" w:eastAsia="方正仿宋_GBK" w:cs="Times New Roman"/>
          <w:b w:val="0"/>
          <w:bCs/>
          <w:color w:val="000000"/>
          <w:sz w:val="28"/>
          <w:szCs w:val="28"/>
          <w:highlight w:val="none"/>
          <w:lang w:eastAsia="zh-CN"/>
        </w:rPr>
        <w:t>参选人</w:t>
      </w:r>
      <w:r>
        <w:rPr>
          <w:rFonts w:hint="default" w:ascii="Times New Roman" w:hAnsi="Times New Roman" w:eastAsia="方正仿宋_GBK" w:cs="Times New Roman"/>
          <w:b w:val="0"/>
          <w:bCs/>
          <w:color w:val="000000"/>
          <w:sz w:val="28"/>
          <w:szCs w:val="28"/>
          <w:highlight w:val="none"/>
        </w:rPr>
        <w:t>同时参与本项目采购：（1）法定代表人或单位负责人为同一人（以</w:t>
      </w:r>
      <w:r>
        <w:rPr>
          <w:rFonts w:hint="default" w:ascii="Times New Roman" w:hAnsi="Times New Roman" w:eastAsia="方正仿宋_GBK" w:cs="Times New Roman"/>
          <w:b w:val="0"/>
          <w:bCs/>
          <w:color w:val="000000"/>
          <w:sz w:val="28"/>
          <w:szCs w:val="28"/>
          <w:highlight w:val="none"/>
          <w:lang w:eastAsia="zh-CN"/>
        </w:rPr>
        <w:t>“</w:t>
      </w:r>
      <w:r>
        <w:rPr>
          <w:rFonts w:hint="default" w:ascii="Times New Roman" w:hAnsi="Times New Roman" w:eastAsia="方正仿宋_GBK" w:cs="Times New Roman"/>
          <w:b w:val="0"/>
          <w:bCs/>
          <w:color w:val="000000"/>
          <w:sz w:val="28"/>
          <w:szCs w:val="28"/>
          <w:highlight w:val="none"/>
        </w:rPr>
        <w:t>国家企业信用信息公示系统</w:t>
      </w:r>
      <w:r>
        <w:rPr>
          <w:rFonts w:hint="default" w:ascii="Times New Roman" w:hAnsi="Times New Roman" w:eastAsia="方正仿宋_GBK" w:cs="Times New Roman"/>
          <w:b w:val="0"/>
          <w:bCs/>
          <w:color w:val="000000"/>
          <w:sz w:val="28"/>
          <w:szCs w:val="28"/>
          <w:highlight w:val="none"/>
          <w:lang w:eastAsia="zh-CN"/>
        </w:rPr>
        <w:t>”</w:t>
      </w:r>
      <w:r>
        <w:rPr>
          <w:rFonts w:hint="default" w:ascii="Times New Roman" w:hAnsi="Times New Roman" w:eastAsia="方正仿宋_GBK" w:cs="Times New Roman"/>
          <w:b w:val="0"/>
          <w:bCs/>
          <w:color w:val="000000"/>
          <w:sz w:val="28"/>
          <w:szCs w:val="28"/>
          <w:highlight w:val="none"/>
        </w:rPr>
        <w:t>显示的</w:t>
      </w:r>
      <w:r>
        <w:rPr>
          <w:rFonts w:hint="default" w:ascii="Times New Roman" w:hAnsi="Times New Roman" w:eastAsia="方正仿宋_GBK" w:cs="Times New Roman"/>
          <w:b w:val="0"/>
          <w:bCs/>
          <w:color w:val="000000"/>
          <w:sz w:val="28"/>
          <w:szCs w:val="28"/>
          <w:highlight w:val="none"/>
          <w:lang w:eastAsia="zh-CN"/>
        </w:rPr>
        <w:t>“</w:t>
      </w:r>
      <w:r>
        <w:rPr>
          <w:rFonts w:hint="default" w:ascii="Times New Roman" w:hAnsi="Times New Roman" w:eastAsia="方正仿宋_GBK" w:cs="Times New Roman"/>
          <w:b w:val="0"/>
          <w:bCs/>
          <w:color w:val="000000"/>
          <w:sz w:val="28"/>
          <w:szCs w:val="28"/>
          <w:highlight w:val="none"/>
        </w:rPr>
        <w:t>主要人员信息</w:t>
      </w:r>
      <w:r>
        <w:rPr>
          <w:rFonts w:hint="default" w:ascii="Times New Roman" w:hAnsi="Times New Roman" w:eastAsia="方正仿宋_GBK" w:cs="Times New Roman"/>
          <w:b w:val="0"/>
          <w:bCs/>
          <w:color w:val="000000"/>
          <w:sz w:val="28"/>
          <w:szCs w:val="28"/>
          <w:highlight w:val="none"/>
          <w:lang w:eastAsia="zh-CN"/>
        </w:rPr>
        <w:t>”</w:t>
      </w:r>
      <w:r>
        <w:rPr>
          <w:rFonts w:hint="default" w:ascii="Times New Roman" w:hAnsi="Times New Roman" w:eastAsia="方正仿宋_GBK" w:cs="Times New Roman"/>
          <w:b w:val="0"/>
          <w:bCs/>
          <w:color w:val="000000"/>
          <w:sz w:val="28"/>
          <w:szCs w:val="28"/>
          <w:highlight w:val="none"/>
        </w:rPr>
        <w:t>名单为准）</w:t>
      </w:r>
      <w:r>
        <w:rPr>
          <w:rFonts w:hint="default" w:ascii="Times New Roman" w:hAnsi="Times New Roman" w:eastAsia="方正仿宋_GBK" w:cs="Times New Roman"/>
          <w:b w:val="0"/>
          <w:bCs/>
          <w:color w:val="000000"/>
          <w:sz w:val="28"/>
          <w:szCs w:val="28"/>
          <w:highlight w:val="none"/>
          <w:lang w:eastAsia="zh-CN"/>
        </w:rPr>
        <w:t>；</w:t>
      </w:r>
      <w:r>
        <w:rPr>
          <w:rFonts w:hint="default" w:ascii="Times New Roman" w:hAnsi="Times New Roman" w:eastAsia="方正仿宋_GBK" w:cs="Times New Roman"/>
          <w:b w:val="0"/>
          <w:bCs/>
          <w:color w:val="000000"/>
          <w:sz w:val="28"/>
          <w:szCs w:val="28"/>
          <w:highlight w:val="none"/>
          <w:lang w:val="en-US" w:eastAsia="zh-CN"/>
        </w:rPr>
        <w:t>（2）</w:t>
      </w:r>
      <w:r>
        <w:rPr>
          <w:rFonts w:hint="eastAsia" w:ascii="Times New Roman" w:hAnsi="Times New Roman" w:eastAsia="方正仿宋_GBK" w:cs="Times New Roman"/>
          <w:b w:val="0"/>
          <w:bCs/>
          <w:color w:val="000000"/>
          <w:sz w:val="28"/>
          <w:szCs w:val="28"/>
          <w:highlight w:val="none"/>
          <w:lang w:val="en-US" w:eastAsia="zh-CN"/>
        </w:rPr>
        <w:t>参选人</w:t>
      </w:r>
      <w:r>
        <w:rPr>
          <w:rFonts w:hint="default" w:ascii="Times New Roman" w:hAnsi="Times New Roman" w:eastAsia="方正仿宋_GBK" w:cs="Times New Roman"/>
          <w:b w:val="0"/>
          <w:bCs/>
          <w:color w:val="000000"/>
          <w:sz w:val="28"/>
          <w:szCs w:val="28"/>
          <w:highlight w:val="none"/>
          <w:lang w:val="en-US" w:eastAsia="zh-CN"/>
        </w:rPr>
        <w:t>之间存在管理关系。</w:t>
      </w:r>
      <w:r>
        <w:rPr>
          <w:rFonts w:hint="default" w:ascii="Times New Roman" w:hAnsi="Times New Roman" w:eastAsia="方正仿宋_GBK" w:cs="Times New Roman"/>
          <w:b/>
          <w:bCs w:val="0"/>
          <w:color w:val="000000"/>
          <w:sz w:val="28"/>
          <w:szCs w:val="28"/>
          <w:highlight w:val="none"/>
        </w:rPr>
        <w:t>投标过程中如发现各</w:t>
      </w:r>
      <w:r>
        <w:rPr>
          <w:rFonts w:hint="eastAsia" w:ascii="Times New Roman" w:hAnsi="Times New Roman" w:eastAsia="方正仿宋_GBK" w:cs="Times New Roman"/>
          <w:b/>
          <w:bCs w:val="0"/>
          <w:color w:val="000000"/>
          <w:sz w:val="28"/>
          <w:szCs w:val="28"/>
          <w:highlight w:val="none"/>
          <w:lang w:eastAsia="zh-CN"/>
        </w:rPr>
        <w:t>参选人</w:t>
      </w:r>
      <w:r>
        <w:rPr>
          <w:rFonts w:hint="default" w:ascii="Times New Roman" w:hAnsi="Times New Roman" w:eastAsia="方正仿宋_GBK" w:cs="Times New Roman"/>
          <w:b/>
          <w:bCs w:val="0"/>
          <w:color w:val="000000"/>
          <w:sz w:val="28"/>
          <w:szCs w:val="28"/>
          <w:highlight w:val="none"/>
        </w:rPr>
        <w:t>之间存在关联关系，招标人有权取消有关联关系的</w:t>
      </w:r>
      <w:r>
        <w:rPr>
          <w:rFonts w:hint="eastAsia" w:ascii="Times New Roman" w:hAnsi="Times New Roman" w:eastAsia="方正仿宋_GBK" w:cs="Times New Roman"/>
          <w:b/>
          <w:bCs w:val="0"/>
          <w:color w:val="000000"/>
          <w:sz w:val="28"/>
          <w:szCs w:val="28"/>
          <w:highlight w:val="none"/>
          <w:lang w:eastAsia="zh-CN"/>
        </w:rPr>
        <w:t>参选人</w:t>
      </w:r>
      <w:r>
        <w:rPr>
          <w:rFonts w:hint="default" w:ascii="Times New Roman" w:hAnsi="Times New Roman" w:eastAsia="方正仿宋_GBK" w:cs="Times New Roman"/>
          <w:b/>
          <w:bCs w:val="0"/>
          <w:color w:val="000000"/>
          <w:sz w:val="28"/>
          <w:szCs w:val="28"/>
          <w:highlight w:val="none"/>
        </w:rPr>
        <w:t>参与本项目的资格或重新组织</w:t>
      </w:r>
      <w:r>
        <w:rPr>
          <w:rFonts w:hint="default" w:ascii="Times New Roman" w:hAnsi="Times New Roman" w:eastAsia="方正仿宋_GBK" w:cs="Times New Roman"/>
          <w:b/>
          <w:bCs w:val="0"/>
          <w:color w:val="000000"/>
          <w:sz w:val="28"/>
          <w:szCs w:val="28"/>
          <w:highlight w:val="none"/>
          <w:lang w:val="en-US" w:eastAsia="zh-CN"/>
        </w:rPr>
        <w:t>比选</w:t>
      </w:r>
      <w:r>
        <w:rPr>
          <w:rFonts w:hint="default" w:ascii="Times New Roman" w:hAnsi="Times New Roman" w:eastAsia="方正仿宋_GBK" w:cs="Times New Roman"/>
          <w:b/>
          <w:bCs w:val="0"/>
          <w:color w:val="00000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cs="Times New Roman"/>
          <w:color w:val="000000"/>
          <w:sz w:val="28"/>
          <w:szCs w:val="28"/>
          <w:highlight w:val="none"/>
        </w:rPr>
      </w:pPr>
      <w:r>
        <w:rPr>
          <w:rFonts w:hint="default" w:ascii="Times New Roman" w:hAnsi="Times New Roman" w:eastAsia="方正仿宋_GBK" w:cs="Times New Roman"/>
          <w:b w:val="0"/>
          <w:bCs/>
          <w:color w:val="000000"/>
          <w:sz w:val="28"/>
          <w:szCs w:val="28"/>
          <w:highlight w:val="none"/>
        </w:rPr>
        <w:t>2.</w:t>
      </w:r>
      <w:r>
        <w:rPr>
          <w:rFonts w:hint="default" w:ascii="Times New Roman" w:hAnsi="Times New Roman" w:eastAsia="方正仿宋_GBK" w:cs="Times New Roman"/>
          <w:b/>
          <w:bCs w:val="0"/>
          <w:color w:val="000000"/>
          <w:sz w:val="28"/>
          <w:szCs w:val="28"/>
          <w:highlight w:val="none"/>
        </w:rPr>
        <w:t>后附</w:t>
      </w:r>
      <w:r>
        <w:rPr>
          <w:rFonts w:hint="eastAsia" w:ascii="Times New Roman" w:hAnsi="Times New Roman" w:eastAsia="方正仿宋_GBK" w:cs="Times New Roman"/>
          <w:b/>
          <w:bCs w:val="0"/>
          <w:color w:val="000000"/>
          <w:sz w:val="28"/>
          <w:szCs w:val="28"/>
          <w:highlight w:val="none"/>
          <w:lang w:eastAsia="zh-CN"/>
        </w:rPr>
        <w:t>“</w:t>
      </w:r>
      <w:r>
        <w:rPr>
          <w:rFonts w:hint="default" w:ascii="Times New Roman" w:hAnsi="Times New Roman" w:eastAsia="方正仿宋_GBK" w:cs="Times New Roman"/>
          <w:b/>
          <w:bCs w:val="0"/>
          <w:color w:val="000000"/>
          <w:sz w:val="28"/>
          <w:szCs w:val="28"/>
          <w:highlight w:val="none"/>
        </w:rPr>
        <w:t>国家企业信用信息公示系统</w:t>
      </w:r>
      <w:r>
        <w:rPr>
          <w:rFonts w:hint="eastAsia" w:ascii="Times New Roman" w:hAnsi="Times New Roman" w:eastAsia="方正仿宋_GBK" w:cs="Times New Roman"/>
          <w:b/>
          <w:bCs w:val="0"/>
          <w:color w:val="000000"/>
          <w:sz w:val="28"/>
          <w:szCs w:val="28"/>
          <w:highlight w:val="none"/>
          <w:lang w:eastAsia="zh-CN"/>
        </w:rPr>
        <w:t>”</w:t>
      </w:r>
      <w:r>
        <w:rPr>
          <w:rFonts w:hint="default" w:ascii="Times New Roman" w:hAnsi="Times New Roman" w:eastAsia="方正仿宋_GBK" w:cs="Times New Roman"/>
          <w:b/>
          <w:bCs w:val="0"/>
          <w:color w:val="000000"/>
          <w:sz w:val="28"/>
          <w:szCs w:val="28"/>
          <w:highlight w:val="none"/>
        </w:rPr>
        <w:t>显示的</w:t>
      </w:r>
      <w:r>
        <w:rPr>
          <w:rFonts w:hint="eastAsia" w:ascii="Times New Roman" w:hAnsi="Times New Roman" w:eastAsia="方正仿宋_GBK" w:cs="Times New Roman"/>
          <w:b/>
          <w:bCs w:val="0"/>
          <w:color w:val="000000"/>
          <w:sz w:val="28"/>
          <w:szCs w:val="28"/>
          <w:highlight w:val="none"/>
          <w:lang w:eastAsia="zh-CN"/>
        </w:rPr>
        <w:t>“</w:t>
      </w:r>
      <w:r>
        <w:rPr>
          <w:rFonts w:hint="default" w:ascii="Times New Roman" w:hAnsi="Times New Roman" w:eastAsia="方正仿宋_GBK" w:cs="Times New Roman"/>
          <w:b/>
          <w:bCs w:val="0"/>
          <w:color w:val="000000"/>
          <w:sz w:val="28"/>
          <w:szCs w:val="28"/>
          <w:highlight w:val="none"/>
        </w:rPr>
        <w:t>主要人员信息</w:t>
      </w:r>
      <w:r>
        <w:rPr>
          <w:rFonts w:hint="eastAsia" w:ascii="Times New Roman" w:hAnsi="Times New Roman" w:eastAsia="方正仿宋_GBK" w:cs="Times New Roman"/>
          <w:b/>
          <w:bCs w:val="0"/>
          <w:color w:val="000000"/>
          <w:sz w:val="28"/>
          <w:szCs w:val="28"/>
          <w:highlight w:val="none"/>
          <w:lang w:eastAsia="zh-CN"/>
        </w:rPr>
        <w:t>”</w:t>
      </w:r>
      <w:r>
        <w:rPr>
          <w:rFonts w:hint="default" w:ascii="Times New Roman" w:hAnsi="Times New Roman" w:eastAsia="方正仿宋_GBK" w:cs="Times New Roman"/>
          <w:b/>
          <w:bCs w:val="0"/>
          <w:color w:val="000000"/>
          <w:sz w:val="28"/>
          <w:szCs w:val="28"/>
          <w:highlight w:val="none"/>
        </w:rPr>
        <w:t>名单截图</w:t>
      </w:r>
      <w:r>
        <w:rPr>
          <w:rFonts w:hint="eastAsia" w:ascii="Times New Roman" w:hAnsi="Times New Roman" w:eastAsia="方正仿宋_GBK" w:cs="Times New Roman"/>
          <w:b w:val="0"/>
          <w:bCs/>
          <w:color w:val="000000"/>
          <w:sz w:val="28"/>
          <w:szCs w:val="28"/>
          <w:highlight w:val="none"/>
          <w:lang w:eastAsia="zh-CN"/>
        </w:rPr>
        <w:t>（</w:t>
      </w:r>
      <w:r>
        <w:rPr>
          <w:rFonts w:hint="eastAsia" w:ascii="Times New Roman" w:hAnsi="Times New Roman" w:eastAsia="方正仿宋_GBK" w:cs="Times New Roman"/>
          <w:b w:val="0"/>
          <w:bCs/>
          <w:color w:val="000000"/>
          <w:sz w:val="28"/>
          <w:szCs w:val="28"/>
          <w:highlight w:val="none"/>
          <w:lang w:val="en-US" w:eastAsia="zh-CN"/>
        </w:rPr>
        <w:t>如无则提供完整报告</w:t>
      </w:r>
      <w:r>
        <w:rPr>
          <w:rFonts w:hint="eastAsia" w:ascii="Times New Roman" w:hAnsi="Times New Roman" w:eastAsia="方正仿宋_GBK" w:cs="Times New Roman"/>
          <w:b w:val="0"/>
          <w:bCs/>
          <w:color w:val="000000"/>
          <w:sz w:val="28"/>
          <w:szCs w:val="28"/>
          <w:highlight w:val="none"/>
          <w:lang w:eastAsia="zh-CN"/>
        </w:rPr>
        <w:t>）</w:t>
      </w:r>
      <w:r>
        <w:rPr>
          <w:rFonts w:hint="default" w:ascii="Times New Roman" w:hAnsi="Times New Roman" w:eastAsia="方正仿宋_GBK" w:cs="Times New Roman"/>
          <w:b w:val="0"/>
          <w:bCs/>
          <w:color w:val="000000"/>
          <w:sz w:val="28"/>
          <w:szCs w:val="28"/>
          <w:highlight w:val="none"/>
        </w:rPr>
        <w:t>，截图</w:t>
      </w:r>
      <w:r>
        <w:rPr>
          <w:rFonts w:hint="eastAsia" w:ascii="Times New Roman" w:hAnsi="Times New Roman" w:eastAsia="方正仿宋_GBK" w:cs="Times New Roman"/>
          <w:b w:val="0"/>
          <w:bCs/>
          <w:color w:val="000000"/>
          <w:sz w:val="28"/>
          <w:szCs w:val="28"/>
          <w:highlight w:val="none"/>
          <w:lang w:val="en-US" w:eastAsia="zh-CN"/>
        </w:rPr>
        <w:t>/报告</w:t>
      </w:r>
      <w:r>
        <w:rPr>
          <w:rFonts w:hint="default" w:ascii="Times New Roman" w:hAnsi="Times New Roman" w:eastAsia="方正仿宋_GBK" w:cs="Times New Roman"/>
          <w:b w:val="0"/>
          <w:bCs/>
          <w:color w:val="000000"/>
          <w:sz w:val="28"/>
          <w:szCs w:val="28"/>
          <w:highlight w:val="none"/>
        </w:rPr>
        <w:t>加盖</w:t>
      </w:r>
      <w:r>
        <w:rPr>
          <w:rFonts w:hint="eastAsia" w:ascii="Times New Roman" w:hAnsi="Times New Roman" w:eastAsia="方正仿宋_GBK" w:cs="Times New Roman"/>
          <w:b w:val="0"/>
          <w:bCs/>
          <w:color w:val="000000"/>
          <w:sz w:val="28"/>
          <w:szCs w:val="28"/>
          <w:highlight w:val="none"/>
          <w:lang w:eastAsia="zh-CN"/>
        </w:rPr>
        <w:t>参选人</w:t>
      </w:r>
      <w:r>
        <w:rPr>
          <w:rFonts w:hint="eastAsia" w:ascii="Times New Roman" w:hAnsi="Times New Roman" w:eastAsia="方正仿宋_GBK" w:cs="Times New Roman"/>
          <w:b w:val="0"/>
          <w:bCs/>
          <w:color w:val="000000"/>
          <w:sz w:val="28"/>
          <w:szCs w:val="28"/>
          <w:highlight w:val="none"/>
          <w:lang w:val="en-US" w:eastAsia="zh-CN"/>
        </w:rPr>
        <w:t>有效</w:t>
      </w:r>
      <w:r>
        <w:rPr>
          <w:rFonts w:hint="default" w:ascii="Times New Roman" w:hAnsi="Times New Roman" w:eastAsia="方正仿宋_GBK" w:cs="Times New Roman"/>
          <w:b w:val="0"/>
          <w:bCs/>
          <w:color w:val="000000"/>
          <w:sz w:val="28"/>
          <w:szCs w:val="28"/>
          <w:highlight w:val="none"/>
        </w:rPr>
        <w:t>印章。</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color w:val="000000"/>
          <w:sz w:val="28"/>
          <w:szCs w:val="28"/>
          <w:highlight w:val="none"/>
          <w:lang w:val="en-US" w:eastAsia="zh-CN"/>
        </w:rPr>
      </w:pPr>
      <w:r>
        <w:rPr>
          <w:rFonts w:hint="eastAsia" w:ascii="Times New Roman" w:hAnsi="Times New Roman" w:eastAsia="方正仿宋_GBK" w:cs="Times New Roman"/>
          <w:color w:val="000000"/>
          <w:sz w:val="28"/>
          <w:szCs w:val="28"/>
          <w:highlight w:val="none"/>
          <w:lang w:eastAsia="zh-CN"/>
        </w:rPr>
        <w:t>参选人</w:t>
      </w:r>
      <w:r>
        <w:rPr>
          <w:rFonts w:hint="default" w:ascii="Times New Roman" w:hAnsi="Times New Roman" w:eastAsia="方正仿宋_GBK" w:cs="Times New Roman"/>
          <w:color w:val="000000"/>
          <w:sz w:val="28"/>
          <w:szCs w:val="28"/>
          <w:highlight w:val="none"/>
        </w:rPr>
        <w:t>（公章）：</w:t>
      </w:r>
      <w:r>
        <w:rPr>
          <w:rFonts w:hint="default" w:ascii="Times New Roman" w:hAnsi="Times New Roman" w:eastAsia="方正仿宋_GBK" w:cs="Times New Roman"/>
          <w:color w:val="000000"/>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b/>
          <w:bCs/>
          <w:color w:val="000000"/>
          <w:sz w:val="32"/>
          <w:szCs w:val="32"/>
          <w:highlight w:val="none"/>
          <w:lang w:val="en-US" w:eastAsia="zh-CN"/>
        </w:rPr>
      </w:pPr>
      <w:r>
        <w:rPr>
          <w:rFonts w:hint="default" w:ascii="Times New Roman" w:hAnsi="Times New Roman" w:eastAsia="方正仿宋_GBK" w:cs="Times New Roman"/>
          <w:color w:val="000000"/>
          <w:sz w:val="28"/>
          <w:szCs w:val="28"/>
          <w:highlight w:val="none"/>
        </w:rPr>
        <w:t>日期：</w:t>
      </w:r>
      <w:r>
        <w:rPr>
          <w:rFonts w:hint="default" w:ascii="Times New Roman" w:hAnsi="Times New Roman" w:eastAsia="方正仿宋_GBK" w:cs="Times New Roman"/>
          <w:color w:val="000000"/>
          <w:sz w:val="28"/>
          <w:szCs w:val="28"/>
          <w:highlight w:val="none"/>
          <w:lang w:val="en-US" w:eastAsia="zh-CN"/>
        </w:rPr>
        <w:t xml:space="preserve">     </w:t>
      </w:r>
      <w:r>
        <w:rPr>
          <w:rFonts w:hint="default" w:ascii="Times New Roman" w:hAnsi="Times New Roman" w:eastAsia="方正仿宋_GBK" w:cs="Times New Roman"/>
          <w:color w:val="000000"/>
          <w:sz w:val="28"/>
          <w:szCs w:val="28"/>
          <w:highlight w:val="none"/>
        </w:rPr>
        <w:t>年</w:t>
      </w:r>
      <w:r>
        <w:rPr>
          <w:rFonts w:hint="default" w:ascii="Times New Roman" w:hAnsi="Times New Roman" w:eastAsia="方正仿宋_GBK" w:cs="Times New Roman"/>
          <w:color w:val="000000"/>
          <w:sz w:val="28"/>
          <w:szCs w:val="28"/>
          <w:highlight w:val="none"/>
          <w:lang w:val="en-US" w:eastAsia="zh-CN"/>
        </w:rPr>
        <w:t xml:space="preserve">   </w:t>
      </w:r>
      <w:r>
        <w:rPr>
          <w:rFonts w:hint="default" w:ascii="Times New Roman" w:hAnsi="Times New Roman" w:eastAsia="方正仿宋_GBK" w:cs="Times New Roman"/>
          <w:color w:val="000000"/>
          <w:sz w:val="28"/>
          <w:szCs w:val="28"/>
          <w:highlight w:val="none"/>
        </w:rPr>
        <w:t>月</w:t>
      </w:r>
      <w:r>
        <w:rPr>
          <w:rFonts w:hint="default" w:ascii="Times New Roman" w:hAnsi="Times New Roman" w:eastAsia="方正仿宋_GBK" w:cs="Times New Roman"/>
          <w:color w:val="000000"/>
          <w:sz w:val="28"/>
          <w:szCs w:val="28"/>
          <w:highlight w:val="none"/>
          <w:lang w:val="en-US" w:eastAsia="zh-CN"/>
        </w:rPr>
        <w:t xml:space="preserve">   </w:t>
      </w:r>
      <w:r>
        <w:rPr>
          <w:rFonts w:hint="default" w:ascii="Times New Roman" w:hAnsi="Times New Roman" w:eastAsia="方正仿宋_GBK" w:cs="Times New Roman"/>
          <w:color w:val="000000"/>
          <w:sz w:val="28"/>
          <w:szCs w:val="28"/>
          <w:highlight w:val="none"/>
        </w:rPr>
        <w:t>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b/>
          <w:bCs/>
          <w:sz w:val="32"/>
          <w:szCs w:val="32"/>
          <w:highlight w:val="none"/>
        </w:rPr>
      </w:pPr>
    </w:p>
    <w:p>
      <w:pPr>
        <w:rPr>
          <w:rFonts w:eastAsia="方正仿宋_GBK"/>
          <w:sz w:val="28"/>
          <w:szCs w:val="28"/>
          <w:highlight w:val="none"/>
        </w:rPr>
      </w:pPr>
      <w:r>
        <w:rPr>
          <w:rFonts w:hint="eastAsia" w:eastAsia="方正仿宋_GBK"/>
          <w:b/>
          <w:bCs/>
          <w:sz w:val="32"/>
          <w:szCs w:val="32"/>
          <w:highlight w:val="none"/>
          <w:lang w:eastAsia="zh-CN"/>
        </w:rPr>
        <w:br w:type="page"/>
      </w:r>
      <w:r>
        <w:rPr>
          <w:rFonts w:hint="eastAsia" w:eastAsia="方正仿宋_GBK"/>
          <w:b/>
          <w:bCs/>
          <w:sz w:val="32"/>
          <w:szCs w:val="32"/>
          <w:highlight w:val="none"/>
          <w:lang w:eastAsia="zh-CN"/>
        </w:rPr>
        <w:t>9.</w:t>
      </w:r>
      <w:r>
        <w:rPr>
          <w:rFonts w:eastAsia="方正仿宋_GBK"/>
          <w:b/>
          <w:bCs/>
          <w:sz w:val="32"/>
          <w:szCs w:val="32"/>
          <w:highlight w:val="none"/>
        </w:rPr>
        <w:t>业绩证明材料</w:t>
      </w:r>
      <w:r>
        <w:rPr>
          <w:rFonts w:eastAsia="方正仿宋_GBK"/>
          <w:b/>
          <w:bCs/>
          <w:sz w:val="28"/>
          <w:szCs w:val="28"/>
          <w:highlight w:val="none"/>
        </w:rPr>
        <w:t>（</w:t>
      </w:r>
      <w:r>
        <w:rPr>
          <w:rFonts w:eastAsia="方正仿宋_GBK"/>
          <w:sz w:val="28"/>
          <w:szCs w:val="28"/>
          <w:highlight w:val="none"/>
        </w:rPr>
        <w:t>不得对合同单价、总价、人数、服务面积、服务时间等关键信息遮挡）</w:t>
      </w:r>
    </w:p>
    <w:p>
      <w:pPr>
        <w:jc w:val="center"/>
        <w:rPr>
          <w:rFonts w:eastAsia="方正黑体_GBK"/>
          <w:b/>
          <w:bCs/>
          <w:sz w:val="36"/>
          <w:szCs w:val="36"/>
          <w:highlight w:val="none"/>
        </w:rPr>
      </w:pPr>
      <w:r>
        <w:rPr>
          <w:rFonts w:eastAsia="方正黑体_GBK"/>
          <w:b/>
          <w:bCs/>
          <w:sz w:val="36"/>
          <w:szCs w:val="36"/>
          <w:highlight w:val="none"/>
        </w:rPr>
        <w:t>业绩证明材料</w:t>
      </w:r>
    </w:p>
    <w:p>
      <w:pPr>
        <w:rPr>
          <w:rFonts w:eastAsia="方正小标宋_GBK"/>
          <w:b/>
          <w:bCs/>
          <w:sz w:val="36"/>
          <w:szCs w:val="36"/>
          <w:highlight w:val="none"/>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6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r>
              <w:rPr>
                <w:rFonts w:eastAsia="方正仿宋_GBK"/>
                <w:kern w:val="0"/>
                <w:sz w:val="28"/>
                <w:szCs w:val="28"/>
                <w:highlight w:val="none"/>
              </w:rPr>
              <w:t>项目名称</w:t>
            </w:r>
          </w:p>
        </w:tc>
        <w:tc>
          <w:tcPr>
            <w:tcW w:w="6406" w:type="dxa"/>
            <w:noWrap w:val="0"/>
            <w:vAlign w:val="center"/>
          </w:tcPr>
          <w:p>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r>
              <w:rPr>
                <w:rFonts w:hint="eastAsia" w:eastAsia="方正仿宋_GBK"/>
                <w:kern w:val="0"/>
                <w:sz w:val="28"/>
                <w:szCs w:val="28"/>
                <w:highlight w:val="none"/>
                <w:lang w:val="en-US" w:eastAsia="zh-CN"/>
              </w:rPr>
              <w:t>合作方</w:t>
            </w:r>
            <w:r>
              <w:rPr>
                <w:rFonts w:eastAsia="方正仿宋_GBK"/>
                <w:kern w:val="0"/>
                <w:sz w:val="28"/>
                <w:szCs w:val="28"/>
                <w:highlight w:val="none"/>
              </w:rPr>
              <w:t>名称</w:t>
            </w:r>
          </w:p>
        </w:tc>
        <w:tc>
          <w:tcPr>
            <w:tcW w:w="6406" w:type="dxa"/>
            <w:noWrap w:val="0"/>
            <w:vAlign w:val="center"/>
          </w:tcPr>
          <w:p>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r>
              <w:rPr>
                <w:rFonts w:hint="eastAsia" w:eastAsia="方正仿宋_GBK"/>
                <w:kern w:val="0"/>
                <w:sz w:val="28"/>
                <w:szCs w:val="28"/>
                <w:highlight w:val="none"/>
                <w:lang w:val="en-US" w:eastAsia="zh-CN"/>
              </w:rPr>
              <w:t>合作方</w:t>
            </w:r>
            <w:r>
              <w:rPr>
                <w:rFonts w:eastAsia="方正仿宋_GBK"/>
                <w:kern w:val="0"/>
                <w:sz w:val="28"/>
                <w:szCs w:val="28"/>
                <w:highlight w:val="none"/>
              </w:rPr>
              <w:t>地址</w:t>
            </w:r>
          </w:p>
        </w:tc>
        <w:tc>
          <w:tcPr>
            <w:tcW w:w="6406" w:type="dxa"/>
            <w:noWrap w:val="0"/>
            <w:vAlign w:val="center"/>
          </w:tcPr>
          <w:p>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r>
              <w:rPr>
                <w:rFonts w:hint="eastAsia" w:eastAsia="方正仿宋_GBK"/>
                <w:kern w:val="0"/>
                <w:sz w:val="28"/>
                <w:szCs w:val="28"/>
                <w:highlight w:val="none"/>
                <w:lang w:val="en-US" w:eastAsia="zh-CN"/>
              </w:rPr>
              <w:t>合作方</w:t>
            </w:r>
            <w:r>
              <w:rPr>
                <w:rFonts w:eastAsia="方正仿宋_GBK"/>
                <w:kern w:val="0"/>
                <w:sz w:val="28"/>
                <w:szCs w:val="28"/>
                <w:highlight w:val="none"/>
              </w:rPr>
              <w:t>电话</w:t>
            </w:r>
          </w:p>
        </w:tc>
        <w:tc>
          <w:tcPr>
            <w:tcW w:w="6406" w:type="dxa"/>
            <w:noWrap w:val="0"/>
            <w:vAlign w:val="center"/>
          </w:tcPr>
          <w:p>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r>
              <w:rPr>
                <w:rFonts w:eastAsia="方正仿宋_GBK"/>
                <w:kern w:val="0"/>
                <w:sz w:val="28"/>
                <w:szCs w:val="28"/>
                <w:highlight w:val="none"/>
              </w:rPr>
              <w:t>合同价格</w:t>
            </w:r>
          </w:p>
        </w:tc>
        <w:tc>
          <w:tcPr>
            <w:tcW w:w="6406" w:type="dxa"/>
            <w:noWrap w:val="0"/>
            <w:vAlign w:val="center"/>
          </w:tcPr>
          <w:p>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r>
              <w:rPr>
                <w:rFonts w:eastAsia="方正仿宋_GBK"/>
                <w:kern w:val="0"/>
                <w:sz w:val="28"/>
                <w:szCs w:val="28"/>
                <w:highlight w:val="none"/>
              </w:rPr>
              <w:t>服务开始时间</w:t>
            </w:r>
          </w:p>
        </w:tc>
        <w:tc>
          <w:tcPr>
            <w:tcW w:w="6406" w:type="dxa"/>
            <w:noWrap w:val="0"/>
            <w:vAlign w:val="center"/>
          </w:tcPr>
          <w:p>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r>
              <w:rPr>
                <w:rFonts w:eastAsia="方正仿宋_GBK"/>
                <w:kern w:val="0"/>
                <w:sz w:val="28"/>
                <w:szCs w:val="28"/>
                <w:highlight w:val="none"/>
              </w:rPr>
              <w:t>服务结束时间</w:t>
            </w:r>
          </w:p>
        </w:tc>
        <w:tc>
          <w:tcPr>
            <w:tcW w:w="6406" w:type="dxa"/>
            <w:noWrap w:val="0"/>
            <w:vAlign w:val="center"/>
          </w:tcPr>
          <w:p>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r>
              <w:rPr>
                <w:rFonts w:eastAsia="方正仿宋_GBK"/>
                <w:kern w:val="0"/>
                <w:sz w:val="28"/>
                <w:szCs w:val="28"/>
                <w:highlight w:val="none"/>
              </w:rPr>
              <w:t>服务内容</w:t>
            </w:r>
          </w:p>
        </w:tc>
        <w:tc>
          <w:tcPr>
            <w:tcW w:w="6406" w:type="dxa"/>
            <w:noWrap w:val="0"/>
            <w:vAlign w:val="center"/>
          </w:tcPr>
          <w:p>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r>
              <w:rPr>
                <w:rFonts w:eastAsia="方正仿宋_GBK"/>
                <w:kern w:val="0"/>
                <w:sz w:val="28"/>
                <w:szCs w:val="28"/>
                <w:highlight w:val="none"/>
              </w:rPr>
              <w:t>服务质量</w:t>
            </w:r>
          </w:p>
        </w:tc>
        <w:tc>
          <w:tcPr>
            <w:tcW w:w="6406" w:type="dxa"/>
            <w:noWrap w:val="0"/>
            <w:vAlign w:val="center"/>
          </w:tcPr>
          <w:p>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r>
              <w:rPr>
                <w:rFonts w:eastAsia="方正仿宋_GBK"/>
                <w:kern w:val="0"/>
                <w:sz w:val="28"/>
                <w:szCs w:val="28"/>
                <w:highlight w:val="none"/>
              </w:rPr>
              <w:t>项目描述</w:t>
            </w:r>
          </w:p>
        </w:tc>
        <w:tc>
          <w:tcPr>
            <w:tcW w:w="6406" w:type="dxa"/>
            <w:noWrap w:val="0"/>
            <w:vAlign w:val="center"/>
          </w:tcPr>
          <w:p>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r>
              <w:rPr>
                <w:rFonts w:eastAsia="方正仿宋_GBK"/>
                <w:kern w:val="0"/>
                <w:sz w:val="28"/>
                <w:szCs w:val="28"/>
                <w:highlight w:val="none"/>
              </w:rPr>
              <w:t>备注</w:t>
            </w:r>
          </w:p>
        </w:tc>
        <w:tc>
          <w:tcPr>
            <w:tcW w:w="6406" w:type="dxa"/>
            <w:noWrap w:val="0"/>
            <w:vAlign w:val="center"/>
          </w:tcPr>
          <w:p>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p>
        </w:tc>
      </w:tr>
    </w:tbl>
    <w:p>
      <w:pPr>
        <w:widowControl/>
        <w:snapToGrid w:val="0"/>
        <w:spacing w:before="100" w:beforeAutospacing="1" w:after="100" w:afterAutospacing="1" w:line="252" w:lineRule="atLeast"/>
        <w:jc w:val="left"/>
        <w:textAlignment w:val="bottom"/>
        <w:rPr>
          <w:rFonts w:eastAsia="方正仿宋_GBK"/>
          <w:kern w:val="0"/>
          <w:sz w:val="28"/>
          <w:szCs w:val="28"/>
          <w:highlight w:val="none"/>
        </w:rPr>
      </w:pPr>
      <w:r>
        <w:rPr>
          <w:rFonts w:eastAsia="方正仿宋_GBK"/>
          <w:kern w:val="0"/>
          <w:sz w:val="28"/>
          <w:szCs w:val="28"/>
          <w:highlight w:val="none"/>
        </w:rPr>
        <w:t>注：每个业绩需提供合同复印件并加盖鲜章并单独填写此表。</w:t>
      </w:r>
    </w:p>
    <w:p>
      <w:pPr>
        <w:widowControl/>
        <w:snapToGrid w:val="0"/>
        <w:spacing w:before="100" w:beforeAutospacing="1" w:after="100" w:afterAutospacing="1" w:line="252" w:lineRule="atLeast"/>
        <w:ind w:firstLine="560" w:firstLineChars="200"/>
        <w:jc w:val="left"/>
        <w:textAlignment w:val="bottom"/>
        <w:rPr>
          <w:rFonts w:eastAsia="方正仿宋_GBK"/>
          <w:kern w:val="0"/>
          <w:sz w:val="28"/>
          <w:szCs w:val="28"/>
          <w:highlight w:val="none"/>
        </w:rPr>
        <w:sectPr>
          <w:headerReference r:id="rId13" w:type="default"/>
          <w:footerReference r:id="rId14" w:type="default"/>
          <w:pgSz w:w="11906" w:h="16838"/>
          <w:pgMar w:top="1440" w:right="1800" w:bottom="1440" w:left="1800" w:header="851" w:footer="992" w:gutter="0"/>
          <w:pgNumType w:fmt="decimal"/>
          <w:cols w:space="720" w:num="1"/>
          <w:docGrid w:type="lines" w:linePitch="312" w:charSpace="0"/>
        </w:sectPr>
      </w:pPr>
    </w:p>
    <w:p>
      <w:pPr>
        <w:rPr>
          <w:rFonts w:eastAsia="方正仿宋_GBK"/>
          <w:sz w:val="28"/>
          <w:szCs w:val="28"/>
          <w:highlight w:val="none"/>
        </w:rPr>
      </w:pPr>
    </w:p>
    <w:p>
      <w:pPr>
        <w:rPr>
          <w:rFonts w:eastAsia="方正仿宋_GBK"/>
          <w:b/>
          <w:bCs/>
          <w:sz w:val="32"/>
          <w:szCs w:val="32"/>
          <w:highlight w:val="none"/>
        </w:rPr>
      </w:pPr>
      <w:r>
        <w:rPr>
          <w:rFonts w:hint="eastAsia" w:eastAsia="方正仿宋_GBK"/>
          <w:b/>
          <w:bCs/>
          <w:sz w:val="32"/>
          <w:szCs w:val="32"/>
          <w:highlight w:val="none"/>
          <w:lang w:eastAsia="zh-CN"/>
        </w:rPr>
        <w:t>10.</w:t>
      </w:r>
      <w:r>
        <w:rPr>
          <w:rFonts w:eastAsia="方正仿宋_GBK"/>
          <w:b/>
          <w:bCs/>
          <w:sz w:val="32"/>
          <w:szCs w:val="32"/>
          <w:highlight w:val="none"/>
        </w:rPr>
        <w:t>参与项目人员资格证件</w:t>
      </w:r>
    </w:p>
    <w:p>
      <w:pPr>
        <w:rPr>
          <w:rFonts w:eastAsia="方正仿宋_GBK"/>
          <w:sz w:val="28"/>
          <w:szCs w:val="28"/>
          <w:highlight w:val="none"/>
        </w:rPr>
      </w:pPr>
    </w:p>
    <w:p>
      <w:pPr>
        <w:widowControl/>
        <w:spacing w:before="100" w:beforeAutospacing="1" w:after="100" w:afterAutospacing="1" w:line="252" w:lineRule="atLeast"/>
        <w:jc w:val="center"/>
        <w:rPr>
          <w:rFonts w:eastAsia="方正仿宋_GBK"/>
          <w:bCs/>
          <w:kern w:val="0"/>
          <w:sz w:val="28"/>
          <w:szCs w:val="28"/>
          <w:highlight w:val="none"/>
        </w:rPr>
      </w:pPr>
      <w:r>
        <w:rPr>
          <w:rFonts w:eastAsia="方正仿宋_GBK"/>
          <w:bCs/>
          <w:kern w:val="0"/>
          <w:sz w:val="28"/>
          <w:szCs w:val="28"/>
          <w:highlight w:val="none"/>
        </w:rPr>
        <w:t xml:space="preserve"> </w:t>
      </w:r>
      <w:r>
        <w:rPr>
          <w:rFonts w:eastAsia="方正小标宋_GBK"/>
          <w:b/>
          <w:bCs/>
          <w:sz w:val="36"/>
          <w:szCs w:val="36"/>
          <w:highlight w:val="none"/>
        </w:rPr>
        <w:t>拟投入本项目人员名单</w:t>
      </w:r>
    </w:p>
    <w:tbl>
      <w:tblPr>
        <w:tblStyle w:val="23"/>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2174"/>
        <w:gridCol w:w="1462"/>
        <w:gridCol w:w="2340"/>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293" w:type="dxa"/>
            <w:noWrap w:val="0"/>
            <w:vAlign w:val="center"/>
          </w:tcPr>
          <w:p>
            <w:pPr>
              <w:widowControl/>
              <w:spacing w:before="100" w:beforeAutospacing="1" w:after="100" w:afterAutospacing="1" w:line="252" w:lineRule="atLeast"/>
              <w:jc w:val="center"/>
              <w:rPr>
                <w:rFonts w:eastAsia="方正仿宋_GBK"/>
                <w:b/>
                <w:kern w:val="0"/>
                <w:sz w:val="28"/>
                <w:szCs w:val="28"/>
                <w:highlight w:val="none"/>
              </w:rPr>
            </w:pPr>
            <w:r>
              <w:rPr>
                <w:rFonts w:eastAsia="方正仿宋_GBK"/>
                <w:b/>
                <w:kern w:val="0"/>
                <w:sz w:val="28"/>
                <w:szCs w:val="28"/>
                <w:highlight w:val="none"/>
              </w:rPr>
              <w:t>姓名</w:t>
            </w:r>
          </w:p>
        </w:tc>
        <w:tc>
          <w:tcPr>
            <w:tcW w:w="2174" w:type="dxa"/>
            <w:noWrap w:val="0"/>
            <w:vAlign w:val="center"/>
          </w:tcPr>
          <w:p>
            <w:pPr>
              <w:widowControl/>
              <w:spacing w:before="100" w:beforeAutospacing="1" w:after="100" w:afterAutospacing="1" w:line="252" w:lineRule="atLeast"/>
              <w:jc w:val="center"/>
              <w:rPr>
                <w:rFonts w:eastAsia="方正仿宋_GBK"/>
                <w:b/>
                <w:kern w:val="0"/>
                <w:sz w:val="28"/>
                <w:szCs w:val="28"/>
                <w:highlight w:val="none"/>
              </w:rPr>
            </w:pPr>
            <w:r>
              <w:rPr>
                <w:rFonts w:eastAsia="方正仿宋_GBK"/>
                <w:b/>
                <w:kern w:val="0"/>
                <w:sz w:val="28"/>
                <w:szCs w:val="28"/>
                <w:highlight w:val="none"/>
              </w:rPr>
              <w:t>资质证书/职称</w:t>
            </w:r>
          </w:p>
        </w:tc>
        <w:tc>
          <w:tcPr>
            <w:tcW w:w="1462" w:type="dxa"/>
            <w:noWrap w:val="0"/>
            <w:vAlign w:val="center"/>
          </w:tcPr>
          <w:p>
            <w:pPr>
              <w:widowControl/>
              <w:spacing w:before="100" w:beforeAutospacing="1" w:after="100" w:afterAutospacing="1" w:line="252" w:lineRule="atLeast"/>
              <w:jc w:val="center"/>
              <w:rPr>
                <w:rFonts w:eastAsia="方正仿宋_GBK"/>
                <w:b/>
                <w:kern w:val="0"/>
                <w:sz w:val="28"/>
                <w:szCs w:val="28"/>
                <w:highlight w:val="none"/>
              </w:rPr>
            </w:pPr>
            <w:r>
              <w:rPr>
                <w:rFonts w:eastAsia="方正仿宋_GBK"/>
                <w:b/>
                <w:kern w:val="0"/>
                <w:sz w:val="28"/>
                <w:szCs w:val="28"/>
                <w:highlight w:val="none"/>
              </w:rPr>
              <w:t>专业类别</w:t>
            </w:r>
          </w:p>
        </w:tc>
        <w:tc>
          <w:tcPr>
            <w:tcW w:w="2340" w:type="dxa"/>
            <w:noWrap w:val="0"/>
            <w:vAlign w:val="center"/>
          </w:tcPr>
          <w:p>
            <w:pPr>
              <w:widowControl/>
              <w:spacing w:before="100" w:beforeAutospacing="1" w:after="100" w:afterAutospacing="1" w:line="252" w:lineRule="atLeast"/>
              <w:jc w:val="center"/>
              <w:rPr>
                <w:rFonts w:eastAsia="方正仿宋_GBK"/>
                <w:b/>
                <w:kern w:val="0"/>
                <w:sz w:val="28"/>
                <w:szCs w:val="28"/>
                <w:highlight w:val="none"/>
              </w:rPr>
            </w:pPr>
            <w:r>
              <w:rPr>
                <w:rFonts w:eastAsia="方正仿宋_GBK"/>
                <w:b/>
                <w:kern w:val="0"/>
                <w:sz w:val="28"/>
                <w:szCs w:val="28"/>
                <w:highlight w:val="none"/>
              </w:rPr>
              <w:t>拟在本项目任职</w:t>
            </w:r>
          </w:p>
        </w:tc>
        <w:tc>
          <w:tcPr>
            <w:tcW w:w="2408" w:type="dxa"/>
            <w:noWrap w:val="0"/>
            <w:vAlign w:val="center"/>
          </w:tcPr>
          <w:p>
            <w:pPr>
              <w:widowControl/>
              <w:spacing w:before="100" w:beforeAutospacing="1" w:after="100" w:afterAutospacing="1" w:line="252" w:lineRule="atLeast"/>
              <w:jc w:val="center"/>
              <w:rPr>
                <w:rFonts w:eastAsia="方正仿宋_GBK"/>
                <w:b/>
                <w:kern w:val="0"/>
                <w:sz w:val="28"/>
                <w:szCs w:val="28"/>
                <w:highlight w:val="none"/>
              </w:rPr>
            </w:pPr>
            <w:r>
              <w:rPr>
                <w:rFonts w:eastAsia="方正仿宋_GBK"/>
                <w:b/>
                <w:kern w:val="0"/>
                <w:sz w:val="28"/>
                <w:szCs w:val="28"/>
                <w:highlight w:val="none"/>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293" w:type="dxa"/>
            <w:noWrap w:val="0"/>
            <w:vAlign w:val="top"/>
          </w:tcPr>
          <w:p>
            <w:pPr>
              <w:widowControl/>
              <w:spacing w:before="100" w:beforeAutospacing="1" w:after="100" w:afterAutospacing="1" w:line="252" w:lineRule="atLeast"/>
              <w:jc w:val="center"/>
              <w:rPr>
                <w:rFonts w:eastAsia="方正仿宋_GBK"/>
                <w:bCs/>
                <w:kern w:val="0"/>
                <w:sz w:val="28"/>
                <w:szCs w:val="28"/>
                <w:highlight w:val="none"/>
              </w:rPr>
            </w:pPr>
          </w:p>
        </w:tc>
        <w:tc>
          <w:tcPr>
            <w:tcW w:w="2174" w:type="dxa"/>
            <w:noWrap w:val="0"/>
            <w:vAlign w:val="top"/>
          </w:tcPr>
          <w:p>
            <w:pPr>
              <w:widowControl/>
              <w:spacing w:before="100" w:beforeAutospacing="1" w:after="100" w:afterAutospacing="1" w:line="252" w:lineRule="atLeast"/>
              <w:jc w:val="center"/>
              <w:rPr>
                <w:rFonts w:eastAsia="方正仿宋_GBK"/>
                <w:bCs/>
                <w:kern w:val="0"/>
                <w:sz w:val="28"/>
                <w:szCs w:val="28"/>
                <w:highlight w:val="none"/>
              </w:rPr>
            </w:pPr>
          </w:p>
        </w:tc>
        <w:tc>
          <w:tcPr>
            <w:tcW w:w="1462" w:type="dxa"/>
            <w:noWrap w:val="0"/>
            <w:vAlign w:val="top"/>
          </w:tcPr>
          <w:p>
            <w:pPr>
              <w:widowControl/>
              <w:spacing w:before="100" w:beforeAutospacing="1" w:after="100" w:afterAutospacing="1" w:line="252" w:lineRule="atLeast"/>
              <w:jc w:val="center"/>
              <w:rPr>
                <w:rFonts w:eastAsia="方正仿宋_GBK"/>
                <w:bCs/>
                <w:kern w:val="0"/>
                <w:sz w:val="28"/>
                <w:szCs w:val="28"/>
                <w:highlight w:val="none"/>
              </w:rPr>
            </w:pPr>
          </w:p>
        </w:tc>
        <w:tc>
          <w:tcPr>
            <w:tcW w:w="2340" w:type="dxa"/>
            <w:noWrap w:val="0"/>
            <w:vAlign w:val="top"/>
          </w:tcPr>
          <w:p>
            <w:pPr>
              <w:widowControl/>
              <w:spacing w:before="100" w:beforeAutospacing="1" w:after="100" w:afterAutospacing="1" w:line="252" w:lineRule="atLeast"/>
              <w:jc w:val="center"/>
              <w:rPr>
                <w:rFonts w:eastAsia="方正仿宋_GBK"/>
                <w:bCs/>
                <w:kern w:val="0"/>
                <w:sz w:val="28"/>
                <w:szCs w:val="28"/>
                <w:highlight w:val="none"/>
              </w:rPr>
            </w:pPr>
          </w:p>
        </w:tc>
        <w:tc>
          <w:tcPr>
            <w:tcW w:w="2408" w:type="dxa"/>
            <w:noWrap w:val="0"/>
            <w:vAlign w:val="top"/>
          </w:tcPr>
          <w:p>
            <w:pPr>
              <w:widowControl/>
              <w:spacing w:before="100" w:beforeAutospacing="1" w:after="100" w:afterAutospacing="1" w:line="252" w:lineRule="atLeast"/>
              <w:jc w:val="center"/>
              <w:rPr>
                <w:rFonts w:eastAsia="方正仿宋_GBK"/>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293" w:type="dxa"/>
            <w:noWrap w:val="0"/>
            <w:vAlign w:val="top"/>
          </w:tcPr>
          <w:p>
            <w:pPr>
              <w:widowControl/>
              <w:spacing w:before="100" w:beforeAutospacing="1" w:after="100" w:afterAutospacing="1" w:line="252" w:lineRule="atLeast"/>
              <w:jc w:val="center"/>
              <w:rPr>
                <w:rFonts w:eastAsia="方正仿宋_GBK"/>
                <w:bCs/>
                <w:kern w:val="0"/>
                <w:sz w:val="28"/>
                <w:szCs w:val="28"/>
                <w:highlight w:val="none"/>
              </w:rPr>
            </w:pPr>
          </w:p>
        </w:tc>
        <w:tc>
          <w:tcPr>
            <w:tcW w:w="2174" w:type="dxa"/>
            <w:noWrap w:val="0"/>
            <w:vAlign w:val="top"/>
          </w:tcPr>
          <w:p>
            <w:pPr>
              <w:widowControl/>
              <w:spacing w:before="100" w:beforeAutospacing="1" w:after="100" w:afterAutospacing="1" w:line="252" w:lineRule="atLeast"/>
              <w:jc w:val="center"/>
              <w:rPr>
                <w:rFonts w:eastAsia="方正仿宋_GBK"/>
                <w:bCs/>
                <w:kern w:val="0"/>
                <w:sz w:val="28"/>
                <w:szCs w:val="28"/>
                <w:highlight w:val="none"/>
              </w:rPr>
            </w:pPr>
          </w:p>
        </w:tc>
        <w:tc>
          <w:tcPr>
            <w:tcW w:w="1462" w:type="dxa"/>
            <w:noWrap w:val="0"/>
            <w:vAlign w:val="top"/>
          </w:tcPr>
          <w:p>
            <w:pPr>
              <w:widowControl/>
              <w:spacing w:before="100" w:beforeAutospacing="1" w:after="100" w:afterAutospacing="1" w:line="252" w:lineRule="atLeast"/>
              <w:jc w:val="center"/>
              <w:rPr>
                <w:rFonts w:eastAsia="方正仿宋_GBK"/>
                <w:bCs/>
                <w:kern w:val="0"/>
                <w:sz w:val="28"/>
                <w:szCs w:val="28"/>
                <w:highlight w:val="none"/>
              </w:rPr>
            </w:pPr>
          </w:p>
        </w:tc>
        <w:tc>
          <w:tcPr>
            <w:tcW w:w="2340" w:type="dxa"/>
            <w:noWrap w:val="0"/>
            <w:vAlign w:val="top"/>
          </w:tcPr>
          <w:p>
            <w:pPr>
              <w:widowControl/>
              <w:spacing w:before="100" w:beforeAutospacing="1" w:after="100" w:afterAutospacing="1" w:line="252" w:lineRule="atLeast"/>
              <w:jc w:val="center"/>
              <w:rPr>
                <w:rFonts w:eastAsia="方正仿宋_GBK"/>
                <w:bCs/>
                <w:kern w:val="0"/>
                <w:sz w:val="28"/>
                <w:szCs w:val="28"/>
                <w:highlight w:val="none"/>
              </w:rPr>
            </w:pPr>
          </w:p>
        </w:tc>
        <w:tc>
          <w:tcPr>
            <w:tcW w:w="2408" w:type="dxa"/>
            <w:noWrap w:val="0"/>
            <w:vAlign w:val="top"/>
          </w:tcPr>
          <w:p>
            <w:pPr>
              <w:widowControl/>
              <w:spacing w:before="100" w:beforeAutospacing="1" w:after="100" w:afterAutospacing="1" w:line="252" w:lineRule="atLeast"/>
              <w:jc w:val="center"/>
              <w:rPr>
                <w:rFonts w:eastAsia="方正仿宋_GBK"/>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293" w:type="dxa"/>
            <w:noWrap w:val="0"/>
            <w:vAlign w:val="top"/>
          </w:tcPr>
          <w:p>
            <w:pPr>
              <w:widowControl/>
              <w:spacing w:before="100" w:beforeAutospacing="1" w:after="100" w:afterAutospacing="1" w:line="252" w:lineRule="atLeast"/>
              <w:jc w:val="center"/>
              <w:rPr>
                <w:rFonts w:eastAsia="方正仿宋_GBK"/>
                <w:bCs/>
                <w:kern w:val="0"/>
                <w:sz w:val="28"/>
                <w:szCs w:val="28"/>
                <w:highlight w:val="none"/>
              </w:rPr>
            </w:pPr>
          </w:p>
        </w:tc>
        <w:tc>
          <w:tcPr>
            <w:tcW w:w="2174" w:type="dxa"/>
            <w:noWrap w:val="0"/>
            <w:vAlign w:val="top"/>
          </w:tcPr>
          <w:p>
            <w:pPr>
              <w:widowControl/>
              <w:spacing w:before="100" w:beforeAutospacing="1" w:after="100" w:afterAutospacing="1" w:line="252" w:lineRule="atLeast"/>
              <w:jc w:val="center"/>
              <w:rPr>
                <w:rFonts w:eastAsia="方正仿宋_GBK"/>
                <w:bCs/>
                <w:kern w:val="0"/>
                <w:sz w:val="28"/>
                <w:szCs w:val="28"/>
                <w:highlight w:val="none"/>
              </w:rPr>
            </w:pPr>
          </w:p>
        </w:tc>
        <w:tc>
          <w:tcPr>
            <w:tcW w:w="1462" w:type="dxa"/>
            <w:noWrap w:val="0"/>
            <w:vAlign w:val="top"/>
          </w:tcPr>
          <w:p>
            <w:pPr>
              <w:widowControl/>
              <w:spacing w:before="100" w:beforeAutospacing="1" w:after="100" w:afterAutospacing="1" w:line="252" w:lineRule="atLeast"/>
              <w:jc w:val="center"/>
              <w:rPr>
                <w:rFonts w:eastAsia="方正仿宋_GBK"/>
                <w:bCs/>
                <w:kern w:val="0"/>
                <w:sz w:val="28"/>
                <w:szCs w:val="28"/>
                <w:highlight w:val="none"/>
              </w:rPr>
            </w:pPr>
          </w:p>
        </w:tc>
        <w:tc>
          <w:tcPr>
            <w:tcW w:w="2340" w:type="dxa"/>
            <w:noWrap w:val="0"/>
            <w:vAlign w:val="top"/>
          </w:tcPr>
          <w:p>
            <w:pPr>
              <w:widowControl/>
              <w:spacing w:before="100" w:beforeAutospacing="1" w:after="100" w:afterAutospacing="1" w:line="252" w:lineRule="atLeast"/>
              <w:jc w:val="center"/>
              <w:rPr>
                <w:rFonts w:eastAsia="方正仿宋_GBK"/>
                <w:bCs/>
                <w:kern w:val="0"/>
                <w:sz w:val="28"/>
                <w:szCs w:val="28"/>
                <w:highlight w:val="none"/>
              </w:rPr>
            </w:pPr>
          </w:p>
        </w:tc>
        <w:tc>
          <w:tcPr>
            <w:tcW w:w="2408" w:type="dxa"/>
            <w:noWrap w:val="0"/>
            <w:vAlign w:val="top"/>
          </w:tcPr>
          <w:p>
            <w:pPr>
              <w:widowControl/>
              <w:spacing w:before="100" w:beforeAutospacing="1" w:after="100" w:afterAutospacing="1" w:line="252" w:lineRule="atLeast"/>
              <w:jc w:val="center"/>
              <w:rPr>
                <w:rFonts w:eastAsia="方正仿宋_GBK"/>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293" w:type="dxa"/>
            <w:noWrap w:val="0"/>
            <w:vAlign w:val="top"/>
          </w:tcPr>
          <w:p>
            <w:pPr>
              <w:widowControl/>
              <w:spacing w:before="100" w:beforeAutospacing="1" w:after="100" w:afterAutospacing="1" w:line="252" w:lineRule="atLeast"/>
              <w:jc w:val="center"/>
              <w:rPr>
                <w:rFonts w:eastAsia="方正仿宋_GBK"/>
                <w:bCs/>
                <w:kern w:val="0"/>
                <w:sz w:val="28"/>
                <w:szCs w:val="28"/>
                <w:highlight w:val="none"/>
              </w:rPr>
            </w:pPr>
          </w:p>
        </w:tc>
        <w:tc>
          <w:tcPr>
            <w:tcW w:w="2174" w:type="dxa"/>
            <w:noWrap w:val="0"/>
            <w:vAlign w:val="top"/>
          </w:tcPr>
          <w:p>
            <w:pPr>
              <w:widowControl/>
              <w:spacing w:before="100" w:beforeAutospacing="1" w:after="100" w:afterAutospacing="1" w:line="252" w:lineRule="atLeast"/>
              <w:jc w:val="center"/>
              <w:rPr>
                <w:rFonts w:eastAsia="方正仿宋_GBK"/>
                <w:bCs/>
                <w:kern w:val="0"/>
                <w:sz w:val="28"/>
                <w:szCs w:val="28"/>
                <w:highlight w:val="none"/>
              </w:rPr>
            </w:pPr>
          </w:p>
        </w:tc>
        <w:tc>
          <w:tcPr>
            <w:tcW w:w="1462" w:type="dxa"/>
            <w:noWrap w:val="0"/>
            <w:vAlign w:val="top"/>
          </w:tcPr>
          <w:p>
            <w:pPr>
              <w:widowControl/>
              <w:spacing w:before="100" w:beforeAutospacing="1" w:after="100" w:afterAutospacing="1" w:line="252" w:lineRule="atLeast"/>
              <w:jc w:val="center"/>
              <w:rPr>
                <w:rFonts w:eastAsia="方正仿宋_GBK"/>
                <w:bCs/>
                <w:kern w:val="0"/>
                <w:sz w:val="28"/>
                <w:szCs w:val="28"/>
                <w:highlight w:val="none"/>
              </w:rPr>
            </w:pPr>
          </w:p>
        </w:tc>
        <w:tc>
          <w:tcPr>
            <w:tcW w:w="2340" w:type="dxa"/>
            <w:noWrap w:val="0"/>
            <w:vAlign w:val="top"/>
          </w:tcPr>
          <w:p>
            <w:pPr>
              <w:widowControl/>
              <w:spacing w:before="100" w:beforeAutospacing="1" w:after="100" w:afterAutospacing="1" w:line="252" w:lineRule="atLeast"/>
              <w:jc w:val="center"/>
              <w:rPr>
                <w:rFonts w:eastAsia="方正仿宋_GBK"/>
                <w:bCs/>
                <w:kern w:val="0"/>
                <w:sz w:val="28"/>
                <w:szCs w:val="28"/>
                <w:highlight w:val="none"/>
              </w:rPr>
            </w:pPr>
          </w:p>
        </w:tc>
        <w:tc>
          <w:tcPr>
            <w:tcW w:w="2408" w:type="dxa"/>
            <w:noWrap w:val="0"/>
            <w:vAlign w:val="top"/>
          </w:tcPr>
          <w:p>
            <w:pPr>
              <w:widowControl/>
              <w:spacing w:before="100" w:beforeAutospacing="1" w:after="100" w:afterAutospacing="1" w:line="252" w:lineRule="atLeast"/>
              <w:jc w:val="center"/>
              <w:rPr>
                <w:rFonts w:eastAsia="方正仿宋_GBK"/>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293" w:type="dxa"/>
            <w:noWrap w:val="0"/>
            <w:vAlign w:val="top"/>
          </w:tcPr>
          <w:p>
            <w:pPr>
              <w:widowControl/>
              <w:spacing w:before="100" w:beforeAutospacing="1" w:after="100" w:afterAutospacing="1" w:line="252" w:lineRule="atLeast"/>
              <w:jc w:val="center"/>
              <w:rPr>
                <w:rFonts w:eastAsia="方正仿宋_GBK"/>
                <w:bCs/>
                <w:kern w:val="0"/>
                <w:sz w:val="28"/>
                <w:szCs w:val="28"/>
                <w:highlight w:val="none"/>
              </w:rPr>
            </w:pPr>
          </w:p>
        </w:tc>
        <w:tc>
          <w:tcPr>
            <w:tcW w:w="2174" w:type="dxa"/>
            <w:noWrap w:val="0"/>
            <w:vAlign w:val="top"/>
          </w:tcPr>
          <w:p>
            <w:pPr>
              <w:widowControl/>
              <w:spacing w:before="100" w:beforeAutospacing="1" w:after="100" w:afterAutospacing="1" w:line="252" w:lineRule="atLeast"/>
              <w:jc w:val="center"/>
              <w:rPr>
                <w:rFonts w:eastAsia="方正仿宋_GBK"/>
                <w:bCs/>
                <w:kern w:val="0"/>
                <w:sz w:val="28"/>
                <w:szCs w:val="28"/>
                <w:highlight w:val="none"/>
              </w:rPr>
            </w:pPr>
          </w:p>
        </w:tc>
        <w:tc>
          <w:tcPr>
            <w:tcW w:w="1462" w:type="dxa"/>
            <w:noWrap w:val="0"/>
            <w:vAlign w:val="top"/>
          </w:tcPr>
          <w:p>
            <w:pPr>
              <w:widowControl/>
              <w:spacing w:before="100" w:beforeAutospacing="1" w:after="100" w:afterAutospacing="1" w:line="252" w:lineRule="atLeast"/>
              <w:jc w:val="center"/>
              <w:rPr>
                <w:rFonts w:eastAsia="方正仿宋_GBK"/>
                <w:bCs/>
                <w:kern w:val="0"/>
                <w:sz w:val="28"/>
                <w:szCs w:val="28"/>
                <w:highlight w:val="none"/>
              </w:rPr>
            </w:pPr>
          </w:p>
        </w:tc>
        <w:tc>
          <w:tcPr>
            <w:tcW w:w="2340" w:type="dxa"/>
            <w:noWrap w:val="0"/>
            <w:vAlign w:val="top"/>
          </w:tcPr>
          <w:p>
            <w:pPr>
              <w:widowControl/>
              <w:spacing w:before="100" w:beforeAutospacing="1" w:after="100" w:afterAutospacing="1" w:line="252" w:lineRule="atLeast"/>
              <w:jc w:val="center"/>
              <w:rPr>
                <w:rFonts w:eastAsia="方正仿宋_GBK"/>
                <w:bCs/>
                <w:kern w:val="0"/>
                <w:sz w:val="28"/>
                <w:szCs w:val="28"/>
                <w:highlight w:val="none"/>
              </w:rPr>
            </w:pPr>
          </w:p>
        </w:tc>
        <w:tc>
          <w:tcPr>
            <w:tcW w:w="2408" w:type="dxa"/>
            <w:noWrap w:val="0"/>
            <w:vAlign w:val="top"/>
          </w:tcPr>
          <w:p>
            <w:pPr>
              <w:widowControl/>
              <w:spacing w:before="100" w:beforeAutospacing="1" w:after="100" w:afterAutospacing="1" w:line="252" w:lineRule="atLeast"/>
              <w:jc w:val="center"/>
              <w:rPr>
                <w:rFonts w:eastAsia="方正仿宋_GBK"/>
                <w:bCs/>
                <w:kern w:val="0"/>
                <w:sz w:val="28"/>
                <w:szCs w:val="28"/>
                <w:highlight w:val="none"/>
              </w:rPr>
            </w:pPr>
          </w:p>
        </w:tc>
      </w:tr>
    </w:tbl>
    <w:p>
      <w:pPr>
        <w:widowControl/>
        <w:spacing w:before="100" w:beforeAutospacing="1" w:after="100" w:afterAutospacing="1" w:line="360" w:lineRule="auto"/>
        <w:ind w:left="560" w:hanging="560" w:hangingChars="200"/>
        <w:rPr>
          <w:highlight w:val="none"/>
        </w:rPr>
      </w:pPr>
      <w:r>
        <w:rPr>
          <w:rFonts w:eastAsia="方正仿宋_GBK"/>
          <w:bCs/>
          <w:kern w:val="0"/>
          <w:sz w:val="28"/>
          <w:szCs w:val="28"/>
          <w:highlight w:val="none"/>
        </w:rPr>
        <w:t>注：1</w:t>
      </w:r>
      <w:r>
        <w:rPr>
          <w:rFonts w:hint="eastAsia" w:eastAsia="方正仿宋_GBK"/>
          <w:bCs/>
          <w:kern w:val="0"/>
          <w:sz w:val="28"/>
          <w:szCs w:val="28"/>
          <w:highlight w:val="none"/>
          <w:lang w:val="en-US" w:eastAsia="zh-CN"/>
        </w:rPr>
        <w:t>.</w:t>
      </w:r>
      <w:r>
        <w:rPr>
          <w:rFonts w:eastAsia="方正仿宋_GBK"/>
          <w:bCs/>
          <w:kern w:val="0"/>
          <w:sz w:val="28"/>
          <w:szCs w:val="28"/>
          <w:highlight w:val="none"/>
        </w:rPr>
        <w:t>以上人员需提供身份证和资格证书复印件并加盖鲜章，凡资格证书失效及年龄超过60岁的人员不得参与本项目的投标，否则作否决投标处理。</w:t>
      </w:r>
    </w:p>
    <w:p>
      <w:pPr>
        <w:pStyle w:val="7"/>
        <w:ind w:firstLine="560" w:firstLineChars="200"/>
        <w:rPr>
          <w:rFonts w:eastAsia="方正仿宋_GBK"/>
          <w:b w:val="0"/>
          <w:kern w:val="0"/>
          <w:sz w:val="28"/>
          <w:szCs w:val="28"/>
          <w:highlight w:val="none"/>
        </w:rPr>
        <w:sectPr>
          <w:pgSz w:w="11900" w:h="16840"/>
          <w:pgMar w:top="1440" w:right="1134" w:bottom="1440" w:left="1134" w:header="920" w:footer="454" w:gutter="0"/>
          <w:pgNumType w:fmt="decimal"/>
          <w:cols w:space="720" w:num="1"/>
          <w:docGrid w:type="lines" w:linePitch="1" w:charSpace="0"/>
        </w:sectPr>
      </w:pPr>
      <w:r>
        <w:rPr>
          <w:rFonts w:hint="eastAsia" w:eastAsia="方正仿宋_GBK"/>
          <w:b w:val="0"/>
          <w:kern w:val="0"/>
          <w:sz w:val="28"/>
          <w:szCs w:val="28"/>
          <w:highlight w:val="none"/>
          <w:lang w:eastAsia="zh-CN"/>
        </w:rPr>
        <w:t>2.</w:t>
      </w:r>
      <w:r>
        <w:rPr>
          <w:rFonts w:eastAsia="方正仿宋_GBK"/>
          <w:b w:val="0"/>
          <w:kern w:val="0"/>
          <w:sz w:val="28"/>
          <w:szCs w:val="28"/>
          <w:highlight w:val="none"/>
        </w:rPr>
        <w:t>人员证件需提供身份证及资格证件复印件，按上表排名顺序依次附后。</w:t>
      </w:r>
    </w:p>
    <w:p>
      <w:pPr>
        <w:rPr>
          <w:rFonts w:eastAsia="方正仿宋_GBK"/>
          <w:b/>
          <w:bCs/>
          <w:sz w:val="32"/>
          <w:szCs w:val="32"/>
          <w:highlight w:val="none"/>
        </w:rPr>
      </w:pPr>
      <w:r>
        <w:rPr>
          <w:rFonts w:hint="eastAsia" w:eastAsia="方正仿宋_GBK"/>
          <w:b/>
          <w:bCs/>
          <w:sz w:val="32"/>
          <w:szCs w:val="32"/>
          <w:highlight w:val="none"/>
          <w:lang w:eastAsia="zh-CN"/>
        </w:rPr>
        <w:t>11.</w:t>
      </w:r>
      <w:r>
        <w:rPr>
          <w:rFonts w:eastAsia="方正仿宋_GBK"/>
          <w:b/>
          <w:bCs/>
          <w:sz w:val="32"/>
          <w:szCs w:val="32"/>
          <w:highlight w:val="none"/>
        </w:rPr>
        <w:t>社保缴纳情况相关资料（按属地社保要求打印）</w:t>
      </w:r>
    </w:p>
    <w:p>
      <w:pPr>
        <w:rPr>
          <w:rFonts w:eastAsia="方正仿宋_GBK"/>
          <w:b/>
          <w:bCs/>
          <w:sz w:val="36"/>
          <w:szCs w:val="36"/>
          <w:highlight w:val="none"/>
        </w:rPr>
      </w:pPr>
    </w:p>
    <w:p>
      <w:pPr>
        <w:rPr>
          <w:rFonts w:eastAsia="方正仿宋_GBK"/>
          <w:b/>
          <w:bCs/>
          <w:sz w:val="36"/>
          <w:szCs w:val="36"/>
          <w:highlight w:val="none"/>
        </w:rPr>
      </w:pPr>
    </w:p>
    <w:p>
      <w:pPr>
        <w:rPr>
          <w:rFonts w:eastAsia="方正仿宋_GBK"/>
          <w:b/>
          <w:bCs/>
          <w:sz w:val="36"/>
          <w:szCs w:val="36"/>
          <w:highlight w:val="none"/>
        </w:rPr>
      </w:pPr>
    </w:p>
    <w:p>
      <w:pPr>
        <w:rPr>
          <w:rFonts w:eastAsia="方正仿宋_GBK"/>
          <w:b/>
          <w:bCs/>
          <w:sz w:val="36"/>
          <w:szCs w:val="36"/>
          <w:highlight w:val="none"/>
        </w:rPr>
      </w:pPr>
    </w:p>
    <w:p>
      <w:pPr>
        <w:rPr>
          <w:rFonts w:eastAsia="方正仿宋_GBK"/>
          <w:b/>
          <w:bCs/>
          <w:sz w:val="32"/>
          <w:szCs w:val="32"/>
          <w:highlight w:val="none"/>
        </w:rPr>
      </w:pPr>
      <w:r>
        <w:rPr>
          <w:rFonts w:hint="eastAsia" w:eastAsia="方正仿宋_GBK"/>
          <w:b/>
          <w:bCs/>
          <w:sz w:val="32"/>
          <w:szCs w:val="32"/>
          <w:highlight w:val="none"/>
          <w:lang w:eastAsia="zh-CN"/>
        </w:rPr>
        <w:t>12.</w:t>
      </w:r>
      <w:r>
        <w:rPr>
          <w:rFonts w:eastAsia="方正仿宋_GBK"/>
          <w:b/>
          <w:bCs/>
          <w:sz w:val="32"/>
          <w:szCs w:val="32"/>
          <w:highlight w:val="none"/>
        </w:rPr>
        <w:t>需要添加的其他资料（若有）</w:t>
      </w:r>
    </w:p>
    <w:p>
      <w:pPr>
        <w:spacing w:line="360" w:lineRule="auto"/>
        <w:jc w:val="left"/>
        <w:rPr>
          <w:rFonts w:eastAsia="方正仿宋_GBK"/>
          <w:b/>
          <w:bCs/>
          <w:sz w:val="32"/>
          <w:szCs w:val="32"/>
          <w:highlight w:val="none"/>
        </w:rPr>
      </w:pPr>
    </w:p>
    <w:p>
      <w:pPr>
        <w:rPr>
          <w:rFonts w:eastAsia="方正仿宋_GBK"/>
          <w:b/>
          <w:bCs/>
          <w:sz w:val="32"/>
          <w:szCs w:val="32"/>
          <w:highlight w:val="none"/>
        </w:rPr>
      </w:pPr>
    </w:p>
    <w:p>
      <w:pPr>
        <w:rPr>
          <w:rFonts w:eastAsia="方正仿宋_GBK"/>
          <w:b/>
          <w:bCs/>
          <w:sz w:val="36"/>
          <w:szCs w:val="36"/>
          <w:highlight w:val="none"/>
        </w:rPr>
      </w:pPr>
    </w:p>
    <w:p>
      <w:pPr>
        <w:spacing w:line="360" w:lineRule="auto"/>
        <w:rPr>
          <w:rFonts w:eastAsia="方正仿宋_GBK"/>
          <w:sz w:val="32"/>
          <w:szCs w:val="32"/>
          <w:highlight w:val="none"/>
        </w:rPr>
      </w:pPr>
    </w:p>
    <w:p>
      <w:pPr>
        <w:spacing w:line="360" w:lineRule="auto"/>
        <w:rPr>
          <w:rFonts w:eastAsia="方正仿宋_GBK"/>
          <w:sz w:val="32"/>
          <w:szCs w:val="32"/>
          <w:highlight w:val="none"/>
        </w:rPr>
      </w:pPr>
    </w:p>
    <w:p>
      <w:pPr>
        <w:spacing w:line="360" w:lineRule="auto"/>
        <w:rPr>
          <w:rFonts w:eastAsia="方正仿宋_GBK"/>
          <w:sz w:val="32"/>
          <w:szCs w:val="32"/>
          <w:highlight w:val="none"/>
        </w:rPr>
      </w:pPr>
    </w:p>
    <w:p>
      <w:pPr>
        <w:spacing w:line="360" w:lineRule="auto"/>
        <w:rPr>
          <w:rFonts w:eastAsia="方正仿宋_GBK"/>
          <w:sz w:val="32"/>
          <w:szCs w:val="32"/>
          <w:highlight w:val="none"/>
        </w:rPr>
      </w:pPr>
    </w:p>
    <w:p>
      <w:pPr>
        <w:spacing w:line="360" w:lineRule="auto"/>
        <w:rPr>
          <w:rFonts w:eastAsia="方正仿宋_GBK"/>
          <w:sz w:val="32"/>
          <w:szCs w:val="32"/>
          <w:highlight w:val="none"/>
        </w:rPr>
      </w:pPr>
    </w:p>
    <w:p>
      <w:pPr>
        <w:spacing w:line="360" w:lineRule="auto"/>
        <w:rPr>
          <w:rFonts w:eastAsia="方正仿宋_GBK"/>
          <w:sz w:val="32"/>
          <w:szCs w:val="32"/>
          <w:highlight w:val="none"/>
        </w:rPr>
      </w:pPr>
    </w:p>
    <w:p>
      <w:pPr>
        <w:pStyle w:val="7"/>
        <w:rPr>
          <w:rFonts w:eastAsia="方正仿宋_GBK"/>
          <w:b w:val="0"/>
          <w:bCs w:val="0"/>
          <w:highlight w:val="none"/>
        </w:rPr>
      </w:pPr>
    </w:p>
    <w:p>
      <w:pPr>
        <w:rPr>
          <w:rFonts w:eastAsia="方正仿宋_GBK"/>
          <w:sz w:val="32"/>
          <w:szCs w:val="32"/>
          <w:highlight w:val="none"/>
        </w:rPr>
      </w:pPr>
    </w:p>
    <w:p>
      <w:pPr>
        <w:pStyle w:val="7"/>
        <w:rPr>
          <w:rFonts w:eastAsia="方正仿宋_GBK"/>
          <w:b w:val="0"/>
          <w:bCs w:val="0"/>
          <w:highlight w:val="none"/>
        </w:rPr>
      </w:pPr>
    </w:p>
    <w:p>
      <w:pPr>
        <w:spacing w:line="360" w:lineRule="auto"/>
        <w:rPr>
          <w:rFonts w:eastAsia="方正仿宋_GBK"/>
          <w:sz w:val="32"/>
          <w:szCs w:val="32"/>
          <w:highlight w:val="none"/>
        </w:rPr>
      </w:pPr>
    </w:p>
    <w:p>
      <w:pPr>
        <w:spacing w:line="360" w:lineRule="auto"/>
        <w:rPr>
          <w:rFonts w:eastAsia="方正仿宋_GBK"/>
          <w:sz w:val="32"/>
          <w:szCs w:val="32"/>
          <w:highlight w:val="none"/>
        </w:rPr>
      </w:pPr>
    </w:p>
    <w:p>
      <w:pPr>
        <w:spacing w:line="360" w:lineRule="auto"/>
        <w:rPr>
          <w:rFonts w:eastAsia="方正仿宋_GBK"/>
          <w:sz w:val="32"/>
          <w:szCs w:val="32"/>
          <w:highlight w:val="none"/>
        </w:rPr>
      </w:pPr>
    </w:p>
    <w:p>
      <w:pPr>
        <w:spacing w:line="360" w:lineRule="auto"/>
        <w:rPr>
          <w:rFonts w:eastAsia="方正仿宋_GBK"/>
          <w:sz w:val="32"/>
          <w:szCs w:val="32"/>
          <w:highlight w:val="none"/>
        </w:rPr>
      </w:pPr>
    </w:p>
    <w:p>
      <w:pPr>
        <w:spacing w:line="360" w:lineRule="auto"/>
        <w:rPr>
          <w:rFonts w:eastAsia="方正仿宋_GBK"/>
          <w:sz w:val="32"/>
          <w:szCs w:val="32"/>
          <w:highlight w:val="none"/>
        </w:rPr>
      </w:pPr>
    </w:p>
    <w:p>
      <w:pPr>
        <w:spacing w:line="360" w:lineRule="auto"/>
        <w:rPr>
          <w:rFonts w:eastAsia="方正仿宋_GBK"/>
          <w:sz w:val="32"/>
          <w:szCs w:val="32"/>
          <w:highlight w:val="none"/>
        </w:rPr>
      </w:pPr>
    </w:p>
    <w:p>
      <w:pPr>
        <w:spacing w:line="360" w:lineRule="auto"/>
        <w:rPr>
          <w:rFonts w:eastAsia="方正仿宋_GBK"/>
          <w:sz w:val="32"/>
          <w:szCs w:val="32"/>
          <w:highlight w:val="none"/>
        </w:rPr>
      </w:pPr>
    </w:p>
    <w:p>
      <w:pPr>
        <w:spacing w:line="360" w:lineRule="auto"/>
        <w:rPr>
          <w:rFonts w:eastAsia="方正仿宋_GBK"/>
          <w:sz w:val="32"/>
          <w:szCs w:val="32"/>
          <w:highlight w:val="none"/>
        </w:rPr>
      </w:pPr>
      <w:r>
        <w:rPr>
          <w:rFonts w:eastAsia="方正仿宋_GBK"/>
          <w:sz w:val="32"/>
          <w:szCs w:val="32"/>
          <w:highlight w:val="none"/>
        </w:rPr>
        <w:t>附件3：经济文件要求</w:t>
      </w:r>
    </w:p>
    <w:p>
      <w:pPr>
        <w:spacing w:line="360" w:lineRule="auto"/>
        <w:rPr>
          <w:rFonts w:eastAsia="方正仿宋_GBK"/>
          <w:b/>
          <w:bCs/>
          <w:sz w:val="32"/>
          <w:szCs w:val="32"/>
          <w:highlight w:val="none"/>
        </w:rPr>
      </w:pPr>
    </w:p>
    <w:p>
      <w:pPr>
        <w:spacing w:line="360" w:lineRule="auto"/>
        <w:rPr>
          <w:rFonts w:eastAsia="方正仿宋_GBK"/>
          <w:b/>
          <w:bCs/>
          <w:sz w:val="32"/>
          <w:szCs w:val="32"/>
          <w:highlight w:val="none"/>
        </w:rPr>
      </w:pPr>
    </w:p>
    <w:p>
      <w:pPr>
        <w:pStyle w:val="7"/>
        <w:rPr>
          <w:rFonts w:eastAsia="方正仿宋_GBK"/>
          <w:b w:val="0"/>
          <w:bCs w:val="0"/>
          <w:highlight w:val="none"/>
        </w:rPr>
      </w:pPr>
    </w:p>
    <w:p>
      <w:pPr>
        <w:rPr>
          <w:rFonts w:eastAsia="方正仿宋_GBK"/>
          <w:b/>
          <w:bCs/>
          <w:sz w:val="32"/>
          <w:szCs w:val="32"/>
          <w:highlight w:val="none"/>
        </w:rPr>
      </w:pPr>
    </w:p>
    <w:p>
      <w:pPr>
        <w:pStyle w:val="7"/>
        <w:rPr>
          <w:rFonts w:eastAsia="方正仿宋_GBK"/>
          <w:b w:val="0"/>
          <w:bCs w:val="0"/>
          <w:highlight w:val="none"/>
        </w:rPr>
      </w:pPr>
    </w:p>
    <w:p>
      <w:pPr>
        <w:rPr>
          <w:rFonts w:eastAsia="方正仿宋_GBK"/>
          <w:b/>
          <w:bCs/>
          <w:sz w:val="32"/>
          <w:szCs w:val="32"/>
          <w:highlight w:val="none"/>
        </w:rPr>
      </w:pPr>
    </w:p>
    <w:p>
      <w:pPr>
        <w:pStyle w:val="7"/>
        <w:rPr>
          <w:rFonts w:eastAsia="方正仿宋_GBK"/>
          <w:b w:val="0"/>
          <w:bCs w:val="0"/>
          <w:highlight w:val="none"/>
        </w:rPr>
      </w:pPr>
    </w:p>
    <w:p>
      <w:pPr>
        <w:rPr>
          <w:rFonts w:eastAsia="方正仿宋_GBK"/>
          <w:b/>
          <w:bCs/>
          <w:sz w:val="32"/>
          <w:szCs w:val="32"/>
          <w:highlight w:val="none"/>
        </w:rPr>
      </w:pPr>
    </w:p>
    <w:p>
      <w:pPr>
        <w:pStyle w:val="7"/>
        <w:rPr>
          <w:rFonts w:eastAsia="方正仿宋_GBK"/>
          <w:b w:val="0"/>
          <w:bCs w:val="0"/>
          <w:highlight w:val="none"/>
        </w:rPr>
      </w:pPr>
    </w:p>
    <w:p>
      <w:pPr>
        <w:rPr>
          <w:rFonts w:eastAsia="方正仿宋_GBK"/>
          <w:b/>
          <w:bCs/>
          <w:sz w:val="32"/>
          <w:szCs w:val="32"/>
          <w:highlight w:val="none"/>
        </w:rPr>
      </w:pPr>
    </w:p>
    <w:p>
      <w:pPr>
        <w:pStyle w:val="7"/>
        <w:rPr>
          <w:rFonts w:eastAsia="方正仿宋_GBK"/>
          <w:b w:val="0"/>
          <w:bCs w:val="0"/>
          <w:highlight w:val="none"/>
        </w:rPr>
      </w:pPr>
    </w:p>
    <w:p>
      <w:pPr>
        <w:rPr>
          <w:rFonts w:eastAsia="方正仿宋_GBK"/>
          <w:b/>
          <w:bCs/>
          <w:sz w:val="32"/>
          <w:szCs w:val="32"/>
          <w:highlight w:val="none"/>
        </w:rPr>
      </w:pPr>
    </w:p>
    <w:p>
      <w:pPr>
        <w:pStyle w:val="7"/>
        <w:rPr>
          <w:rFonts w:eastAsia="方正仿宋_GBK"/>
          <w:b w:val="0"/>
          <w:bCs w:val="0"/>
          <w:highlight w:val="none"/>
        </w:rPr>
      </w:pPr>
    </w:p>
    <w:p>
      <w:pPr>
        <w:rPr>
          <w:rFonts w:eastAsia="方正仿宋_GBK"/>
          <w:b/>
          <w:bCs/>
          <w:sz w:val="32"/>
          <w:szCs w:val="32"/>
          <w:highlight w:val="none"/>
        </w:rPr>
      </w:pPr>
    </w:p>
    <w:p>
      <w:pPr>
        <w:spacing w:line="440" w:lineRule="exact"/>
        <w:rPr>
          <w:rFonts w:eastAsia="方正仿宋_GBK"/>
          <w:sz w:val="32"/>
          <w:szCs w:val="32"/>
          <w:highlight w:val="none"/>
        </w:rPr>
      </w:pPr>
    </w:p>
    <w:p>
      <w:pPr>
        <w:spacing w:line="440" w:lineRule="exact"/>
        <w:rPr>
          <w:rFonts w:eastAsia="方正仿宋_GBK"/>
          <w:sz w:val="32"/>
          <w:szCs w:val="32"/>
          <w:highlight w:val="none"/>
        </w:rPr>
      </w:pPr>
    </w:p>
    <w:p>
      <w:pPr>
        <w:spacing w:line="440" w:lineRule="exact"/>
        <w:rPr>
          <w:rFonts w:eastAsia="方正仿宋_GBK"/>
          <w:sz w:val="32"/>
          <w:szCs w:val="32"/>
          <w:highlight w:val="none"/>
        </w:rPr>
      </w:pPr>
    </w:p>
    <w:p>
      <w:pPr>
        <w:spacing w:line="440" w:lineRule="exact"/>
        <w:rPr>
          <w:rFonts w:eastAsia="方正仿宋_GBK"/>
          <w:sz w:val="24"/>
          <w:highlight w:val="none"/>
        </w:rPr>
      </w:pPr>
    </w:p>
    <w:p>
      <w:pPr>
        <w:spacing w:line="440" w:lineRule="exact"/>
        <w:rPr>
          <w:rFonts w:eastAsia="方正仿宋_GBK"/>
          <w:sz w:val="24"/>
          <w:highlight w:val="none"/>
        </w:rPr>
      </w:pPr>
    </w:p>
    <w:p>
      <w:pPr>
        <w:spacing w:line="440" w:lineRule="exact"/>
        <w:rPr>
          <w:rFonts w:eastAsia="方正仿宋_GBK"/>
          <w:sz w:val="24"/>
          <w:highlight w:val="none"/>
        </w:rPr>
      </w:pPr>
    </w:p>
    <w:p>
      <w:pPr>
        <w:spacing w:line="440" w:lineRule="exact"/>
        <w:rPr>
          <w:rFonts w:eastAsia="方正仿宋_GBK"/>
          <w:sz w:val="24"/>
          <w:highlight w:val="none"/>
        </w:rPr>
      </w:pPr>
      <w:r>
        <w:rPr>
          <w:rFonts w:eastAsia="方正仿宋_GBK"/>
          <w:sz w:val="24"/>
          <w:highlight w:val="none"/>
        </w:rPr>
        <w:t>经济文件封面格式</w:t>
      </w:r>
    </w:p>
    <w:p>
      <w:pPr>
        <w:spacing w:line="360" w:lineRule="auto"/>
        <w:rPr>
          <w:rFonts w:eastAsia="方正小标宋_GBK"/>
          <w:b/>
          <w:bCs/>
          <w:sz w:val="36"/>
          <w:szCs w:val="36"/>
          <w:highlight w:val="none"/>
        </w:rPr>
      </w:pPr>
    </w:p>
    <w:p>
      <w:pPr>
        <w:spacing w:line="360" w:lineRule="auto"/>
        <w:jc w:val="center"/>
        <w:rPr>
          <w:rFonts w:eastAsia="方正小标宋_GBK"/>
          <w:b/>
          <w:bCs/>
          <w:sz w:val="36"/>
          <w:szCs w:val="36"/>
          <w:highlight w:val="none"/>
        </w:rPr>
      </w:pPr>
    </w:p>
    <w:p>
      <w:pPr>
        <w:spacing w:line="360" w:lineRule="auto"/>
        <w:jc w:val="center"/>
        <w:rPr>
          <w:rFonts w:eastAsia="方正小标宋_GBK"/>
          <w:b/>
          <w:bCs/>
          <w:sz w:val="52"/>
          <w:szCs w:val="52"/>
          <w:highlight w:val="none"/>
        </w:rPr>
      </w:pPr>
      <w:r>
        <w:rPr>
          <w:rFonts w:hint="eastAsia" w:eastAsia="方正小标宋_GBK"/>
          <w:b/>
          <w:bCs/>
          <w:sz w:val="52"/>
          <w:szCs w:val="52"/>
          <w:highlight w:val="none"/>
          <w:lang w:eastAsia="zh-CN"/>
        </w:rPr>
        <w:t>2026年度配电维保服务比选（第二次）</w:t>
      </w:r>
    </w:p>
    <w:p>
      <w:pPr>
        <w:pStyle w:val="7"/>
        <w:jc w:val="center"/>
        <w:rPr>
          <w:rFonts w:eastAsia="方正小标宋_GBK"/>
          <w:sz w:val="84"/>
          <w:szCs w:val="84"/>
          <w:highlight w:val="none"/>
        </w:rPr>
      </w:pPr>
      <w:r>
        <w:rPr>
          <w:rFonts w:eastAsia="方正小标宋_GBK"/>
          <w:sz w:val="84"/>
          <w:szCs w:val="84"/>
          <w:highlight w:val="none"/>
        </w:rPr>
        <w:t>经济文件</w:t>
      </w:r>
    </w:p>
    <w:p>
      <w:pPr>
        <w:pStyle w:val="7"/>
        <w:rPr>
          <w:rFonts w:eastAsia="方正仿宋_GBK"/>
          <w:b w:val="0"/>
          <w:bCs w:val="0"/>
          <w:highlight w:val="none"/>
        </w:rPr>
      </w:pPr>
    </w:p>
    <w:p>
      <w:pPr>
        <w:rPr>
          <w:highlight w:val="none"/>
        </w:rPr>
      </w:pPr>
    </w:p>
    <w:p>
      <w:pPr>
        <w:spacing w:line="360" w:lineRule="auto"/>
        <w:rPr>
          <w:rFonts w:eastAsia="方正仿宋_GBK"/>
          <w:b/>
          <w:bCs/>
          <w:sz w:val="32"/>
          <w:szCs w:val="32"/>
          <w:highlight w:val="none"/>
        </w:rPr>
      </w:pPr>
    </w:p>
    <w:p>
      <w:pPr>
        <w:spacing w:line="360" w:lineRule="auto"/>
        <w:rPr>
          <w:rFonts w:eastAsia="方正仿宋_GBK"/>
          <w:b/>
          <w:bCs/>
          <w:sz w:val="32"/>
          <w:szCs w:val="32"/>
          <w:highlight w:val="none"/>
        </w:rPr>
      </w:pPr>
    </w:p>
    <w:p>
      <w:pPr>
        <w:spacing w:line="360" w:lineRule="auto"/>
        <w:rPr>
          <w:rFonts w:eastAsia="方正仿宋_GBK"/>
          <w:b/>
          <w:bCs/>
          <w:sz w:val="32"/>
          <w:szCs w:val="32"/>
          <w:highlight w:val="none"/>
        </w:rPr>
      </w:pPr>
    </w:p>
    <w:p>
      <w:pPr>
        <w:spacing w:line="360" w:lineRule="auto"/>
        <w:rPr>
          <w:rFonts w:eastAsia="方正仿宋_GBK"/>
          <w:b/>
          <w:bCs/>
          <w:sz w:val="32"/>
          <w:szCs w:val="32"/>
          <w:highlight w:val="none"/>
        </w:rPr>
      </w:pPr>
    </w:p>
    <w:p>
      <w:pPr>
        <w:spacing w:line="360" w:lineRule="auto"/>
        <w:rPr>
          <w:rFonts w:eastAsia="方正仿宋_GBK"/>
          <w:b/>
          <w:bCs/>
          <w:sz w:val="32"/>
          <w:szCs w:val="32"/>
          <w:highlight w:val="none"/>
        </w:rPr>
      </w:pPr>
    </w:p>
    <w:p>
      <w:pPr>
        <w:spacing w:line="360" w:lineRule="auto"/>
        <w:rPr>
          <w:rFonts w:eastAsia="方正仿宋_GBK"/>
          <w:b/>
          <w:bCs/>
          <w:sz w:val="32"/>
          <w:szCs w:val="32"/>
          <w:highlight w:val="none"/>
        </w:rPr>
      </w:pPr>
    </w:p>
    <w:p>
      <w:pPr>
        <w:spacing w:line="360" w:lineRule="auto"/>
        <w:rPr>
          <w:rFonts w:eastAsia="方正仿宋_GBK"/>
          <w:b/>
          <w:bCs/>
          <w:sz w:val="32"/>
          <w:szCs w:val="32"/>
          <w:highlight w:val="none"/>
        </w:rPr>
      </w:pPr>
    </w:p>
    <w:p>
      <w:pPr>
        <w:spacing w:line="360" w:lineRule="auto"/>
        <w:rPr>
          <w:rFonts w:eastAsia="方正仿宋_GBK"/>
          <w:b/>
          <w:bCs/>
          <w:sz w:val="32"/>
          <w:szCs w:val="32"/>
          <w:highlight w:val="none"/>
        </w:rPr>
      </w:pPr>
    </w:p>
    <w:p>
      <w:pPr>
        <w:spacing w:line="360" w:lineRule="auto"/>
        <w:ind w:firstLine="1920" w:firstLineChars="600"/>
        <w:rPr>
          <w:rFonts w:eastAsia="方正仿宋_GBK"/>
          <w:sz w:val="32"/>
          <w:szCs w:val="32"/>
          <w:highlight w:val="none"/>
        </w:rPr>
      </w:pPr>
      <w:r>
        <w:rPr>
          <w:rFonts w:eastAsia="方正仿宋_GBK"/>
          <w:sz w:val="32"/>
          <w:szCs w:val="32"/>
          <w:highlight w:val="none"/>
        </w:rPr>
        <w:t>比选单位：XXX（盖章）</w:t>
      </w:r>
    </w:p>
    <w:p>
      <w:pPr>
        <w:pStyle w:val="7"/>
        <w:ind w:firstLine="1920" w:firstLineChars="600"/>
        <w:rPr>
          <w:rFonts w:eastAsia="方正仿宋_GBK"/>
          <w:b w:val="0"/>
          <w:bCs w:val="0"/>
          <w:highlight w:val="none"/>
        </w:rPr>
      </w:pPr>
      <w:r>
        <w:rPr>
          <w:rFonts w:eastAsia="方正仿宋_GBK"/>
          <w:b w:val="0"/>
          <w:bCs w:val="0"/>
          <w:highlight w:val="none"/>
        </w:rPr>
        <w:t>日    期：   年   月  日</w:t>
      </w:r>
    </w:p>
    <w:p>
      <w:pPr>
        <w:spacing w:line="360" w:lineRule="auto"/>
        <w:rPr>
          <w:rFonts w:eastAsia="方正仿宋_GBK"/>
          <w:b/>
          <w:bCs/>
          <w:sz w:val="32"/>
          <w:szCs w:val="32"/>
          <w:highlight w:val="none"/>
        </w:rPr>
      </w:pPr>
    </w:p>
    <w:p>
      <w:pPr>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b/>
          <w:bCs/>
          <w:color w:val="000000"/>
          <w:sz w:val="36"/>
          <w:szCs w:val="36"/>
          <w:highlight w:val="none"/>
        </w:rPr>
        <w:br w:type="page"/>
      </w:r>
      <w:r>
        <w:rPr>
          <w:rFonts w:hint="default" w:ascii="Times New Roman" w:hAnsi="Times New Roman" w:eastAsia="方正仿宋_GBK" w:cs="Times New Roman"/>
          <w:b/>
          <w:bCs/>
          <w:color w:val="000000"/>
          <w:sz w:val="36"/>
          <w:szCs w:val="36"/>
          <w:highlight w:val="none"/>
        </w:rPr>
        <w:t>二、经济文件</w:t>
      </w:r>
      <w:r>
        <w:rPr>
          <w:rFonts w:hint="default" w:ascii="Times New Roman" w:hAnsi="Times New Roman" w:eastAsia="方正仿宋_GBK" w:cs="Times New Roman"/>
          <w:b/>
          <w:bCs/>
          <w:color w:val="000000"/>
          <w:sz w:val="32"/>
          <w:szCs w:val="32"/>
          <w:highlight w:val="none"/>
        </w:rPr>
        <w:t xml:space="preserve"> </w:t>
      </w:r>
      <w:r>
        <w:rPr>
          <w:rFonts w:hint="default" w:ascii="Times New Roman" w:hAnsi="Times New Roman" w:eastAsia="方正仿宋_GBK" w:cs="Times New Roman"/>
          <w:color w:val="000000"/>
          <w:sz w:val="28"/>
          <w:szCs w:val="28"/>
          <w:highlight w:val="none"/>
        </w:rPr>
        <w:t>（本页文字格式和内容不得删减和添加）</w:t>
      </w:r>
    </w:p>
    <w:p>
      <w:pPr>
        <w:jc w:val="center"/>
        <w:rPr>
          <w:rFonts w:hint="default" w:ascii="Times New Roman" w:hAnsi="Times New Roman" w:eastAsia="方正仿宋_GBK" w:cs="Times New Roman"/>
          <w:color w:val="000000"/>
          <w:sz w:val="28"/>
          <w:szCs w:val="28"/>
          <w:highlight w:val="none"/>
        </w:rPr>
      </w:pPr>
      <w:r>
        <w:rPr>
          <w:rFonts w:hint="default" w:ascii="Times New Roman" w:hAnsi="Times New Roman" w:eastAsia="方正小标宋_GBK" w:cs="Times New Roman"/>
          <w:b/>
          <w:bCs/>
          <w:color w:val="000000"/>
          <w:sz w:val="36"/>
          <w:szCs w:val="36"/>
          <w:highlight w:val="none"/>
        </w:rPr>
        <w:t>比 选 函</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000000"/>
          <w:sz w:val="28"/>
          <w:szCs w:val="28"/>
          <w:highlight w:val="none"/>
        </w:rPr>
      </w:pPr>
      <w:r>
        <w:rPr>
          <w:rFonts w:hint="eastAsia" w:ascii="Times New Roman" w:hAnsi="Times New Roman" w:eastAsia="方正仿宋_GBK" w:cs="Times New Roman"/>
          <w:color w:val="000000"/>
          <w:sz w:val="28"/>
          <w:szCs w:val="28"/>
          <w:highlight w:val="none"/>
          <w:lang w:eastAsia="zh-CN"/>
        </w:rPr>
        <w:t>重庆通邑卫士智慧生活服务有限公司</w:t>
      </w:r>
      <w:r>
        <w:rPr>
          <w:rFonts w:hint="default" w:ascii="Times New Roman" w:hAnsi="Times New Roman" w:eastAsia="方正仿宋_GBK" w:cs="Times New Roman"/>
          <w:color w:val="00000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 xml:space="preserve">     根据贵方 </w:t>
      </w:r>
      <w:r>
        <w:rPr>
          <w:rFonts w:hint="eastAsia" w:eastAsia="方正仿宋_GBK" w:cs="Times New Roman"/>
          <w:color w:val="000000"/>
          <w:sz w:val="28"/>
          <w:szCs w:val="28"/>
          <w:highlight w:val="none"/>
          <w:u w:val="single"/>
          <w:lang w:eastAsia="zh-CN"/>
        </w:rPr>
        <w:t>2026年度配电维保服务比选（第二次）</w:t>
      </w:r>
      <w:r>
        <w:rPr>
          <w:rFonts w:hint="default" w:ascii="Times New Roman" w:hAnsi="Times New Roman" w:eastAsia="方正仿宋_GBK" w:cs="Times New Roman"/>
          <w:color w:val="000000"/>
          <w:sz w:val="28"/>
          <w:szCs w:val="28"/>
          <w:highlight w:val="none"/>
        </w:rPr>
        <w:t>项目的比选函文件，本公司正式授权的下述签字人</w:t>
      </w:r>
      <w:r>
        <w:rPr>
          <w:rFonts w:hint="default" w:ascii="Times New Roman" w:hAnsi="Times New Roman" w:eastAsia="方正仿宋_GBK" w:cs="Times New Roman"/>
          <w:color w:val="000000"/>
          <w:sz w:val="28"/>
          <w:szCs w:val="28"/>
          <w:highlight w:val="none"/>
          <w:u w:val="single"/>
        </w:rPr>
        <w:t xml:space="preserve">               </w:t>
      </w:r>
      <w:r>
        <w:rPr>
          <w:rFonts w:hint="default" w:ascii="Times New Roman" w:hAnsi="Times New Roman" w:eastAsia="方正仿宋_GBK" w:cs="Times New Roman"/>
          <w:color w:val="000000"/>
          <w:sz w:val="28"/>
          <w:szCs w:val="28"/>
          <w:highlight w:val="none"/>
        </w:rPr>
        <w:t>（姓名和职务）代表本公司</w:t>
      </w:r>
      <w:r>
        <w:rPr>
          <w:rFonts w:hint="default" w:ascii="Times New Roman" w:hAnsi="Times New Roman" w:eastAsia="方正仿宋_GBK" w:cs="Times New Roman"/>
          <w:color w:val="000000"/>
          <w:sz w:val="28"/>
          <w:szCs w:val="28"/>
          <w:highlight w:val="none"/>
          <w:u w:val="single"/>
        </w:rPr>
        <w:t xml:space="preserve">               </w:t>
      </w:r>
      <w:r>
        <w:rPr>
          <w:rFonts w:hint="default" w:ascii="Times New Roman" w:hAnsi="Times New Roman" w:eastAsia="方正仿宋_GBK" w:cs="Times New Roman"/>
          <w:color w:val="000000"/>
          <w:sz w:val="28"/>
          <w:szCs w:val="28"/>
          <w:highlight w:val="none"/>
        </w:rPr>
        <w:t>（</w:t>
      </w:r>
      <w:r>
        <w:rPr>
          <w:rFonts w:hint="eastAsia" w:ascii="Times New Roman" w:hAnsi="Times New Roman" w:eastAsia="方正仿宋_GBK" w:cs="Times New Roman"/>
          <w:color w:val="000000"/>
          <w:sz w:val="28"/>
          <w:szCs w:val="28"/>
          <w:highlight w:val="none"/>
          <w:lang w:eastAsia="zh-CN"/>
        </w:rPr>
        <w:t>参选人</w:t>
      </w:r>
      <w:r>
        <w:rPr>
          <w:rFonts w:hint="default" w:ascii="Times New Roman" w:hAnsi="Times New Roman" w:eastAsia="方正仿宋_GBK" w:cs="Times New Roman"/>
          <w:color w:val="000000"/>
          <w:sz w:val="28"/>
          <w:szCs w:val="28"/>
          <w:highlight w:val="none"/>
        </w:rPr>
        <w:t>名称），提交本比选函。</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据此函，签字人兹宣布同意如下：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000000"/>
          <w:sz w:val="28"/>
          <w:szCs w:val="28"/>
          <w:highlight w:val="none"/>
        </w:rPr>
      </w:pPr>
      <w:r>
        <w:rPr>
          <w:rFonts w:hint="eastAsia" w:ascii="Times New Roman" w:hAnsi="Times New Roman" w:eastAsia="方正仿宋_GBK" w:cs="Times New Roman"/>
          <w:color w:val="000000"/>
          <w:sz w:val="28"/>
          <w:szCs w:val="28"/>
          <w:highlight w:val="none"/>
          <w:lang w:val="en-US" w:eastAsia="zh-CN"/>
        </w:rPr>
        <w:t>1.</w:t>
      </w:r>
      <w:r>
        <w:rPr>
          <w:rFonts w:hint="default" w:ascii="Times New Roman" w:hAnsi="Times New Roman" w:eastAsia="方正仿宋_GBK" w:cs="Times New Roman"/>
          <w:color w:val="000000"/>
          <w:sz w:val="28"/>
          <w:szCs w:val="28"/>
          <w:highlight w:val="none"/>
        </w:rPr>
        <w:t>愿意接受本次比选函中提出的支付方式，报价为：</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000000"/>
          <w:sz w:val="28"/>
          <w:szCs w:val="28"/>
          <w:highlight w:val="none"/>
          <w:lang w:eastAsia="zh-CN"/>
        </w:rPr>
      </w:pPr>
      <w:r>
        <w:rPr>
          <w:rFonts w:hint="eastAsia" w:eastAsia="方正仿宋_GBK"/>
          <w:sz w:val="28"/>
          <w:szCs w:val="28"/>
          <w:highlight w:val="none"/>
          <w:lang w:eastAsia="zh-CN"/>
        </w:rPr>
        <w:t>不含税总价：</w:t>
      </w:r>
      <w:r>
        <w:rPr>
          <w:rFonts w:eastAsia="方正仿宋_GBK"/>
          <w:sz w:val="28"/>
          <w:szCs w:val="28"/>
          <w:highlight w:val="none"/>
          <w:u w:val="single"/>
        </w:rPr>
        <w:t xml:space="preserve">         </w:t>
      </w:r>
      <w:r>
        <w:rPr>
          <w:rFonts w:eastAsia="方正仿宋_GBK"/>
          <w:sz w:val="28"/>
          <w:szCs w:val="28"/>
          <w:highlight w:val="none"/>
        </w:rPr>
        <w:t xml:space="preserve"> 元（大写：人民币</w:t>
      </w:r>
      <w:r>
        <w:rPr>
          <w:rFonts w:eastAsia="方正仿宋_GBK"/>
          <w:sz w:val="28"/>
          <w:szCs w:val="28"/>
          <w:highlight w:val="none"/>
          <w:u w:val="single"/>
        </w:rPr>
        <w:t xml:space="preserve">            </w:t>
      </w:r>
      <w:r>
        <w:rPr>
          <w:rFonts w:eastAsia="方正仿宋_GBK"/>
          <w:sz w:val="28"/>
          <w:szCs w:val="28"/>
          <w:highlight w:val="none"/>
        </w:rPr>
        <w:t>元）</w:t>
      </w:r>
      <w:r>
        <w:rPr>
          <w:rFonts w:hint="eastAsia" w:eastAsia="方正仿宋_GBK"/>
          <w:sz w:val="28"/>
          <w:szCs w:val="28"/>
          <w:highlight w:val="none"/>
          <w:lang w:eastAsia="zh-CN"/>
        </w:rPr>
        <w:t>；</w:t>
      </w:r>
      <w:r>
        <w:rPr>
          <w:rFonts w:eastAsia="方正仿宋_GBK"/>
          <w:sz w:val="28"/>
          <w:szCs w:val="28"/>
          <w:highlight w:val="none"/>
        </w:rPr>
        <w:t>含税总价：</w:t>
      </w:r>
      <w:r>
        <w:rPr>
          <w:rFonts w:eastAsia="方正仿宋_GBK"/>
          <w:sz w:val="28"/>
          <w:szCs w:val="28"/>
          <w:highlight w:val="none"/>
          <w:u w:val="single"/>
        </w:rPr>
        <w:t xml:space="preserve">         </w:t>
      </w:r>
      <w:r>
        <w:rPr>
          <w:rFonts w:eastAsia="方正仿宋_GBK"/>
          <w:sz w:val="28"/>
          <w:szCs w:val="28"/>
          <w:highlight w:val="none"/>
        </w:rPr>
        <w:t xml:space="preserve"> 元（大写：人民币</w:t>
      </w:r>
      <w:r>
        <w:rPr>
          <w:rFonts w:eastAsia="方正仿宋_GBK"/>
          <w:sz w:val="28"/>
          <w:szCs w:val="28"/>
          <w:highlight w:val="none"/>
          <w:u w:val="single"/>
        </w:rPr>
        <w:t xml:space="preserve">            </w:t>
      </w:r>
      <w:r>
        <w:rPr>
          <w:rFonts w:eastAsia="方正仿宋_GBK"/>
          <w:sz w:val="28"/>
          <w:szCs w:val="28"/>
          <w:highlight w:val="none"/>
        </w:rPr>
        <w:t>元），</w:t>
      </w:r>
      <w:r>
        <w:rPr>
          <w:rFonts w:eastAsia="方正仿宋_GBK"/>
          <w:color w:val="000000"/>
          <w:sz w:val="28"/>
          <w:szCs w:val="28"/>
          <w:highlight w:val="none"/>
        </w:rPr>
        <w:t>增值税专用发票税率</w:t>
      </w:r>
      <w:r>
        <w:rPr>
          <w:rFonts w:eastAsia="方正仿宋_GBK"/>
          <w:color w:val="000000"/>
          <w:sz w:val="28"/>
          <w:szCs w:val="28"/>
          <w:highlight w:val="none"/>
          <w:u w:val="single"/>
        </w:rPr>
        <w:t xml:space="preserve">    </w:t>
      </w:r>
      <w:r>
        <w:rPr>
          <w:rFonts w:eastAsia="方正仿宋_GBK"/>
          <w:color w:val="000000"/>
          <w:sz w:val="28"/>
          <w:szCs w:val="28"/>
          <w:highlight w:val="none"/>
        </w:rPr>
        <w:t xml:space="preserve"> %</w:t>
      </w:r>
      <w:r>
        <w:rPr>
          <w:rFonts w:hint="default" w:ascii="Times New Roman" w:hAnsi="Times New Roman" w:eastAsia="方正仿宋_GBK" w:cs="Times New Roman"/>
          <w:color w:val="000000"/>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b/>
          <w:bCs/>
          <w:color w:val="000000"/>
          <w:sz w:val="28"/>
          <w:szCs w:val="28"/>
          <w:highlight w:val="none"/>
          <w:lang w:val="en-US" w:eastAsia="zh-CN"/>
        </w:rPr>
        <w:t>【备注：各项目含税总价=含税单价*数量*维保时间，各项目不含税总价=含税总价/</w:t>
      </w:r>
      <w:r>
        <w:rPr>
          <w:rFonts w:hint="eastAsia" w:ascii="Times New Roman" w:hAnsi="Times New Roman" w:eastAsia="方正仿宋_GBK" w:cs="Times New Roman"/>
          <w:b/>
          <w:bCs/>
          <w:color w:val="000000"/>
          <w:sz w:val="28"/>
          <w:szCs w:val="28"/>
          <w:highlight w:val="none"/>
          <w:lang w:val="en-US" w:eastAsia="zh-CN"/>
        </w:rPr>
        <w:t>（</w:t>
      </w:r>
      <w:r>
        <w:rPr>
          <w:rFonts w:hint="default" w:ascii="Times New Roman" w:hAnsi="Times New Roman" w:eastAsia="方正仿宋_GBK" w:cs="Times New Roman"/>
          <w:b/>
          <w:bCs/>
          <w:color w:val="000000"/>
          <w:sz w:val="28"/>
          <w:szCs w:val="28"/>
          <w:highlight w:val="none"/>
          <w:lang w:val="en-US" w:eastAsia="zh-CN"/>
        </w:rPr>
        <w:t>1+税率</w:t>
      </w:r>
      <w:r>
        <w:rPr>
          <w:rFonts w:hint="eastAsia" w:ascii="Times New Roman" w:hAnsi="Times New Roman" w:eastAsia="方正仿宋_GBK" w:cs="Times New Roman"/>
          <w:b/>
          <w:bCs/>
          <w:color w:val="000000"/>
          <w:sz w:val="28"/>
          <w:szCs w:val="28"/>
          <w:highlight w:val="none"/>
          <w:lang w:val="en-US" w:eastAsia="zh-CN"/>
        </w:rPr>
        <w:t>）</w:t>
      </w:r>
      <w:r>
        <w:rPr>
          <w:rFonts w:hint="default" w:ascii="Times New Roman" w:hAnsi="Times New Roman" w:eastAsia="方正仿宋_GBK" w:cs="Times New Roman"/>
          <w:b/>
          <w:bCs/>
          <w:color w:val="000000"/>
          <w:sz w:val="28"/>
          <w:szCs w:val="28"/>
          <w:highlight w:val="none"/>
          <w:lang w:val="en-US" w:eastAsia="zh-CN"/>
        </w:rPr>
        <w:t>；</w:t>
      </w:r>
      <w:r>
        <w:rPr>
          <w:rFonts w:hint="eastAsia" w:ascii="Times New Roman" w:hAnsi="Times New Roman" w:eastAsia="方正仿宋_GBK" w:cs="Times New Roman"/>
          <w:b/>
          <w:bCs/>
          <w:color w:val="000000"/>
          <w:sz w:val="28"/>
          <w:szCs w:val="28"/>
          <w:highlight w:val="none"/>
          <w:lang w:val="en-US" w:eastAsia="zh-CN"/>
        </w:rPr>
        <w:t>10</w:t>
      </w:r>
      <w:r>
        <w:rPr>
          <w:rFonts w:hint="default" w:ascii="Times New Roman" w:hAnsi="Times New Roman" w:eastAsia="方正仿宋_GBK" w:cs="Times New Roman"/>
          <w:b/>
          <w:bCs/>
          <w:color w:val="000000"/>
          <w:sz w:val="28"/>
          <w:szCs w:val="28"/>
          <w:highlight w:val="none"/>
          <w:lang w:val="en-US" w:eastAsia="zh-CN"/>
        </w:rPr>
        <w:t>个项目维保含税总价=各项目含税总价之和，不含税总价=</w:t>
      </w:r>
      <w:r>
        <w:rPr>
          <w:rFonts w:hint="eastAsia" w:ascii="Times New Roman" w:hAnsi="Times New Roman" w:eastAsia="方正仿宋_GBK" w:cs="Times New Roman"/>
          <w:b/>
          <w:bCs/>
          <w:color w:val="000000"/>
          <w:sz w:val="28"/>
          <w:szCs w:val="28"/>
          <w:highlight w:val="none"/>
          <w:lang w:val="en-US" w:eastAsia="zh-CN"/>
        </w:rPr>
        <w:t>10</w:t>
      </w:r>
      <w:r>
        <w:rPr>
          <w:rFonts w:hint="default" w:ascii="Times New Roman" w:hAnsi="Times New Roman" w:eastAsia="方正仿宋_GBK" w:cs="Times New Roman"/>
          <w:b/>
          <w:bCs/>
          <w:color w:val="000000"/>
          <w:sz w:val="28"/>
          <w:szCs w:val="28"/>
          <w:highlight w:val="none"/>
          <w:lang w:val="en-US" w:eastAsia="zh-CN"/>
        </w:rPr>
        <w:t>个项目维保含税总价/</w:t>
      </w:r>
      <w:r>
        <w:rPr>
          <w:rFonts w:hint="eastAsia" w:ascii="Times New Roman" w:hAnsi="Times New Roman" w:eastAsia="方正仿宋_GBK" w:cs="Times New Roman"/>
          <w:b/>
          <w:bCs/>
          <w:color w:val="000000"/>
          <w:sz w:val="28"/>
          <w:szCs w:val="28"/>
          <w:highlight w:val="none"/>
          <w:lang w:val="en-US" w:eastAsia="zh-CN"/>
        </w:rPr>
        <w:t>（</w:t>
      </w:r>
      <w:r>
        <w:rPr>
          <w:rFonts w:hint="default" w:ascii="Times New Roman" w:hAnsi="Times New Roman" w:eastAsia="方正仿宋_GBK" w:cs="Times New Roman"/>
          <w:b/>
          <w:bCs/>
          <w:color w:val="000000"/>
          <w:sz w:val="28"/>
          <w:szCs w:val="28"/>
          <w:highlight w:val="none"/>
          <w:lang w:val="en-US" w:eastAsia="zh-CN"/>
        </w:rPr>
        <w:t>1+税率</w:t>
      </w:r>
      <w:r>
        <w:rPr>
          <w:rFonts w:hint="eastAsia" w:ascii="Times New Roman" w:hAnsi="Times New Roman" w:eastAsia="方正仿宋_GBK" w:cs="Times New Roman"/>
          <w:b/>
          <w:bCs/>
          <w:color w:val="000000"/>
          <w:sz w:val="28"/>
          <w:szCs w:val="28"/>
          <w:highlight w:val="none"/>
          <w:lang w:val="en-US" w:eastAsia="zh-CN"/>
        </w:rPr>
        <w:t>）</w:t>
      </w:r>
      <w:r>
        <w:rPr>
          <w:rFonts w:hint="default" w:ascii="Times New Roman" w:hAnsi="Times New Roman" w:eastAsia="方正仿宋_GBK" w:cs="Times New Roman"/>
          <w:b/>
          <w:bCs/>
          <w:color w:val="000000"/>
          <w:sz w:val="28"/>
          <w:szCs w:val="28"/>
          <w:highlight w:val="none"/>
          <w:lang w:val="en-US" w:eastAsia="zh-CN"/>
        </w:rPr>
        <w:t>。</w:t>
      </w:r>
      <w:r>
        <w:rPr>
          <w:rFonts w:hint="default" w:ascii="Times New Roman" w:hAnsi="Times New Roman" w:eastAsia="方正仿宋_GBK" w:cs="Times New Roman"/>
          <w:b/>
          <w:bCs/>
          <w:color w:val="000000"/>
          <w:sz w:val="28"/>
          <w:szCs w:val="28"/>
          <w:highlight w:val="none"/>
        </w:rPr>
        <w:t>所填报价格必须保留至小数点后2位，小数点后无数字时填写0</w:t>
      </w:r>
      <w:r>
        <w:rPr>
          <w:rFonts w:hint="default" w:ascii="Times New Roman" w:hAnsi="Times New Roman" w:eastAsia="方正仿宋_GBK" w:cs="Times New Roman"/>
          <w:b/>
          <w:bCs/>
          <w:color w:val="000000"/>
          <w:sz w:val="28"/>
          <w:szCs w:val="28"/>
          <w:highlight w:val="none"/>
          <w:lang w:val="en-US" w:eastAsia="zh-CN"/>
        </w:rPr>
        <w:t>】</w:t>
      </w:r>
      <w:r>
        <w:rPr>
          <w:rFonts w:hint="default" w:ascii="Times New Roman" w:hAnsi="Times New Roman" w:eastAsia="方正仿宋_GBK" w:cs="Times New Roman"/>
          <w:color w:val="00000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000000"/>
          <w:sz w:val="28"/>
          <w:szCs w:val="28"/>
          <w:highlight w:val="none"/>
        </w:rPr>
      </w:pPr>
      <w:r>
        <w:rPr>
          <w:rFonts w:hint="eastAsia" w:ascii="Times New Roman" w:hAnsi="Times New Roman" w:eastAsia="方正仿宋_GBK" w:cs="Times New Roman"/>
          <w:color w:val="000000"/>
          <w:sz w:val="28"/>
          <w:szCs w:val="28"/>
          <w:highlight w:val="none"/>
          <w:lang w:val="en-US" w:eastAsia="zh-CN"/>
        </w:rPr>
        <w:t>2.</w:t>
      </w:r>
      <w:r>
        <w:rPr>
          <w:rFonts w:hint="default" w:ascii="Times New Roman" w:hAnsi="Times New Roman" w:eastAsia="方正仿宋_GBK" w:cs="Times New Roman"/>
          <w:color w:val="000000"/>
          <w:sz w:val="28"/>
          <w:szCs w:val="28"/>
          <w:highlight w:val="none"/>
        </w:rPr>
        <w:t>我们已详细阅读了比选函全部内容，我们知道必须放弃提出含糊不清或误解的问题的权利。</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eastAsia="方正仿宋_GBK"/>
          <w:sz w:val="28"/>
          <w:szCs w:val="28"/>
          <w:highlight w:val="none"/>
        </w:rPr>
      </w:pPr>
      <w:r>
        <w:rPr>
          <w:rFonts w:hint="eastAsia" w:ascii="Times New Roman" w:hAnsi="Times New Roman" w:eastAsia="方正仿宋_GBK" w:cs="Times New Roman"/>
          <w:color w:val="000000"/>
          <w:sz w:val="28"/>
          <w:szCs w:val="28"/>
          <w:highlight w:val="none"/>
          <w:lang w:val="en-US" w:eastAsia="zh-CN"/>
        </w:rPr>
        <w:t>3.</w:t>
      </w:r>
      <w:r>
        <w:rPr>
          <w:rFonts w:hint="eastAsia" w:ascii="方正仿宋_GBK" w:hAnsi="方正仿宋_GBK" w:eastAsia="方正仿宋_GBK" w:cs="方正仿宋_GBK"/>
          <w:color w:val="000000"/>
          <w:sz w:val="28"/>
          <w:szCs w:val="28"/>
          <w:highlight w:val="none"/>
        </w:rPr>
        <w:t>我们保证根据规定履行合同责任和义务，不得要求变更我司报价，服务费用据实结算</w:t>
      </w:r>
      <w:r>
        <w:rPr>
          <w:rFonts w:eastAsia="方正仿宋_GBK"/>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K" w:cs="Times New Roman"/>
          <w:color w:val="000000"/>
          <w:sz w:val="28"/>
          <w:szCs w:val="28"/>
          <w:highlight w:val="none"/>
        </w:rPr>
      </w:pPr>
      <w:r>
        <w:rPr>
          <w:rFonts w:hint="eastAsia" w:ascii="Times New Roman" w:hAnsi="Times New Roman" w:eastAsia="方正仿宋_GBK" w:cs="Times New Roman"/>
          <w:color w:val="000000"/>
          <w:sz w:val="28"/>
          <w:szCs w:val="28"/>
          <w:highlight w:val="none"/>
          <w:lang w:val="en-US" w:eastAsia="zh-CN"/>
        </w:rPr>
        <w:t>4.</w:t>
      </w:r>
      <w:r>
        <w:rPr>
          <w:rFonts w:hint="default" w:ascii="Times New Roman" w:hAnsi="Times New Roman" w:eastAsia="方正仿宋_GBK" w:cs="Times New Roman"/>
          <w:color w:val="000000"/>
          <w:sz w:val="28"/>
          <w:szCs w:val="28"/>
          <w:highlight w:val="none"/>
        </w:rPr>
        <w:t>本比选函自开启之日起至项目全部完成之内有效。</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 xml:space="preserve">报价人全称（公章）：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 xml:space="preserve">通信地址：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电话、传真：</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报价人法定代表人或授权代理人签字：</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b/>
          <w:bCs/>
          <w:color w:val="000000"/>
          <w:sz w:val="36"/>
          <w:szCs w:val="36"/>
          <w:highlight w:val="none"/>
        </w:rPr>
      </w:pPr>
      <w:r>
        <w:rPr>
          <w:rFonts w:hint="default" w:ascii="Times New Roman" w:hAnsi="Times New Roman" w:eastAsia="方正仿宋_GBK" w:cs="Times New Roman"/>
          <w:color w:val="000000"/>
          <w:sz w:val="28"/>
          <w:szCs w:val="28"/>
          <w:highlight w:val="none"/>
        </w:rPr>
        <w:t xml:space="preserve">日期： </w:t>
      </w:r>
    </w:p>
    <w:p>
      <w:pPr>
        <w:spacing w:line="500" w:lineRule="exact"/>
        <w:jc w:val="center"/>
        <w:rPr>
          <w:rFonts w:hint="default" w:ascii="Times New Roman" w:hAnsi="Times New Roman" w:eastAsia="方正仿宋_GBK" w:cs="Times New Roman"/>
          <w:b/>
          <w:bCs/>
          <w:color w:val="000000"/>
          <w:sz w:val="36"/>
          <w:szCs w:val="36"/>
          <w:highlight w:val="none"/>
        </w:rPr>
      </w:pPr>
      <w:r>
        <w:rPr>
          <w:rFonts w:hint="eastAsia" w:ascii="Times New Roman" w:hAnsi="Times New Roman" w:eastAsia="方正仿宋_GBK" w:cs="Times New Roman"/>
          <w:b/>
          <w:bCs/>
          <w:color w:val="000000"/>
          <w:sz w:val="36"/>
          <w:szCs w:val="36"/>
          <w:highlight w:val="none"/>
          <w:lang w:eastAsia="zh-CN"/>
        </w:rPr>
        <w:br w:type="page"/>
      </w:r>
      <w:r>
        <w:rPr>
          <w:rFonts w:hint="eastAsia" w:ascii="Times New Roman" w:hAnsi="Times New Roman" w:eastAsia="方正仿宋_GBK" w:cs="Times New Roman"/>
          <w:b/>
          <w:bCs/>
          <w:color w:val="000000"/>
          <w:sz w:val="36"/>
          <w:szCs w:val="36"/>
          <w:highlight w:val="none"/>
          <w:lang w:eastAsia="zh-CN"/>
        </w:rPr>
        <w:t>2026年度配电维保服务</w:t>
      </w:r>
      <w:r>
        <w:rPr>
          <w:rFonts w:hint="default" w:ascii="Times New Roman" w:hAnsi="Times New Roman" w:eastAsia="方正仿宋_GBK" w:cs="Times New Roman"/>
          <w:b/>
          <w:bCs/>
          <w:color w:val="000000"/>
          <w:sz w:val="36"/>
          <w:szCs w:val="36"/>
          <w:highlight w:val="none"/>
        </w:rPr>
        <w:t>报价清单</w:t>
      </w:r>
    </w:p>
    <w:tbl>
      <w:tblPr>
        <w:tblStyle w:val="23"/>
        <w:tblW w:w="10920" w:type="dxa"/>
        <w:tblInd w:w="-816" w:type="dxa"/>
        <w:tblLayout w:type="fixed"/>
        <w:tblCellMar>
          <w:top w:w="0" w:type="dxa"/>
          <w:left w:w="108" w:type="dxa"/>
          <w:bottom w:w="0" w:type="dxa"/>
          <w:right w:w="108" w:type="dxa"/>
        </w:tblCellMar>
      </w:tblPr>
      <w:tblGrid>
        <w:gridCol w:w="578"/>
        <w:gridCol w:w="510"/>
        <w:gridCol w:w="1080"/>
        <w:gridCol w:w="825"/>
        <w:gridCol w:w="870"/>
        <w:gridCol w:w="810"/>
        <w:gridCol w:w="795"/>
        <w:gridCol w:w="885"/>
        <w:gridCol w:w="1065"/>
        <w:gridCol w:w="634"/>
        <w:gridCol w:w="828"/>
        <w:gridCol w:w="972"/>
        <w:gridCol w:w="1068"/>
      </w:tblGrid>
      <w:tr>
        <w:tblPrEx>
          <w:tblCellMar>
            <w:top w:w="0" w:type="dxa"/>
            <w:left w:w="108" w:type="dxa"/>
            <w:bottom w:w="0" w:type="dxa"/>
            <w:right w:w="108" w:type="dxa"/>
          </w:tblCellMar>
        </w:tblPrEx>
        <w:trPr>
          <w:trHeight w:val="540" w:hRule="atLeast"/>
        </w:trPr>
        <w:tc>
          <w:tcPr>
            <w:tcW w:w="10920" w:type="dxa"/>
            <w:gridSpan w:val="1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一</w:t>
            </w:r>
            <w:r>
              <w:rPr>
                <w:rFonts w:hint="default" w:ascii="Times New Roman" w:hAnsi="Times New Roman" w:eastAsia="方正仿宋_GBK" w:cs="Times New Roman"/>
                <w:b/>
                <w:bCs/>
                <w:color w:val="000000"/>
                <w:kern w:val="0"/>
                <w:szCs w:val="21"/>
                <w:highlight w:val="none"/>
                <w:lang w:eastAsia="zh-CN" w:bidi="ar"/>
              </w:rPr>
              <w:t>、配电维保明细</w:t>
            </w:r>
            <w:r>
              <w:rPr>
                <w:rFonts w:hint="default" w:ascii="Times New Roman" w:hAnsi="Times New Roman" w:eastAsia="方正仿宋_GBK" w:cs="Times New Roman"/>
                <w:b/>
                <w:bCs/>
                <w:color w:val="000000"/>
                <w:kern w:val="0"/>
                <w:szCs w:val="21"/>
                <w:highlight w:val="none"/>
                <w:lang w:bidi="ar"/>
              </w:rPr>
              <w:t xml:space="preserve"> </w:t>
            </w:r>
          </w:p>
        </w:tc>
      </w:tr>
      <w:tr>
        <w:tblPrEx>
          <w:tblCellMar>
            <w:top w:w="0" w:type="dxa"/>
            <w:left w:w="108" w:type="dxa"/>
            <w:bottom w:w="0" w:type="dxa"/>
            <w:right w:w="108" w:type="dxa"/>
          </w:tblCellMar>
        </w:tblPrEx>
        <w:trPr>
          <w:trHeight w:val="312" w:hRule="atLeast"/>
        </w:trPr>
        <w:tc>
          <w:tcPr>
            <w:tcW w:w="57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序号</w:t>
            </w:r>
          </w:p>
        </w:tc>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项目名称</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维保项目</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变压器</w:t>
            </w:r>
          </w:p>
        </w:tc>
        <w:tc>
          <w:tcPr>
            <w:tcW w:w="87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10KV高压柜</w:t>
            </w:r>
          </w:p>
        </w:tc>
        <w:tc>
          <w:tcPr>
            <w:tcW w:w="16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避雷器</w:t>
            </w:r>
          </w:p>
        </w:tc>
        <w:tc>
          <w:tcPr>
            <w:tcW w:w="88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电缆</w:t>
            </w:r>
          </w:p>
        </w:tc>
        <w:tc>
          <w:tcPr>
            <w:tcW w:w="106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继电保护装置</w:t>
            </w:r>
          </w:p>
        </w:tc>
        <w:tc>
          <w:tcPr>
            <w:tcW w:w="63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地阻测试</w:t>
            </w:r>
          </w:p>
        </w:tc>
        <w:tc>
          <w:tcPr>
            <w:tcW w:w="82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工具检测</w:t>
            </w:r>
          </w:p>
        </w:tc>
        <w:tc>
          <w:tcPr>
            <w:tcW w:w="97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真空断路器</w:t>
            </w:r>
          </w:p>
        </w:tc>
        <w:tc>
          <w:tcPr>
            <w:tcW w:w="106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低压屏</w:t>
            </w:r>
          </w:p>
        </w:tc>
      </w:tr>
      <w:tr>
        <w:tblPrEx>
          <w:tblCellMar>
            <w:top w:w="0" w:type="dxa"/>
            <w:left w:w="108" w:type="dxa"/>
            <w:bottom w:w="0" w:type="dxa"/>
            <w:right w:w="108" w:type="dxa"/>
          </w:tblCellMar>
        </w:tblPrEx>
        <w:trPr>
          <w:trHeight w:val="392"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8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10KV</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0.4KV</w:t>
            </w:r>
          </w:p>
        </w:tc>
        <w:tc>
          <w:tcPr>
            <w:tcW w:w="88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6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9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10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r>
      <w:tr>
        <w:tblPrEx>
          <w:tblCellMar>
            <w:top w:w="0" w:type="dxa"/>
            <w:left w:w="108" w:type="dxa"/>
            <w:bottom w:w="0" w:type="dxa"/>
            <w:right w:w="108" w:type="dxa"/>
          </w:tblCellMar>
        </w:tblPrEx>
        <w:trPr>
          <w:trHeight w:val="740"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eastAsia="方正仿宋_GBK" w:cs="Times New Roman"/>
                <w:b/>
                <w:bCs/>
                <w:color w:val="000000"/>
                <w:kern w:val="0"/>
                <w:szCs w:val="21"/>
                <w:highlight w:val="none"/>
                <w:lang w:bidi="ar"/>
              </w:rPr>
            </w:pPr>
            <w:r>
              <w:rPr>
                <w:rFonts w:hint="default" w:ascii="Times New Roman" w:hAnsi="Times New Roman" w:eastAsia="方正仿宋_GBK" w:cs="Times New Roman"/>
                <w:b/>
                <w:bCs/>
                <w:color w:val="000000"/>
                <w:kern w:val="0"/>
                <w:szCs w:val="21"/>
                <w:highlight w:val="none"/>
                <w:lang w:bidi="ar"/>
              </w:rPr>
              <w:t xml:space="preserve">含税单价   </w:t>
            </w:r>
          </w:p>
          <w:p>
            <w:pPr>
              <w:widowControl/>
              <w:jc w:val="left"/>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color w:val="000000"/>
                <w:kern w:val="0"/>
                <w:szCs w:val="21"/>
                <w:highlight w:val="none"/>
                <w:lang w:bidi="ar"/>
              </w:rPr>
              <w:t>（元/台/月）</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color w:val="000000"/>
                <w:szCs w:val="21"/>
                <w:highlight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color w:val="000000"/>
                <w:szCs w:val="21"/>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color w:val="000000"/>
                <w:szCs w:val="21"/>
                <w:highlight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color w:val="000000"/>
                <w:szCs w:val="21"/>
                <w:highlight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color w:val="000000"/>
                <w:szCs w:val="21"/>
                <w:highlight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color w:val="000000"/>
                <w:szCs w:val="21"/>
                <w:highlight w:val="none"/>
              </w:rPr>
            </w:pP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color w:val="000000"/>
                <w:szCs w:val="21"/>
                <w:highlight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color w:val="000000"/>
                <w:szCs w:val="21"/>
                <w:highlight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仿宋_GBK" w:cs="Times New Roman"/>
                <w:color w:val="000000"/>
                <w:szCs w:val="21"/>
                <w:highlight w:val="none"/>
              </w:rPr>
            </w:pPr>
          </w:p>
        </w:tc>
      </w:tr>
      <w:tr>
        <w:tblPrEx>
          <w:tblCellMar>
            <w:top w:w="0" w:type="dxa"/>
            <w:left w:w="108" w:type="dxa"/>
            <w:bottom w:w="0" w:type="dxa"/>
            <w:right w:w="108" w:type="dxa"/>
          </w:tblCellMar>
        </w:tblPrEx>
        <w:trPr>
          <w:trHeight w:val="559" w:hRule="atLeast"/>
        </w:trPr>
        <w:tc>
          <w:tcPr>
            <w:tcW w:w="5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1</w:t>
            </w:r>
          </w:p>
        </w:tc>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白鹤</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数量（台）</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33</w:t>
            </w:r>
          </w:p>
        </w:tc>
      </w:tr>
      <w:tr>
        <w:tblPrEx>
          <w:tblCellMar>
            <w:top w:w="0" w:type="dxa"/>
            <w:left w:w="108" w:type="dxa"/>
            <w:bottom w:w="0" w:type="dxa"/>
            <w:right w:w="108" w:type="dxa"/>
          </w:tblCellMar>
        </w:tblPrEx>
        <w:trPr>
          <w:trHeight w:val="575"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小计（元）</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r>
      <w:tr>
        <w:tblPrEx>
          <w:tblCellMar>
            <w:top w:w="0" w:type="dxa"/>
            <w:left w:w="108" w:type="dxa"/>
            <w:bottom w:w="0" w:type="dxa"/>
            <w:right w:w="108" w:type="dxa"/>
          </w:tblCellMar>
        </w:tblPrEx>
        <w:trPr>
          <w:trHeight w:val="698"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含税总价（元）</w:t>
            </w:r>
          </w:p>
        </w:tc>
        <w:tc>
          <w:tcPr>
            <w:tcW w:w="418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不含税总价（元）</w:t>
            </w:r>
          </w:p>
        </w:tc>
        <w:tc>
          <w:tcPr>
            <w:tcW w:w="350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r>
      <w:tr>
        <w:tblPrEx>
          <w:tblCellMar>
            <w:top w:w="0" w:type="dxa"/>
            <w:left w:w="108" w:type="dxa"/>
            <w:bottom w:w="0" w:type="dxa"/>
            <w:right w:w="108" w:type="dxa"/>
          </w:tblCellMar>
        </w:tblPrEx>
        <w:trPr>
          <w:trHeight w:val="540" w:hRule="atLeast"/>
        </w:trPr>
        <w:tc>
          <w:tcPr>
            <w:tcW w:w="5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2</w:t>
            </w:r>
          </w:p>
        </w:tc>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腾黄路</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数量</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0</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0</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w:t>
            </w:r>
          </w:p>
        </w:tc>
      </w:tr>
      <w:tr>
        <w:tblPrEx>
          <w:tblCellMar>
            <w:top w:w="0" w:type="dxa"/>
            <w:left w:w="108" w:type="dxa"/>
            <w:bottom w:w="0" w:type="dxa"/>
            <w:right w:w="108" w:type="dxa"/>
          </w:tblCellMar>
        </w:tblPrEx>
        <w:trPr>
          <w:trHeight w:val="587"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小计（元）</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r>
      <w:tr>
        <w:tblPrEx>
          <w:tblCellMar>
            <w:top w:w="0" w:type="dxa"/>
            <w:left w:w="108" w:type="dxa"/>
            <w:bottom w:w="0" w:type="dxa"/>
            <w:right w:w="108" w:type="dxa"/>
          </w:tblCellMar>
        </w:tblPrEx>
        <w:trPr>
          <w:trHeight w:val="734"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含税总价（元）</w:t>
            </w:r>
          </w:p>
        </w:tc>
        <w:tc>
          <w:tcPr>
            <w:tcW w:w="418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不含税总价（元）</w:t>
            </w:r>
          </w:p>
        </w:tc>
        <w:tc>
          <w:tcPr>
            <w:tcW w:w="350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r>
      <w:tr>
        <w:tblPrEx>
          <w:tblCellMar>
            <w:top w:w="0" w:type="dxa"/>
            <w:left w:w="108" w:type="dxa"/>
            <w:bottom w:w="0" w:type="dxa"/>
            <w:right w:w="108" w:type="dxa"/>
          </w:tblCellMar>
        </w:tblPrEx>
        <w:trPr>
          <w:trHeight w:val="589" w:hRule="atLeast"/>
        </w:trPr>
        <w:tc>
          <w:tcPr>
            <w:tcW w:w="5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3</w:t>
            </w:r>
          </w:p>
        </w:tc>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康庄</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数量</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16</w:t>
            </w:r>
          </w:p>
        </w:tc>
      </w:tr>
      <w:tr>
        <w:tblPrEx>
          <w:tblCellMar>
            <w:top w:w="0" w:type="dxa"/>
            <w:left w:w="108" w:type="dxa"/>
            <w:bottom w:w="0" w:type="dxa"/>
            <w:right w:w="108" w:type="dxa"/>
          </w:tblCellMar>
        </w:tblPrEx>
        <w:trPr>
          <w:trHeight w:val="647"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小计（元）</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r>
      <w:tr>
        <w:tblPrEx>
          <w:tblCellMar>
            <w:top w:w="0" w:type="dxa"/>
            <w:left w:w="108" w:type="dxa"/>
            <w:bottom w:w="0" w:type="dxa"/>
            <w:right w:w="108" w:type="dxa"/>
          </w:tblCellMar>
        </w:tblPrEx>
        <w:trPr>
          <w:trHeight w:val="710"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含税总价（元）</w:t>
            </w:r>
          </w:p>
        </w:tc>
        <w:tc>
          <w:tcPr>
            <w:tcW w:w="418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不含税总价（元）</w:t>
            </w:r>
          </w:p>
        </w:tc>
        <w:tc>
          <w:tcPr>
            <w:tcW w:w="350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r>
      <w:tr>
        <w:tblPrEx>
          <w:tblCellMar>
            <w:top w:w="0" w:type="dxa"/>
            <w:left w:w="108" w:type="dxa"/>
            <w:bottom w:w="0" w:type="dxa"/>
            <w:right w:w="108" w:type="dxa"/>
          </w:tblCellMar>
        </w:tblPrEx>
        <w:trPr>
          <w:trHeight w:val="607" w:hRule="atLeast"/>
        </w:trPr>
        <w:tc>
          <w:tcPr>
            <w:tcW w:w="5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4</w:t>
            </w:r>
          </w:p>
        </w:tc>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盛德路</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数量</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0</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0</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7</w:t>
            </w:r>
          </w:p>
        </w:tc>
      </w:tr>
      <w:tr>
        <w:tblPrEx>
          <w:tblCellMar>
            <w:top w:w="0" w:type="dxa"/>
            <w:left w:w="108" w:type="dxa"/>
            <w:bottom w:w="0" w:type="dxa"/>
            <w:right w:w="108" w:type="dxa"/>
          </w:tblCellMar>
        </w:tblPrEx>
        <w:trPr>
          <w:trHeight w:val="642"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小计（元）</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r>
      <w:tr>
        <w:tblPrEx>
          <w:tblCellMar>
            <w:top w:w="0" w:type="dxa"/>
            <w:left w:w="108" w:type="dxa"/>
            <w:bottom w:w="0" w:type="dxa"/>
            <w:right w:w="108" w:type="dxa"/>
          </w:tblCellMar>
        </w:tblPrEx>
        <w:trPr>
          <w:trHeight w:val="90"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含税总价（元）</w:t>
            </w:r>
          </w:p>
        </w:tc>
        <w:tc>
          <w:tcPr>
            <w:tcW w:w="418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不含税总价（元）</w:t>
            </w:r>
          </w:p>
        </w:tc>
        <w:tc>
          <w:tcPr>
            <w:tcW w:w="350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r>
      <w:tr>
        <w:tblPrEx>
          <w:tblCellMar>
            <w:top w:w="0" w:type="dxa"/>
            <w:left w:w="108" w:type="dxa"/>
            <w:bottom w:w="0" w:type="dxa"/>
            <w:right w:w="108" w:type="dxa"/>
          </w:tblCellMar>
        </w:tblPrEx>
        <w:trPr>
          <w:trHeight w:val="597" w:hRule="atLeast"/>
        </w:trPr>
        <w:tc>
          <w:tcPr>
            <w:tcW w:w="5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5</w:t>
            </w:r>
          </w:p>
        </w:tc>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沙坪坝</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数量</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6</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6</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17</w:t>
            </w:r>
          </w:p>
        </w:tc>
      </w:tr>
      <w:tr>
        <w:tblPrEx>
          <w:tblCellMar>
            <w:top w:w="0" w:type="dxa"/>
            <w:left w:w="108" w:type="dxa"/>
            <w:bottom w:w="0" w:type="dxa"/>
            <w:right w:w="108" w:type="dxa"/>
          </w:tblCellMar>
        </w:tblPrEx>
        <w:trPr>
          <w:trHeight w:val="619"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小计（元）</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r>
      <w:tr>
        <w:tblPrEx>
          <w:tblCellMar>
            <w:top w:w="0" w:type="dxa"/>
            <w:left w:w="108" w:type="dxa"/>
            <w:bottom w:w="0" w:type="dxa"/>
            <w:right w:w="108" w:type="dxa"/>
          </w:tblCellMar>
        </w:tblPrEx>
        <w:trPr>
          <w:trHeight w:val="698"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含税总价（元）</w:t>
            </w:r>
          </w:p>
        </w:tc>
        <w:tc>
          <w:tcPr>
            <w:tcW w:w="418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不含税总价（元）</w:t>
            </w:r>
          </w:p>
        </w:tc>
        <w:tc>
          <w:tcPr>
            <w:tcW w:w="350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r>
      <w:tr>
        <w:tblPrEx>
          <w:tblCellMar>
            <w:top w:w="0" w:type="dxa"/>
            <w:left w:w="108" w:type="dxa"/>
            <w:bottom w:w="0" w:type="dxa"/>
            <w:right w:w="108" w:type="dxa"/>
          </w:tblCellMar>
        </w:tblPrEx>
        <w:trPr>
          <w:trHeight w:val="632" w:hRule="atLeast"/>
        </w:trPr>
        <w:tc>
          <w:tcPr>
            <w:tcW w:w="5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6</w:t>
            </w:r>
          </w:p>
        </w:tc>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西站</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数量</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0</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w:t>
            </w:r>
          </w:p>
        </w:tc>
      </w:tr>
      <w:tr>
        <w:tblPrEx>
          <w:tblCellMar>
            <w:top w:w="0" w:type="dxa"/>
            <w:left w:w="108" w:type="dxa"/>
            <w:bottom w:w="0" w:type="dxa"/>
            <w:right w:w="108" w:type="dxa"/>
          </w:tblCellMar>
        </w:tblPrEx>
        <w:trPr>
          <w:trHeight w:val="577"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小计（元）</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r>
      <w:tr>
        <w:tblPrEx>
          <w:tblCellMar>
            <w:top w:w="0" w:type="dxa"/>
            <w:left w:w="108" w:type="dxa"/>
            <w:bottom w:w="0" w:type="dxa"/>
            <w:right w:w="108" w:type="dxa"/>
          </w:tblCellMar>
        </w:tblPrEx>
        <w:trPr>
          <w:trHeight w:val="568"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含税总价（元）</w:t>
            </w:r>
          </w:p>
        </w:tc>
        <w:tc>
          <w:tcPr>
            <w:tcW w:w="418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不含税总价（元）</w:t>
            </w:r>
          </w:p>
        </w:tc>
        <w:tc>
          <w:tcPr>
            <w:tcW w:w="350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r>
      <w:tr>
        <w:tblPrEx>
          <w:tblCellMar>
            <w:top w:w="0" w:type="dxa"/>
            <w:left w:w="108" w:type="dxa"/>
            <w:bottom w:w="0" w:type="dxa"/>
            <w:right w:w="108" w:type="dxa"/>
          </w:tblCellMar>
        </w:tblPrEx>
        <w:trPr>
          <w:trHeight w:val="567" w:hRule="atLeast"/>
        </w:trPr>
        <w:tc>
          <w:tcPr>
            <w:tcW w:w="5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7</w:t>
            </w:r>
          </w:p>
        </w:tc>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陈庹路</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数量</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18</w:t>
            </w:r>
          </w:p>
        </w:tc>
      </w:tr>
      <w:tr>
        <w:tblPrEx>
          <w:tblCellMar>
            <w:top w:w="0" w:type="dxa"/>
            <w:left w:w="108" w:type="dxa"/>
            <w:bottom w:w="0" w:type="dxa"/>
            <w:right w:w="108" w:type="dxa"/>
          </w:tblCellMar>
        </w:tblPrEx>
        <w:trPr>
          <w:trHeight w:val="537"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小计（元）</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000000"/>
                <w:szCs w:val="21"/>
                <w:highlight w:val="none"/>
              </w:rPr>
            </w:pPr>
          </w:p>
        </w:tc>
      </w:tr>
      <w:tr>
        <w:tblPrEx>
          <w:tblCellMar>
            <w:top w:w="0" w:type="dxa"/>
            <w:left w:w="108" w:type="dxa"/>
            <w:bottom w:w="0" w:type="dxa"/>
            <w:right w:w="108" w:type="dxa"/>
          </w:tblCellMar>
        </w:tblPrEx>
        <w:trPr>
          <w:trHeight w:val="648"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含税总价（元）</w:t>
            </w:r>
          </w:p>
        </w:tc>
        <w:tc>
          <w:tcPr>
            <w:tcW w:w="418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不含税总价（元）</w:t>
            </w:r>
          </w:p>
        </w:tc>
        <w:tc>
          <w:tcPr>
            <w:tcW w:w="350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r>
      <w:tr>
        <w:tblPrEx>
          <w:tblCellMar>
            <w:top w:w="0" w:type="dxa"/>
            <w:left w:w="108" w:type="dxa"/>
            <w:bottom w:w="0" w:type="dxa"/>
            <w:right w:w="108" w:type="dxa"/>
          </w:tblCellMar>
        </w:tblPrEx>
        <w:trPr>
          <w:trHeight w:val="648" w:hRule="atLeast"/>
        </w:trPr>
        <w:tc>
          <w:tcPr>
            <w:tcW w:w="5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8</w:t>
            </w:r>
          </w:p>
        </w:tc>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交通局</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kern w:val="0"/>
                <w:szCs w:val="21"/>
                <w:highlight w:val="none"/>
                <w:lang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数量</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0</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kern w:val="0"/>
                <w:szCs w:val="21"/>
                <w:highlight w:val="none"/>
                <w:lang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0</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0</w:t>
            </w:r>
          </w:p>
        </w:tc>
      </w:tr>
      <w:tr>
        <w:tblPrEx>
          <w:tblCellMar>
            <w:top w:w="0" w:type="dxa"/>
            <w:left w:w="108" w:type="dxa"/>
            <w:bottom w:w="0" w:type="dxa"/>
            <w:right w:w="108" w:type="dxa"/>
          </w:tblCellMar>
        </w:tblPrEx>
        <w:trPr>
          <w:trHeight w:val="648"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kern w:val="0"/>
                <w:szCs w:val="21"/>
                <w:highlight w:val="none"/>
                <w:lang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小计（元）</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kern w:val="0"/>
                <w:szCs w:val="21"/>
                <w:highlight w:val="none"/>
                <w:lang w:bidi="ar"/>
              </w:rPr>
            </w:pP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p>
        </w:tc>
      </w:tr>
      <w:tr>
        <w:tblPrEx>
          <w:tblCellMar>
            <w:top w:w="0" w:type="dxa"/>
            <w:left w:w="108" w:type="dxa"/>
            <w:bottom w:w="0" w:type="dxa"/>
            <w:right w:w="108" w:type="dxa"/>
          </w:tblCellMar>
        </w:tblPrEx>
        <w:trPr>
          <w:trHeight w:val="648"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kern w:val="0"/>
                <w:szCs w:val="21"/>
                <w:highlight w:val="none"/>
                <w:lang w:bidi="ar"/>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含税总价（元）</w:t>
            </w:r>
          </w:p>
        </w:tc>
        <w:tc>
          <w:tcPr>
            <w:tcW w:w="418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kern w:val="0"/>
                <w:szCs w:val="21"/>
                <w:highlight w:val="none"/>
                <w:lang w:bidi="ar"/>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不含税总价（元）</w:t>
            </w:r>
          </w:p>
        </w:tc>
        <w:tc>
          <w:tcPr>
            <w:tcW w:w="350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r>
      <w:tr>
        <w:tblPrEx>
          <w:tblCellMar>
            <w:top w:w="0" w:type="dxa"/>
            <w:left w:w="108" w:type="dxa"/>
            <w:bottom w:w="0" w:type="dxa"/>
            <w:right w:w="108" w:type="dxa"/>
          </w:tblCellMar>
        </w:tblPrEx>
        <w:trPr>
          <w:trHeight w:val="648" w:hRule="atLeast"/>
        </w:trPr>
        <w:tc>
          <w:tcPr>
            <w:tcW w:w="5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9</w:t>
            </w:r>
          </w:p>
        </w:tc>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保税港</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kern w:val="0"/>
                <w:szCs w:val="21"/>
                <w:highlight w:val="none"/>
                <w:lang w:bidi="ar"/>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数量</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kern w:val="0"/>
                <w:szCs w:val="21"/>
                <w:highlight w:val="none"/>
                <w:lang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0</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0</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w:t>
            </w:r>
          </w:p>
        </w:tc>
      </w:tr>
      <w:tr>
        <w:tblPrEx>
          <w:tblCellMar>
            <w:top w:w="0" w:type="dxa"/>
            <w:left w:w="108" w:type="dxa"/>
            <w:bottom w:w="0" w:type="dxa"/>
            <w:right w:w="108" w:type="dxa"/>
          </w:tblCellMar>
        </w:tblPrEx>
        <w:trPr>
          <w:trHeight w:val="648"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kern w:val="0"/>
                <w:szCs w:val="21"/>
                <w:highlight w:val="none"/>
                <w:lang w:bidi="ar"/>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小计（元）</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kern w:val="0"/>
                <w:szCs w:val="21"/>
                <w:highlight w:val="none"/>
                <w:lang w:bidi="ar"/>
              </w:rPr>
            </w:pP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p>
        </w:tc>
      </w:tr>
      <w:tr>
        <w:tblPrEx>
          <w:tblCellMar>
            <w:top w:w="0" w:type="dxa"/>
            <w:left w:w="108" w:type="dxa"/>
            <w:bottom w:w="0" w:type="dxa"/>
            <w:right w:w="108" w:type="dxa"/>
          </w:tblCellMar>
        </w:tblPrEx>
        <w:trPr>
          <w:trHeight w:val="648"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kern w:val="0"/>
                <w:szCs w:val="21"/>
                <w:highlight w:val="none"/>
                <w:lang w:bidi="ar"/>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含税总价（元）</w:t>
            </w:r>
          </w:p>
        </w:tc>
        <w:tc>
          <w:tcPr>
            <w:tcW w:w="418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kern w:val="0"/>
                <w:szCs w:val="21"/>
                <w:highlight w:val="none"/>
                <w:lang w:bidi="ar"/>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不税总价（元）</w:t>
            </w:r>
          </w:p>
        </w:tc>
        <w:tc>
          <w:tcPr>
            <w:tcW w:w="350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r>
      <w:tr>
        <w:tblPrEx>
          <w:tblCellMar>
            <w:top w:w="0" w:type="dxa"/>
            <w:left w:w="108" w:type="dxa"/>
            <w:bottom w:w="0" w:type="dxa"/>
            <w:right w:w="108" w:type="dxa"/>
          </w:tblCellMar>
        </w:tblPrEx>
        <w:trPr>
          <w:trHeight w:val="648" w:hRule="atLeast"/>
        </w:trPr>
        <w:tc>
          <w:tcPr>
            <w:tcW w:w="5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10</w:t>
            </w:r>
          </w:p>
        </w:tc>
        <w:tc>
          <w:tcPr>
            <w:tcW w:w="5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金沙街</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kern w:val="0"/>
                <w:szCs w:val="21"/>
                <w:highlight w:val="none"/>
                <w:lang w:bidi="ar"/>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数量</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kern w:val="0"/>
                <w:szCs w:val="21"/>
                <w:highlight w:val="none"/>
                <w:lang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6</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6</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21</w:t>
            </w:r>
          </w:p>
        </w:tc>
      </w:tr>
      <w:tr>
        <w:tblPrEx>
          <w:tblCellMar>
            <w:top w:w="0" w:type="dxa"/>
            <w:left w:w="108" w:type="dxa"/>
            <w:bottom w:w="0" w:type="dxa"/>
            <w:right w:w="108" w:type="dxa"/>
          </w:tblCellMar>
        </w:tblPrEx>
        <w:trPr>
          <w:trHeight w:val="648"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kern w:val="0"/>
                <w:szCs w:val="21"/>
                <w:highlight w:val="none"/>
                <w:lang w:bidi="ar"/>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小计（元）</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kern w:val="0"/>
                <w:szCs w:val="21"/>
                <w:highlight w:val="none"/>
                <w:lang w:bidi="ar"/>
              </w:rPr>
            </w:pP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p>
        </w:tc>
        <w:tc>
          <w:tcPr>
            <w:tcW w:w="10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highlight w:val="none"/>
              </w:rPr>
            </w:pPr>
          </w:p>
        </w:tc>
      </w:tr>
      <w:tr>
        <w:tblPrEx>
          <w:tblCellMar>
            <w:top w:w="0" w:type="dxa"/>
            <w:left w:w="108" w:type="dxa"/>
            <w:bottom w:w="0" w:type="dxa"/>
            <w:right w:w="108" w:type="dxa"/>
          </w:tblCellMar>
        </w:tblPrEx>
        <w:trPr>
          <w:trHeight w:val="648"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5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kern w:val="0"/>
                <w:szCs w:val="21"/>
                <w:highlight w:val="none"/>
                <w:lang w:bidi="ar"/>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含税总价（元）</w:t>
            </w:r>
          </w:p>
        </w:tc>
        <w:tc>
          <w:tcPr>
            <w:tcW w:w="418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kern w:val="0"/>
                <w:szCs w:val="21"/>
                <w:highlight w:val="none"/>
                <w:lang w:bidi="ar"/>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不税总价（元）</w:t>
            </w:r>
          </w:p>
        </w:tc>
        <w:tc>
          <w:tcPr>
            <w:tcW w:w="350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p>
        </w:tc>
      </w:tr>
      <w:tr>
        <w:tblPrEx>
          <w:tblCellMar>
            <w:top w:w="0" w:type="dxa"/>
            <w:left w:w="108" w:type="dxa"/>
            <w:bottom w:w="0" w:type="dxa"/>
            <w:right w:w="108" w:type="dxa"/>
          </w:tblCellMar>
        </w:tblPrEx>
        <w:trPr>
          <w:trHeight w:val="819" w:hRule="atLeast"/>
        </w:trPr>
        <w:tc>
          <w:tcPr>
            <w:tcW w:w="2168" w:type="dxa"/>
            <w:gridSpan w:val="3"/>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Style w:val="192"/>
                <w:rFonts w:hint="eastAsia" w:ascii="Times New Roman" w:hAnsi="Times New Roman" w:eastAsia="宋体" w:cs="Times New Roman"/>
                <w:color w:val="000000"/>
                <w:highlight w:val="none"/>
                <w:lang w:val="en-US" w:eastAsia="zh-CN" w:bidi="ar"/>
              </w:rPr>
              <w:t>10</w:t>
            </w:r>
            <w:r>
              <w:rPr>
                <w:rStyle w:val="193"/>
                <w:rFonts w:hint="default" w:ascii="Times New Roman" w:hAnsi="Times New Roman" w:cs="Times New Roman"/>
                <w:color w:val="000000"/>
                <w:highlight w:val="none"/>
                <w:lang w:val="en-US" w:eastAsia="zh-CN" w:bidi="ar"/>
              </w:rPr>
              <w:t>个项目含税总价（元）</w:t>
            </w:r>
          </w:p>
        </w:tc>
        <w:tc>
          <w:tcPr>
            <w:tcW w:w="4185" w:type="dxa"/>
            <w:gridSpan w:val="5"/>
            <w:tcBorders>
              <w:top w:val="single" w:color="000000" w:sz="4" w:space="0"/>
              <w:left w:val="single" w:color="000000"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c>
          <w:tcPr>
            <w:tcW w:w="106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bCs/>
                <w:color w:val="000000"/>
                <w:szCs w:val="21"/>
                <w:highlight w:val="none"/>
              </w:rPr>
            </w:pPr>
            <w:r>
              <w:rPr>
                <w:rFonts w:hint="default" w:ascii="Times New Roman" w:hAnsi="Times New Roman" w:eastAsia="方正仿宋_GBK" w:cs="Times New Roman"/>
                <w:b/>
                <w:bCs/>
                <w:i w:val="0"/>
                <w:iCs w:val="0"/>
                <w:color w:val="000000"/>
                <w:kern w:val="0"/>
                <w:sz w:val="21"/>
                <w:szCs w:val="21"/>
                <w:highlight w:val="none"/>
                <w:u w:val="none"/>
                <w:lang w:val="en-US" w:eastAsia="zh-CN" w:bidi="ar"/>
              </w:rPr>
              <w:t>不含税总价（元）</w:t>
            </w:r>
          </w:p>
        </w:tc>
        <w:tc>
          <w:tcPr>
            <w:tcW w:w="3502" w:type="dxa"/>
            <w:gridSpan w:val="4"/>
            <w:tcBorders>
              <w:top w:val="single" w:color="000000"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方正仿宋_GBK" w:cs="Times New Roman"/>
                <w:b/>
                <w:bCs/>
                <w:color w:val="000000"/>
                <w:szCs w:val="21"/>
                <w:highlight w:val="none"/>
              </w:rPr>
            </w:pPr>
          </w:p>
        </w:tc>
      </w:tr>
      <w:tr>
        <w:tblPrEx>
          <w:tblCellMar>
            <w:top w:w="0" w:type="dxa"/>
            <w:left w:w="108" w:type="dxa"/>
            <w:bottom w:w="0" w:type="dxa"/>
            <w:right w:w="108" w:type="dxa"/>
          </w:tblCellMar>
        </w:tblPrEx>
        <w:trPr>
          <w:trHeight w:val="469" w:hRule="atLeast"/>
        </w:trPr>
        <w:tc>
          <w:tcPr>
            <w:tcW w:w="10920" w:type="dxa"/>
            <w:gridSpan w:val="13"/>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default" w:ascii="Times New Roman" w:hAnsi="Times New Roman" w:eastAsia="方正仿宋_GBK" w:cs="Times New Roman"/>
                <w:b/>
                <w:bCs/>
                <w:color w:val="000000"/>
                <w:kern w:val="0"/>
                <w:szCs w:val="21"/>
                <w:highlight w:val="none"/>
                <w:lang w:val="en-US" w:eastAsia="zh-CN" w:bidi="ar"/>
              </w:rPr>
            </w:pPr>
            <w:r>
              <w:rPr>
                <w:rFonts w:hint="eastAsia" w:ascii="Times New Roman" w:hAnsi="Times New Roman" w:eastAsia="方正仿宋_GBK" w:cs="Times New Roman"/>
                <w:b/>
                <w:bCs/>
                <w:color w:val="000000"/>
                <w:kern w:val="0"/>
                <w:szCs w:val="21"/>
                <w:highlight w:val="none"/>
                <w:lang w:val="en-US" w:eastAsia="zh-CN" w:bidi="ar"/>
              </w:rPr>
              <w:t>税率：</w:t>
            </w:r>
          </w:p>
        </w:tc>
      </w:tr>
      <w:tr>
        <w:tblPrEx>
          <w:tblCellMar>
            <w:top w:w="0" w:type="dxa"/>
            <w:left w:w="108" w:type="dxa"/>
            <w:bottom w:w="0" w:type="dxa"/>
            <w:right w:w="108" w:type="dxa"/>
          </w:tblCellMar>
        </w:tblPrEx>
        <w:trPr>
          <w:trHeight w:val="569" w:hRule="atLeast"/>
        </w:trPr>
        <w:tc>
          <w:tcPr>
            <w:tcW w:w="10920" w:type="dxa"/>
            <w:gridSpan w:val="13"/>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default" w:ascii="Times New Roman" w:hAnsi="Times New Roman" w:eastAsia="方正仿宋_GBK" w:cs="Times New Roman"/>
                <w:b/>
                <w:bCs/>
                <w:color w:val="000000"/>
                <w:kern w:val="0"/>
                <w:szCs w:val="21"/>
                <w:highlight w:val="none"/>
                <w:lang w:bidi="ar"/>
              </w:rPr>
            </w:pPr>
            <w:r>
              <w:rPr>
                <w:rFonts w:hint="default" w:ascii="Times New Roman" w:hAnsi="Times New Roman" w:eastAsia="方正仿宋_GBK" w:cs="Times New Roman"/>
                <w:b/>
                <w:bCs/>
                <w:color w:val="000000"/>
                <w:kern w:val="0"/>
                <w:szCs w:val="21"/>
                <w:highlight w:val="none"/>
                <w:lang w:val="en-US" w:eastAsia="zh-CN" w:bidi="ar"/>
              </w:rPr>
              <w:t>二、</w:t>
            </w:r>
            <w:r>
              <w:rPr>
                <w:rFonts w:hint="default" w:ascii="Times New Roman" w:hAnsi="Times New Roman" w:eastAsia="方正仿宋_GBK" w:cs="Times New Roman"/>
                <w:b/>
                <w:bCs/>
                <w:color w:val="000000"/>
                <w:kern w:val="0"/>
                <w:szCs w:val="21"/>
                <w:highlight w:val="none"/>
                <w:lang w:bidi="ar"/>
              </w:rPr>
              <w:t>服务期限：202</w:t>
            </w:r>
            <w:r>
              <w:rPr>
                <w:rFonts w:hint="eastAsia" w:ascii="Times New Roman" w:hAnsi="Times New Roman" w:eastAsia="方正仿宋_GBK" w:cs="Times New Roman"/>
                <w:b/>
                <w:bCs/>
                <w:color w:val="000000"/>
                <w:kern w:val="0"/>
                <w:szCs w:val="21"/>
                <w:highlight w:val="none"/>
                <w:lang w:val="en-US" w:eastAsia="zh-CN" w:bidi="ar"/>
              </w:rPr>
              <w:t>6</w:t>
            </w:r>
            <w:r>
              <w:rPr>
                <w:rFonts w:hint="default" w:ascii="Times New Roman" w:hAnsi="Times New Roman" w:eastAsia="方正仿宋_GBK" w:cs="Times New Roman"/>
                <w:b/>
                <w:bCs/>
                <w:color w:val="000000"/>
                <w:kern w:val="0"/>
                <w:szCs w:val="21"/>
                <w:highlight w:val="none"/>
                <w:lang w:bidi="ar"/>
              </w:rPr>
              <w:t>.1.1-202</w:t>
            </w:r>
            <w:r>
              <w:rPr>
                <w:rFonts w:hint="eastAsia" w:ascii="Times New Roman" w:hAnsi="Times New Roman" w:eastAsia="方正仿宋_GBK" w:cs="Times New Roman"/>
                <w:b/>
                <w:bCs/>
                <w:color w:val="000000"/>
                <w:kern w:val="0"/>
                <w:szCs w:val="21"/>
                <w:highlight w:val="none"/>
                <w:lang w:val="en-US" w:eastAsia="zh-CN" w:bidi="ar"/>
              </w:rPr>
              <w:t>6</w:t>
            </w:r>
            <w:r>
              <w:rPr>
                <w:rFonts w:hint="default" w:ascii="Times New Roman" w:hAnsi="Times New Roman" w:eastAsia="方正仿宋_GBK" w:cs="Times New Roman"/>
                <w:b/>
                <w:bCs/>
                <w:color w:val="000000"/>
                <w:kern w:val="0"/>
                <w:szCs w:val="21"/>
                <w:highlight w:val="none"/>
                <w:lang w:bidi="ar"/>
              </w:rPr>
              <w:t>.12.31，共计12个月。</w:t>
            </w:r>
          </w:p>
        </w:tc>
      </w:tr>
      <w:tr>
        <w:tblPrEx>
          <w:tblCellMar>
            <w:top w:w="0" w:type="dxa"/>
            <w:left w:w="108" w:type="dxa"/>
            <w:bottom w:w="0" w:type="dxa"/>
            <w:right w:w="108" w:type="dxa"/>
          </w:tblCellMar>
        </w:tblPrEx>
        <w:trPr>
          <w:trHeight w:val="1236" w:hRule="atLeast"/>
        </w:trPr>
        <w:tc>
          <w:tcPr>
            <w:tcW w:w="10920" w:type="dxa"/>
            <w:gridSpan w:val="13"/>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5"/>
              </w:numPr>
              <w:textAlignment w:val="center"/>
              <w:rPr>
                <w:rFonts w:hint="default" w:ascii="Times New Roman" w:hAnsi="Times New Roman" w:eastAsia="方正仿宋_GBK" w:cs="Times New Roman"/>
                <w:b/>
                <w:bCs/>
                <w:color w:val="000000"/>
                <w:kern w:val="0"/>
                <w:szCs w:val="21"/>
                <w:highlight w:val="none"/>
                <w:lang w:eastAsia="zh-CN" w:bidi="ar"/>
              </w:rPr>
            </w:pPr>
            <w:r>
              <w:rPr>
                <w:rFonts w:hint="default" w:ascii="Times New Roman" w:hAnsi="Times New Roman" w:eastAsia="方正仿宋_GBK" w:cs="Times New Roman"/>
                <w:b/>
                <w:bCs/>
                <w:color w:val="000000"/>
                <w:kern w:val="0"/>
                <w:szCs w:val="21"/>
                <w:highlight w:val="none"/>
                <w:lang w:val="en-US" w:eastAsia="zh-CN" w:bidi="ar"/>
              </w:rPr>
              <w:t>备注：1.</w:t>
            </w:r>
            <w:r>
              <w:rPr>
                <w:rFonts w:hint="default" w:ascii="Times New Roman" w:hAnsi="Times New Roman" w:eastAsia="方正仿宋_GBK" w:cs="Times New Roman"/>
                <w:b/>
                <w:bCs/>
                <w:color w:val="000000"/>
                <w:kern w:val="0"/>
                <w:szCs w:val="21"/>
                <w:highlight w:val="none"/>
                <w:lang w:bidi="ar"/>
              </w:rPr>
              <w:t>上述报价为包干价，含300元及300元以内的配件免费更换</w:t>
            </w:r>
            <w:r>
              <w:rPr>
                <w:rFonts w:hint="default" w:ascii="Times New Roman" w:hAnsi="Times New Roman" w:eastAsia="方正仿宋_GBK" w:cs="Times New Roman"/>
                <w:b/>
                <w:bCs/>
                <w:color w:val="000000"/>
                <w:kern w:val="0"/>
                <w:szCs w:val="21"/>
                <w:highlight w:val="none"/>
                <w:lang w:eastAsia="zh-CN" w:bidi="ar"/>
              </w:rPr>
              <w:t>；</w:t>
            </w:r>
          </w:p>
          <w:p>
            <w:pPr>
              <w:widowControl/>
              <w:numPr>
                <w:ilvl w:val="0"/>
                <w:numId w:val="0"/>
              </w:numPr>
              <w:ind w:leftChars="0" w:firstLine="1004" w:firstLineChars="500"/>
              <w:textAlignment w:val="center"/>
              <w:rPr>
                <w:rFonts w:hint="default" w:ascii="Times New Roman" w:hAnsi="Times New Roman" w:eastAsia="方正仿宋_GBK" w:cs="Times New Roman"/>
                <w:b/>
                <w:bCs/>
                <w:color w:val="000000"/>
                <w:kern w:val="0"/>
                <w:szCs w:val="21"/>
                <w:highlight w:val="none"/>
                <w:lang w:eastAsia="zh-CN" w:bidi="ar"/>
              </w:rPr>
            </w:pPr>
            <w:r>
              <w:rPr>
                <w:rFonts w:hint="default" w:ascii="Times New Roman" w:hAnsi="Times New Roman" w:eastAsia="方正仿宋_GBK" w:cs="Times New Roman"/>
                <w:b/>
                <w:bCs/>
                <w:color w:val="000000"/>
                <w:kern w:val="0"/>
                <w:szCs w:val="21"/>
                <w:highlight w:val="none"/>
                <w:lang w:val="en-US" w:eastAsia="zh-CN" w:bidi="ar"/>
              </w:rPr>
              <w:t>2.</w:t>
            </w:r>
            <w:r>
              <w:rPr>
                <w:rFonts w:hint="default" w:ascii="Times New Roman" w:hAnsi="Times New Roman" w:eastAsia="方正仿宋_GBK" w:cs="Times New Roman"/>
                <w:b/>
                <w:bCs/>
                <w:color w:val="000000"/>
                <w:kern w:val="0"/>
                <w:szCs w:val="21"/>
                <w:highlight w:val="none"/>
                <w:lang w:bidi="ar"/>
              </w:rPr>
              <w:t>所填报价格必须保留至小数点后2位，小数点后无数字时填写0</w:t>
            </w:r>
            <w:r>
              <w:rPr>
                <w:rFonts w:hint="default" w:ascii="Times New Roman" w:hAnsi="Times New Roman" w:eastAsia="方正仿宋_GBK" w:cs="Times New Roman"/>
                <w:b/>
                <w:bCs/>
                <w:color w:val="000000"/>
                <w:kern w:val="0"/>
                <w:szCs w:val="21"/>
                <w:highlight w:val="none"/>
                <w:lang w:eastAsia="zh-CN" w:bidi="ar"/>
              </w:rPr>
              <w:t>；</w:t>
            </w:r>
          </w:p>
          <w:p>
            <w:pPr>
              <w:widowControl/>
              <w:numPr>
                <w:ilvl w:val="0"/>
                <w:numId w:val="0"/>
              </w:numPr>
              <w:ind w:leftChars="0" w:firstLine="1004" w:firstLineChars="500"/>
              <w:textAlignment w:val="center"/>
              <w:rPr>
                <w:rFonts w:hint="default" w:ascii="Times New Roman" w:hAnsi="Times New Roman" w:eastAsia="方正仿宋_GBK" w:cs="Times New Roman"/>
                <w:b/>
                <w:bCs/>
                <w:color w:val="000000"/>
                <w:kern w:val="0"/>
                <w:szCs w:val="21"/>
                <w:highlight w:val="none"/>
                <w:lang w:val="en-US" w:eastAsia="zh-CN" w:bidi="ar"/>
              </w:rPr>
            </w:pPr>
            <w:r>
              <w:rPr>
                <w:rFonts w:hint="default" w:ascii="Times New Roman" w:hAnsi="Times New Roman" w:eastAsia="方正仿宋_GBK" w:cs="Times New Roman"/>
                <w:b/>
                <w:bCs/>
                <w:color w:val="000000"/>
                <w:kern w:val="0"/>
                <w:szCs w:val="21"/>
                <w:highlight w:val="none"/>
                <w:lang w:val="en-US" w:eastAsia="zh-CN" w:bidi="ar"/>
              </w:rPr>
              <w:t>3.请同步将“</w:t>
            </w:r>
            <w:r>
              <w:rPr>
                <w:rFonts w:hint="default" w:ascii="Times New Roman" w:hAnsi="Times New Roman" w:eastAsia="方正仿宋_GBK" w:cs="Times New Roman"/>
                <w:b/>
                <w:bCs/>
                <w:color w:val="000000"/>
                <w:kern w:val="0"/>
                <w:szCs w:val="21"/>
                <w:highlight w:val="none"/>
                <w:lang w:bidi="ar"/>
              </w:rPr>
              <w:t>配电维保服务报价清单</w:t>
            </w:r>
            <w:r>
              <w:rPr>
                <w:rFonts w:hint="default" w:ascii="Times New Roman" w:hAnsi="Times New Roman" w:eastAsia="方正仿宋_GBK" w:cs="Times New Roman"/>
                <w:b/>
                <w:bCs/>
                <w:color w:val="000000"/>
                <w:kern w:val="0"/>
                <w:szCs w:val="21"/>
                <w:highlight w:val="none"/>
                <w:lang w:val="en-US" w:eastAsia="zh-CN" w:bidi="ar"/>
              </w:rPr>
              <w:t>”EXCEL版拷贝至投标文件U盘中，</w:t>
            </w:r>
            <w:r>
              <w:rPr>
                <w:rFonts w:hint="eastAsia" w:ascii="Times New Roman" w:hAnsi="Times New Roman" w:eastAsia="方正仿宋_GBK" w:cs="Times New Roman"/>
                <w:b/>
                <w:bCs/>
                <w:color w:val="000000"/>
                <w:kern w:val="0"/>
                <w:szCs w:val="21"/>
                <w:highlight w:val="none"/>
                <w:lang w:val="en-US" w:eastAsia="zh-CN" w:bidi="ar"/>
              </w:rPr>
              <w:t>以便</w:t>
            </w:r>
            <w:r>
              <w:rPr>
                <w:rFonts w:hint="default" w:ascii="Times New Roman" w:hAnsi="Times New Roman" w:eastAsia="方正仿宋_GBK" w:cs="Times New Roman"/>
                <w:b/>
                <w:bCs/>
                <w:color w:val="000000"/>
                <w:kern w:val="0"/>
                <w:szCs w:val="21"/>
                <w:highlight w:val="none"/>
                <w:lang w:val="en-US" w:eastAsia="zh-CN" w:bidi="ar"/>
              </w:rPr>
              <w:t>核价。</w:t>
            </w:r>
          </w:p>
        </w:tc>
      </w:tr>
    </w:tbl>
    <w:p>
      <w:pPr>
        <w:widowControl/>
        <w:ind w:firstLine="201" w:firstLineChars="100"/>
        <w:textAlignment w:val="center"/>
        <w:rPr>
          <w:rFonts w:hint="default" w:ascii="Times New Roman" w:hAnsi="Times New Roman" w:eastAsia="方正仿宋_GBK" w:cs="Times New Roman"/>
          <w:b/>
          <w:bCs/>
          <w:color w:val="000000"/>
          <w:kern w:val="0"/>
          <w:szCs w:val="21"/>
          <w:highlight w:val="none"/>
          <w:lang w:bidi="ar"/>
        </w:rPr>
      </w:pPr>
    </w:p>
    <w:p>
      <w:pPr>
        <w:spacing w:line="200" w:lineRule="exact"/>
        <w:rPr>
          <w:rFonts w:hint="eastAsia" w:ascii="宋体" w:hAnsi="宋体" w:eastAsia="宋体" w:cs="宋体"/>
          <w:color w:val="auto"/>
          <w:highlight w:val="none"/>
        </w:rPr>
      </w:pPr>
      <w:bookmarkStart w:id="164" w:name="page78"/>
      <w:bookmarkEnd w:id="164"/>
    </w:p>
    <w:sectPr>
      <w:headerReference r:id="rId15" w:type="default"/>
      <w:footerReference r:id="rId16" w:type="default"/>
      <w:pgSz w:w="11906" w:h="16838"/>
      <w:pgMar w:top="1440" w:right="1276" w:bottom="1440" w:left="1418" w:header="851" w:footer="992" w:gutter="0"/>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2BFFC5-5B87-4261-914A-F2B7BBB8D7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0" w:usb1="00000000" w:usb2="00000000" w:usb3="00000000" w:csb0="00000000" w:csb1="00000000"/>
    <w:embedRegular r:id="rId2" w:fontKey="{045BAB6E-9CB1-4E2A-BB5A-8A576F39D5C5}"/>
  </w:font>
  <w:font w:name="MingLiU">
    <w:altName w:val="PMingLiU-ExtB"/>
    <w:panose1 w:val="02020509000000000000"/>
    <w:charset w:val="88"/>
    <w:family w:val="modern"/>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0" w:usb1="00000000" w:usb2="00000000" w:usb3="00000000" w:csb0="00000000" w:csb1="00000000"/>
    <w:embedRegular r:id="rId3" w:fontKey="{25D86E36-FD7F-4D31-A8DB-5A3C6473EDBA}"/>
  </w:font>
  <w:font w:name="方正小标宋_GBK">
    <w:panose1 w:val="03000509000000000000"/>
    <w:charset w:val="86"/>
    <w:family w:val="script"/>
    <w:pitch w:val="default"/>
    <w:sig w:usb0="00000000" w:usb1="00000000" w:usb2="00000000" w:usb3="00000000" w:csb0="00000000" w:csb1="00000000"/>
    <w:embedRegular r:id="rId4" w:fontKey="{6856B3D2-A8FE-4689-A06C-4A9BF2012E0E}"/>
  </w:font>
  <w:font w:name="方正黑体_GBK">
    <w:panose1 w:val="03000509000000000000"/>
    <w:charset w:val="86"/>
    <w:family w:val="script"/>
    <w:pitch w:val="default"/>
    <w:sig w:usb0="00000000" w:usb1="00000000" w:usb2="00000000" w:usb3="00000000" w:csb0="00000000" w:csb1="00000000"/>
    <w:embedRegular r:id="rId5" w:fontKey="{96D9C6E4-50DE-4786-9D40-3E2C97BED1FF}"/>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67wAWNEAAAACAQAADwAAAAAAAAABACAAAAAiAAAAZHJzL2Rvd25yZXYueG1s&#10;UEsBAhQAFAAAAAgAh07iQEwCNL44AgAAYgQAAA4AAAAAAAAAAQAgAAAAIAEAAGRycy9lMm9Eb2Mu&#10;eG1sUEsFBgAAAAAGAAYAWQEAAMo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vRG8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1DiHrflTXK9SC8Oy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9EbyQEAAJsDAAAOAAAAAAAAAAEAIAAAAB4BAABkcnMvZTJvRG9j&#10;LnhtbFBLBQYAAAAABgAGAFkBAABZBQ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Style w:val="27"/>
        <w:rFonts w:hint="eastAsi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42</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42</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shape>
          </w:pict>
        </mc:Fallback>
      </mc:AlternateContent>
    </w:r>
  </w:p>
  <w:p>
    <w:pPr>
      <w:pStyle w:val="13"/>
      <w:rPr>
        <w:rStyle w:val="27"/>
        <w:rFonts w:hint="eastAsia"/>
      </w:rPr>
    </w:pP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single" w:color="auto" w:sz="4" w:space="0"/>
      </w:pBdr>
      <w:tabs>
        <w:tab w:val="left" w:pos="4327"/>
        <w:tab w:val="clear" w:pos="4153"/>
      </w:tabs>
      <w:rPr>
        <w:i/>
        <w:iCs/>
      </w:rPr>
    </w:pPr>
    <w:r>
      <w:rPr>
        <w:rFonts w:ascii="宋体" w:hAnsi="宋体" w:cs="宋体"/>
        <w:sz w:val="24"/>
        <w:szCs w:val="24"/>
      </w:rPr>
      <w:drawing>
        <wp:inline distT="0" distB="0" distL="114300" distR="114300">
          <wp:extent cx="403225" cy="176530"/>
          <wp:effectExtent l="0" t="0" r="15875" b="13970"/>
          <wp:docPr id="11"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descr="IMG_256"/>
                  <pic:cNvPicPr>
                    <a:picLocks noChangeAspect="1"/>
                  </pic:cNvPicPr>
                </pic:nvPicPr>
                <pic:blipFill>
                  <a:blip r:embed="rId1"/>
                  <a:srcRect t="11876" r="-3000" b="13756"/>
                  <a:stretch>
                    <a:fillRect/>
                  </a:stretch>
                </pic:blipFill>
                <pic:spPr>
                  <a:xfrm>
                    <a:off x="0" y="0"/>
                    <a:ext cx="403225" cy="176530"/>
                  </a:xfrm>
                  <a:prstGeom prst="rect">
                    <a:avLst/>
                  </a:prstGeom>
                  <a:noFill/>
                  <a:ln>
                    <a:noFill/>
                  </a:ln>
                </pic:spPr>
              </pic:pic>
            </a:graphicData>
          </a:graphic>
        </wp:inline>
      </w:drawing>
    </w:r>
    <w:r>
      <w:rPr>
        <w:rFonts w:hint="default"/>
        <w:i/>
        <w:iCs/>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9" name="文本框 4"/>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9525">
                        <a:noFill/>
                      </a:ln>
                      <a:effectLst/>
                    </wps:spPr>
                    <wps:txbx>
                      <w:txbxContent>
                        <w:p>
                          <w:pPr>
                            <w:pStyle w:val="13"/>
                            <w:jc w:val="both"/>
                          </w:pPr>
                          <w:r>
                            <w:fldChar w:fldCharType="begin"/>
                          </w:r>
                          <w:r>
                            <w:instrText xml:space="preserve"> PAGE  \* MERGEFORMAT </w:instrText>
                          </w:r>
                          <w:r>
                            <w:fldChar w:fldCharType="separate"/>
                          </w:r>
                          <w:r>
                            <w:t>50</w:t>
                          </w:r>
                          <w:r>
                            <w:fldChar w:fldCharType="end"/>
                          </w:r>
                        </w:p>
                      </w:txbxContent>
                    </wps:txbx>
                    <wps:bodyPr vert="horz" wrap="none" lIns="0" tIns="0" rIns="0" bIns="0" anchor="t">
                      <a:spAutoFit/>
                    </wps:bodyPr>
                  </wps:wsp>
                </a:graphicData>
              </a:graphic>
            </wp:anchor>
          </w:drawing>
        </mc:Choice>
        <mc:Fallback>
          <w:pict>
            <v:shape id="文本框 4"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Q+V+SdAAAAADAQAADwAAAAAA&#10;AAABACAAAAAiAAAAZHJzL2Rvd25yZXYueG1sUEsBAhQAFAAAAAgAh07iQC9+OgPiAQAAuAMAAA4A&#10;AAAAAAAAAQAgAAAAHwEAAGRycy9lMm9Eb2MueG1sUEsFBgAAAAAGAAYAWQEAAHMFAAAAAA==&#10;">
              <v:fill on="f" focussize="0,0"/>
              <v:stroke on="f"/>
              <v:imagedata o:title=""/>
              <o:lock v:ext="edit" aspectratio="f"/>
              <v:textbox inset="0mm,0mm,0mm,0mm" style="mso-fit-shape-to-text:t;">
                <w:txbxContent>
                  <w:p>
                    <w:pPr>
                      <w:pStyle w:val="13"/>
                      <w:jc w:val="both"/>
                    </w:pPr>
                    <w:r>
                      <w:fldChar w:fldCharType="begin"/>
                    </w:r>
                    <w:r>
                      <w:instrText xml:space="preserve"> PAGE  \* MERGEFORMAT </w:instrText>
                    </w:r>
                    <w:r>
                      <w:fldChar w:fldCharType="separate"/>
                    </w:r>
                    <w:r>
                      <w:t>50</w:t>
                    </w:r>
                    <w:r>
                      <w:fldChar w:fldCharType="end"/>
                    </w:r>
                  </w:p>
                </w:txbxContent>
              </v:textbox>
            </v:shape>
          </w:pict>
        </mc:Fallback>
      </mc:AlternateContent>
    </w:r>
    <w:r>
      <w:rPr>
        <w:rFonts w:hint="eastAsia"/>
        <w:i/>
        <w:iCs/>
        <w:lang w:val="en-US" w:eastAsia="zh-CN"/>
      </w:rPr>
      <w:t>重庆国际投资咨询集团有限公司</w:t>
    </w:r>
    <w:r>
      <w:rPr>
        <w:rFonts w:hint="eastAsia" w:ascii="宋体" w:hAnsi="宋体"/>
        <w:i/>
        <w:iCs/>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nmGe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4d8ctTvz84/v55+/zr28E&#10;fShQH6DGvMeAmWm48QMmz35AZ+Y9qGjzFxkRjKO8p4u8ckhE5Eer5WpVYUhgbL4gPnt6HiKkO+kt&#10;yUZDI86vyMqP95DG1DklV3P+VhtTZmjcXw7EzB6Wex97zFYadsNEaOfbE/LpcfQNdbjplJiPDpXN&#10;WzIbcTZ2s3EIUe+7ska5HoQPh4RNlN5yhRF2KowzK+ym/cpL8fxesp7+qc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p5hnvIAQAAmwMAAA4AAAAAAAAAAQAgAAAAHgEAAGRycy9lMm9Eb2Mu&#10;eG1sUEsFBgAAAAAGAAYAWQEAAFg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shape>
          </w:pict>
        </mc:Fallback>
      </mc:AlternateContent>
    </w:r>
  </w:p>
  <w:p>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t xml:space="preserve">第 </w:t>
                          </w:r>
                          <w:r>
                            <w:fldChar w:fldCharType="begin"/>
                          </w:r>
                          <w:r>
                            <w:instrText xml:space="preserve"> PAGE  \* MERGEFORMAT </w:instrText>
                          </w:r>
                          <w:r>
                            <w:fldChar w:fldCharType="separate"/>
                          </w:r>
                          <w:r>
                            <w:t>15</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OwyWMo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jOwyWMoBAACbAwAADgAAAAAAAAABACAAAAAeAQAAZHJzL2Uyb0Rv&#10;Yy54bWxQSwUGAAAAAAYABgBZAQAAWgU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15</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482"/>
      <w:jc w:val="center"/>
      <w:rPr>
        <w:sz w:val="24"/>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33705" cy="219075"/>
              <wp:effectExtent l="0" t="0" r="0" b="0"/>
              <wp:wrapNone/>
              <wp:docPr id="7" name="矩形 3"/>
              <wp:cNvGraphicFramePr/>
              <a:graphic xmlns:a="http://schemas.openxmlformats.org/drawingml/2006/main">
                <a:graphicData uri="http://schemas.microsoft.com/office/word/2010/wordprocessingShape">
                  <wps:wsp>
                    <wps:cNvSpPr/>
                    <wps:spPr>
                      <a:xfrm>
                        <a:off x="0" y="0"/>
                        <a:ext cx="433705" cy="219075"/>
                      </a:xfrm>
                      <a:prstGeom prst="rect">
                        <a:avLst/>
                      </a:prstGeom>
                      <a:noFill/>
                      <a:ln>
                        <a:noFill/>
                      </a:ln>
                      <a:effectLst/>
                    </wps:spPr>
                    <wps:txbx>
                      <w:txbxContent>
                        <w:p>
                          <w:pPr>
                            <w:snapToGrid w:val="0"/>
                            <w:spacing w:line="360" w:lineRule="auto"/>
                            <w:ind w:firstLine="482"/>
                            <w:rPr>
                              <w:sz w:val="24"/>
                            </w:rPr>
                          </w:pPr>
                          <w:r>
                            <w:fldChar w:fldCharType="begin"/>
                          </w:r>
                          <w:r>
                            <w:instrText xml:space="preserve">PAGE</w:instrText>
                          </w:r>
                          <w:r>
                            <w:fldChar w:fldCharType="separate"/>
                          </w:r>
                          <w:r>
                            <w:t>74</w:t>
                          </w:r>
                          <w:r>
                            <w:fldChar w:fldCharType="end"/>
                          </w:r>
                        </w:p>
                      </w:txbxContent>
                    </wps:txbx>
                    <wps:bodyPr vert="horz" wrap="none" lIns="0" tIns="0" rIns="0" bIns="0" anchor="t" upright="1">
                      <a:spAutoFit/>
                    </wps:bodyPr>
                  </wps:wsp>
                </a:graphicData>
              </a:graphic>
            </wp:anchor>
          </w:drawing>
        </mc:Choice>
        <mc:Fallback>
          <w:pict>
            <v:rect id="矩形 3" o:spid="_x0000_s1026" o:spt="1" style="position:absolute;left:0pt;margin-top:0pt;height:17.25pt;width:34.15pt;mso-position-horizontal:center;mso-position-horizontal-relative:margin;mso-wrap-style:none;z-index:251659264;mso-width-relative:page;mso-height-relative:page;" filled="f" stroked="f" coordsize="21600,21600" o:gfxdata="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97i9I0gAAAAMBAAAPAAAAAAAAAAEAIAAA&#10;ACIAAABkcnMvZG93bnJldi54bWxQSwECFAAUAAAACACHTuJA2AI/u9kBAACvAwAADgAAAAAAAAAB&#10;ACAAAAAhAQAAZHJzL2Uyb0RvYy54bWxQSwUGAAAAAAYABgBZAQAAbAUAAAAA&#10;">
              <v:fill on="f" focussize="0,0"/>
              <v:stroke on="f"/>
              <v:imagedata o:title=""/>
              <o:lock v:ext="edit" aspectratio="f"/>
              <v:textbox inset="0mm,0mm,0mm,0mm" style="mso-fit-shape-to-text:t;">
                <w:txbxContent>
                  <w:p>
                    <w:pPr>
                      <w:snapToGrid w:val="0"/>
                      <w:spacing w:line="360" w:lineRule="auto"/>
                      <w:ind w:firstLine="482"/>
                      <w:rPr>
                        <w:sz w:val="24"/>
                      </w:rPr>
                    </w:pPr>
                    <w:r>
                      <w:fldChar w:fldCharType="begin"/>
                    </w:r>
                    <w:r>
                      <w:instrText xml:space="preserve">PAGE</w:instrText>
                    </w:r>
                    <w:r>
                      <w:fldChar w:fldCharType="separate"/>
                    </w:r>
                    <w:r>
                      <w:t>74</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0" w:lineRule="exact"/>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000000" w:sz="4" w:space="1"/>
      </w:pBdr>
      <w:tabs>
        <w:tab w:val="center" w:pos="4153"/>
        <w:tab w:val="right" w:pos="8306"/>
      </w:tabs>
      <w:snapToGrid w:val="0"/>
      <w:ind w:firstLine="180" w:firstLineChars="100"/>
      <w:jc w:val="left"/>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5996D"/>
    <w:multiLevelType w:val="singleLevel"/>
    <w:tmpl w:val="9595996D"/>
    <w:lvl w:ilvl="0" w:tentative="0">
      <w:start w:val="5"/>
      <w:numFmt w:val="decimal"/>
      <w:suff w:val="nothing"/>
      <w:lvlText w:val="（%1）"/>
      <w:lvlJc w:val="left"/>
    </w:lvl>
  </w:abstractNum>
  <w:abstractNum w:abstractNumId="1">
    <w:nsid w:val="C5B86B13"/>
    <w:multiLevelType w:val="singleLevel"/>
    <w:tmpl w:val="C5B86B13"/>
    <w:lvl w:ilvl="0" w:tentative="0">
      <w:start w:val="1"/>
      <w:numFmt w:val="chineseCounting"/>
      <w:suff w:val="nothing"/>
      <w:lvlText w:val="（%1）"/>
      <w:lvlJc w:val="left"/>
      <w:pPr>
        <w:tabs>
          <w:tab w:val="left" w:pos="0"/>
        </w:tabs>
      </w:pPr>
      <w:rPr>
        <w:rFonts w:hint="eastAsia"/>
      </w:rPr>
    </w:lvl>
  </w:abstractNum>
  <w:abstractNum w:abstractNumId="2">
    <w:nsid w:val="C6ECD3E4"/>
    <w:multiLevelType w:val="singleLevel"/>
    <w:tmpl w:val="C6ECD3E4"/>
    <w:lvl w:ilvl="0" w:tentative="0">
      <w:start w:val="6"/>
      <w:numFmt w:val="chineseCounting"/>
      <w:suff w:val="space"/>
      <w:lvlText w:val="第%1章"/>
      <w:lvlJc w:val="left"/>
      <w:rPr>
        <w:rFonts w:hint="eastAsia"/>
      </w:rPr>
    </w:lvl>
  </w:abstractNum>
  <w:abstractNum w:abstractNumId="3">
    <w:nsid w:val="2BC04BCA"/>
    <w:multiLevelType w:val="singleLevel"/>
    <w:tmpl w:val="2BC04BCA"/>
    <w:lvl w:ilvl="0" w:tentative="0">
      <w:start w:val="3"/>
      <w:numFmt w:val="chineseCounting"/>
      <w:suff w:val="nothing"/>
      <w:lvlText w:val="%1、"/>
      <w:lvlJc w:val="left"/>
      <w:rPr>
        <w:rFonts w:hint="eastAsia"/>
      </w:rPr>
    </w:lvl>
  </w:abstractNum>
  <w:abstractNum w:abstractNumId="4">
    <w:nsid w:val="66104F0B"/>
    <w:multiLevelType w:val="multilevel"/>
    <w:tmpl w:val="66104F0B"/>
    <w:lvl w:ilvl="0" w:tentative="0">
      <w:start w:val="1"/>
      <w:numFmt w:val="decimal"/>
      <w:pStyle w:val="5"/>
      <w:lvlText w:val="(%1)"/>
      <w:lvlJc w:val="left"/>
      <w:pPr>
        <w:tabs>
          <w:tab w:val="left" w:pos="600"/>
        </w:tabs>
        <w:ind w:left="600" w:hanging="360"/>
      </w:pPr>
      <w:rPr>
        <w:rFonts w:hint="default"/>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hyphenationZone w:val="360"/>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yYmRjMzFiZWMzYTc0NDgwZjYyMGNhZGFlZTcyZjYifQ=="/>
  </w:docVars>
  <w:rsids>
    <w:rsidRoot w:val="0041192D"/>
    <w:rsid w:val="000028E4"/>
    <w:rsid w:val="000078F2"/>
    <w:rsid w:val="00024FC5"/>
    <w:rsid w:val="000253E1"/>
    <w:rsid w:val="00032F3E"/>
    <w:rsid w:val="00045079"/>
    <w:rsid w:val="0007466A"/>
    <w:rsid w:val="00075F27"/>
    <w:rsid w:val="00086950"/>
    <w:rsid w:val="00091C0E"/>
    <w:rsid w:val="000935FC"/>
    <w:rsid w:val="000A189F"/>
    <w:rsid w:val="000A3023"/>
    <w:rsid w:val="000A4D31"/>
    <w:rsid w:val="000A7B6E"/>
    <w:rsid w:val="000C1CFC"/>
    <w:rsid w:val="000C3E47"/>
    <w:rsid w:val="000E2C79"/>
    <w:rsid w:val="00117C4A"/>
    <w:rsid w:val="00131DF0"/>
    <w:rsid w:val="00171BEA"/>
    <w:rsid w:val="00184609"/>
    <w:rsid w:val="00196651"/>
    <w:rsid w:val="001B455B"/>
    <w:rsid w:val="001C58D3"/>
    <w:rsid w:val="001F1DF8"/>
    <w:rsid w:val="002156F6"/>
    <w:rsid w:val="00216F96"/>
    <w:rsid w:val="002227B7"/>
    <w:rsid w:val="002261FF"/>
    <w:rsid w:val="002304F1"/>
    <w:rsid w:val="00240328"/>
    <w:rsid w:val="002523CA"/>
    <w:rsid w:val="00276602"/>
    <w:rsid w:val="00277E07"/>
    <w:rsid w:val="00285B72"/>
    <w:rsid w:val="002A4574"/>
    <w:rsid w:val="002C0581"/>
    <w:rsid w:val="002E0A76"/>
    <w:rsid w:val="002E7F71"/>
    <w:rsid w:val="00305D5E"/>
    <w:rsid w:val="00314A3C"/>
    <w:rsid w:val="0031671D"/>
    <w:rsid w:val="0032185B"/>
    <w:rsid w:val="00325ACE"/>
    <w:rsid w:val="00334F71"/>
    <w:rsid w:val="00336B5D"/>
    <w:rsid w:val="00342FD6"/>
    <w:rsid w:val="00353ADA"/>
    <w:rsid w:val="00357842"/>
    <w:rsid w:val="00380F78"/>
    <w:rsid w:val="0039148C"/>
    <w:rsid w:val="003B3E84"/>
    <w:rsid w:val="003D13F9"/>
    <w:rsid w:val="003D7BB7"/>
    <w:rsid w:val="003E09E5"/>
    <w:rsid w:val="003E39E4"/>
    <w:rsid w:val="003E4A9A"/>
    <w:rsid w:val="003F3327"/>
    <w:rsid w:val="003F7A07"/>
    <w:rsid w:val="00405429"/>
    <w:rsid w:val="00407EED"/>
    <w:rsid w:val="0041192D"/>
    <w:rsid w:val="0044237F"/>
    <w:rsid w:val="00444338"/>
    <w:rsid w:val="00450635"/>
    <w:rsid w:val="0047781D"/>
    <w:rsid w:val="0048069C"/>
    <w:rsid w:val="004854F2"/>
    <w:rsid w:val="004872F2"/>
    <w:rsid w:val="00491B27"/>
    <w:rsid w:val="00493B54"/>
    <w:rsid w:val="004B6095"/>
    <w:rsid w:val="004D0A46"/>
    <w:rsid w:val="004D2293"/>
    <w:rsid w:val="004D7D19"/>
    <w:rsid w:val="00503F2C"/>
    <w:rsid w:val="00514566"/>
    <w:rsid w:val="00540CA4"/>
    <w:rsid w:val="00550B14"/>
    <w:rsid w:val="00563C94"/>
    <w:rsid w:val="00593515"/>
    <w:rsid w:val="00594A82"/>
    <w:rsid w:val="005A089B"/>
    <w:rsid w:val="005A1EB5"/>
    <w:rsid w:val="005B3B5A"/>
    <w:rsid w:val="005D62ED"/>
    <w:rsid w:val="005F7521"/>
    <w:rsid w:val="00601DBB"/>
    <w:rsid w:val="00617D70"/>
    <w:rsid w:val="0062211F"/>
    <w:rsid w:val="006279BD"/>
    <w:rsid w:val="00637D13"/>
    <w:rsid w:val="0064584A"/>
    <w:rsid w:val="0066394C"/>
    <w:rsid w:val="00676590"/>
    <w:rsid w:val="00677ABD"/>
    <w:rsid w:val="00683243"/>
    <w:rsid w:val="00692764"/>
    <w:rsid w:val="006C3BC1"/>
    <w:rsid w:val="006D6081"/>
    <w:rsid w:val="006E1780"/>
    <w:rsid w:val="006F3158"/>
    <w:rsid w:val="006F6447"/>
    <w:rsid w:val="006F7EDA"/>
    <w:rsid w:val="00707214"/>
    <w:rsid w:val="00715004"/>
    <w:rsid w:val="00723F32"/>
    <w:rsid w:val="00724AF6"/>
    <w:rsid w:val="00727498"/>
    <w:rsid w:val="00730AC5"/>
    <w:rsid w:val="007453AA"/>
    <w:rsid w:val="00747752"/>
    <w:rsid w:val="00777A79"/>
    <w:rsid w:val="007824F6"/>
    <w:rsid w:val="0078768E"/>
    <w:rsid w:val="00791D76"/>
    <w:rsid w:val="007974DA"/>
    <w:rsid w:val="007B152E"/>
    <w:rsid w:val="007B1FBF"/>
    <w:rsid w:val="007C09A1"/>
    <w:rsid w:val="007C1CD7"/>
    <w:rsid w:val="007C7E4A"/>
    <w:rsid w:val="007F66E4"/>
    <w:rsid w:val="00812A5F"/>
    <w:rsid w:val="00813A9E"/>
    <w:rsid w:val="0082762C"/>
    <w:rsid w:val="00844C21"/>
    <w:rsid w:val="00851B4B"/>
    <w:rsid w:val="008B30EE"/>
    <w:rsid w:val="008D7151"/>
    <w:rsid w:val="008E48D9"/>
    <w:rsid w:val="008E554B"/>
    <w:rsid w:val="008F26B1"/>
    <w:rsid w:val="008F2E42"/>
    <w:rsid w:val="008F5F63"/>
    <w:rsid w:val="009025A6"/>
    <w:rsid w:val="009054F5"/>
    <w:rsid w:val="00920307"/>
    <w:rsid w:val="00921752"/>
    <w:rsid w:val="00943852"/>
    <w:rsid w:val="0094466D"/>
    <w:rsid w:val="00950277"/>
    <w:rsid w:val="00991527"/>
    <w:rsid w:val="00992038"/>
    <w:rsid w:val="00992AF6"/>
    <w:rsid w:val="009A1ABA"/>
    <w:rsid w:val="009B26ED"/>
    <w:rsid w:val="009B7812"/>
    <w:rsid w:val="009F3A27"/>
    <w:rsid w:val="009F61BD"/>
    <w:rsid w:val="00A269F0"/>
    <w:rsid w:val="00A364EF"/>
    <w:rsid w:val="00A40ECB"/>
    <w:rsid w:val="00A455E7"/>
    <w:rsid w:val="00A47CDB"/>
    <w:rsid w:val="00A505DD"/>
    <w:rsid w:val="00A5560C"/>
    <w:rsid w:val="00A67A46"/>
    <w:rsid w:val="00A7432B"/>
    <w:rsid w:val="00A83242"/>
    <w:rsid w:val="00A8417A"/>
    <w:rsid w:val="00A91E76"/>
    <w:rsid w:val="00AA05B6"/>
    <w:rsid w:val="00AA36B3"/>
    <w:rsid w:val="00AA7465"/>
    <w:rsid w:val="00AB5F49"/>
    <w:rsid w:val="00AC773B"/>
    <w:rsid w:val="00AE65C6"/>
    <w:rsid w:val="00AF35E5"/>
    <w:rsid w:val="00B119FE"/>
    <w:rsid w:val="00B2602F"/>
    <w:rsid w:val="00B35A73"/>
    <w:rsid w:val="00B56D98"/>
    <w:rsid w:val="00B65D77"/>
    <w:rsid w:val="00B705A7"/>
    <w:rsid w:val="00B71E80"/>
    <w:rsid w:val="00B72D5A"/>
    <w:rsid w:val="00B742AD"/>
    <w:rsid w:val="00B84C69"/>
    <w:rsid w:val="00BA2536"/>
    <w:rsid w:val="00BB6478"/>
    <w:rsid w:val="00BC4007"/>
    <w:rsid w:val="00BC52D6"/>
    <w:rsid w:val="00BE6698"/>
    <w:rsid w:val="00C25F0D"/>
    <w:rsid w:val="00C37AFE"/>
    <w:rsid w:val="00C409CD"/>
    <w:rsid w:val="00C41093"/>
    <w:rsid w:val="00C57A79"/>
    <w:rsid w:val="00C60BFD"/>
    <w:rsid w:val="00C62BE2"/>
    <w:rsid w:val="00C73727"/>
    <w:rsid w:val="00C76093"/>
    <w:rsid w:val="00C7635C"/>
    <w:rsid w:val="00C86D7A"/>
    <w:rsid w:val="00C91E36"/>
    <w:rsid w:val="00CB0FCC"/>
    <w:rsid w:val="00CC21D7"/>
    <w:rsid w:val="00CD0588"/>
    <w:rsid w:val="00CD2FBE"/>
    <w:rsid w:val="00CD375D"/>
    <w:rsid w:val="00CF7AA5"/>
    <w:rsid w:val="00D07397"/>
    <w:rsid w:val="00D13493"/>
    <w:rsid w:val="00D35279"/>
    <w:rsid w:val="00D43598"/>
    <w:rsid w:val="00D445FA"/>
    <w:rsid w:val="00D52709"/>
    <w:rsid w:val="00D7475D"/>
    <w:rsid w:val="00D81293"/>
    <w:rsid w:val="00D91640"/>
    <w:rsid w:val="00D94691"/>
    <w:rsid w:val="00DB2C58"/>
    <w:rsid w:val="00DC3DF4"/>
    <w:rsid w:val="00DC72E4"/>
    <w:rsid w:val="00DC75BD"/>
    <w:rsid w:val="00DD2558"/>
    <w:rsid w:val="00E007D8"/>
    <w:rsid w:val="00E121BA"/>
    <w:rsid w:val="00E134A6"/>
    <w:rsid w:val="00E252DF"/>
    <w:rsid w:val="00E4679C"/>
    <w:rsid w:val="00E501BE"/>
    <w:rsid w:val="00E56515"/>
    <w:rsid w:val="00E6421D"/>
    <w:rsid w:val="00E7585B"/>
    <w:rsid w:val="00E77F22"/>
    <w:rsid w:val="00E8242D"/>
    <w:rsid w:val="00E960D5"/>
    <w:rsid w:val="00EA6E90"/>
    <w:rsid w:val="00EB083E"/>
    <w:rsid w:val="00EB14A9"/>
    <w:rsid w:val="00EB1F24"/>
    <w:rsid w:val="00EC3B69"/>
    <w:rsid w:val="00EE471B"/>
    <w:rsid w:val="00F014E0"/>
    <w:rsid w:val="00F219FD"/>
    <w:rsid w:val="00F56E85"/>
    <w:rsid w:val="00F571B0"/>
    <w:rsid w:val="00F81742"/>
    <w:rsid w:val="00F856CE"/>
    <w:rsid w:val="00FA5944"/>
    <w:rsid w:val="00FA77D0"/>
    <w:rsid w:val="00FB0F15"/>
    <w:rsid w:val="00FD6C27"/>
    <w:rsid w:val="010F16E2"/>
    <w:rsid w:val="01255F91"/>
    <w:rsid w:val="015A7DE3"/>
    <w:rsid w:val="01830099"/>
    <w:rsid w:val="01C95207"/>
    <w:rsid w:val="01E0648F"/>
    <w:rsid w:val="021A36E8"/>
    <w:rsid w:val="026D50AD"/>
    <w:rsid w:val="028400BA"/>
    <w:rsid w:val="02860083"/>
    <w:rsid w:val="02971F57"/>
    <w:rsid w:val="02CF0DD5"/>
    <w:rsid w:val="03093160"/>
    <w:rsid w:val="031401DE"/>
    <w:rsid w:val="03D90444"/>
    <w:rsid w:val="03EF7C67"/>
    <w:rsid w:val="040B29CC"/>
    <w:rsid w:val="0419477B"/>
    <w:rsid w:val="041E22FB"/>
    <w:rsid w:val="042E6C09"/>
    <w:rsid w:val="048760F2"/>
    <w:rsid w:val="04BE5A6A"/>
    <w:rsid w:val="05780E89"/>
    <w:rsid w:val="05F91E7B"/>
    <w:rsid w:val="0650513E"/>
    <w:rsid w:val="069948CC"/>
    <w:rsid w:val="072B7F42"/>
    <w:rsid w:val="07400174"/>
    <w:rsid w:val="074460EB"/>
    <w:rsid w:val="077112C2"/>
    <w:rsid w:val="07C22F8C"/>
    <w:rsid w:val="0803505D"/>
    <w:rsid w:val="082F2D28"/>
    <w:rsid w:val="084A5204"/>
    <w:rsid w:val="0856184B"/>
    <w:rsid w:val="09157676"/>
    <w:rsid w:val="093B7E06"/>
    <w:rsid w:val="098A290C"/>
    <w:rsid w:val="0991492A"/>
    <w:rsid w:val="09E511F0"/>
    <w:rsid w:val="0A134A7F"/>
    <w:rsid w:val="0A1C0D26"/>
    <w:rsid w:val="0A2F6A30"/>
    <w:rsid w:val="0A713753"/>
    <w:rsid w:val="0AC52262"/>
    <w:rsid w:val="0ADB4E1D"/>
    <w:rsid w:val="0AF32134"/>
    <w:rsid w:val="0B2B1171"/>
    <w:rsid w:val="0B917E49"/>
    <w:rsid w:val="0BE77114"/>
    <w:rsid w:val="0BFD1E80"/>
    <w:rsid w:val="0C99794B"/>
    <w:rsid w:val="0CC264EA"/>
    <w:rsid w:val="0CE73BD2"/>
    <w:rsid w:val="0D234439"/>
    <w:rsid w:val="0D2F0FE6"/>
    <w:rsid w:val="0D3D7625"/>
    <w:rsid w:val="0D991E99"/>
    <w:rsid w:val="0E115993"/>
    <w:rsid w:val="0E231F89"/>
    <w:rsid w:val="0E697251"/>
    <w:rsid w:val="0E836445"/>
    <w:rsid w:val="0E8A41F3"/>
    <w:rsid w:val="0EB41738"/>
    <w:rsid w:val="0F416D70"/>
    <w:rsid w:val="0F4F1C29"/>
    <w:rsid w:val="0F81088A"/>
    <w:rsid w:val="0F8C280E"/>
    <w:rsid w:val="0FA905E8"/>
    <w:rsid w:val="0FC227FA"/>
    <w:rsid w:val="0FC7113A"/>
    <w:rsid w:val="0FE260B4"/>
    <w:rsid w:val="0FE81691"/>
    <w:rsid w:val="1018390F"/>
    <w:rsid w:val="102D5080"/>
    <w:rsid w:val="1045133B"/>
    <w:rsid w:val="10801699"/>
    <w:rsid w:val="111B422B"/>
    <w:rsid w:val="11F450ED"/>
    <w:rsid w:val="12BF5CD9"/>
    <w:rsid w:val="13752E98"/>
    <w:rsid w:val="13C86620"/>
    <w:rsid w:val="13E9112B"/>
    <w:rsid w:val="13F5681F"/>
    <w:rsid w:val="141273BA"/>
    <w:rsid w:val="141507D5"/>
    <w:rsid w:val="14751742"/>
    <w:rsid w:val="14795475"/>
    <w:rsid w:val="14BE60AA"/>
    <w:rsid w:val="14C91E0F"/>
    <w:rsid w:val="14FE15CF"/>
    <w:rsid w:val="15026C33"/>
    <w:rsid w:val="152037A0"/>
    <w:rsid w:val="15435863"/>
    <w:rsid w:val="158632B3"/>
    <w:rsid w:val="15D53161"/>
    <w:rsid w:val="16044B07"/>
    <w:rsid w:val="160A4619"/>
    <w:rsid w:val="1658169C"/>
    <w:rsid w:val="167A1985"/>
    <w:rsid w:val="1680016C"/>
    <w:rsid w:val="168D3E86"/>
    <w:rsid w:val="16922DAB"/>
    <w:rsid w:val="171E0671"/>
    <w:rsid w:val="172E2F5E"/>
    <w:rsid w:val="174D40D3"/>
    <w:rsid w:val="17584A62"/>
    <w:rsid w:val="175963A8"/>
    <w:rsid w:val="17716CB6"/>
    <w:rsid w:val="17991B72"/>
    <w:rsid w:val="17A52D08"/>
    <w:rsid w:val="18D7705D"/>
    <w:rsid w:val="190F0738"/>
    <w:rsid w:val="197D5287"/>
    <w:rsid w:val="19BE404A"/>
    <w:rsid w:val="19E7676F"/>
    <w:rsid w:val="19EE40AC"/>
    <w:rsid w:val="1A2742AF"/>
    <w:rsid w:val="1A521E66"/>
    <w:rsid w:val="1A7408EE"/>
    <w:rsid w:val="1AF43FBE"/>
    <w:rsid w:val="1B4A1EFB"/>
    <w:rsid w:val="1B6875F7"/>
    <w:rsid w:val="1B7A3E63"/>
    <w:rsid w:val="1B8B170E"/>
    <w:rsid w:val="1BDD2D6F"/>
    <w:rsid w:val="1BF7226F"/>
    <w:rsid w:val="1C10457D"/>
    <w:rsid w:val="1C5539AB"/>
    <w:rsid w:val="1C6B05B3"/>
    <w:rsid w:val="1CB100BD"/>
    <w:rsid w:val="1D5C35F6"/>
    <w:rsid w:val="1D943995"/>
    <w:rsid w:val="1DA51336"/>
    <w:rsid w:val="1DB51058"/>
    <w:rsid w:val="1DEB51E9"/>
    <w:rsid w:val="1DEF28E6"/>
    <w:rsid w:val="1E5673AA"/>
    <w:rsid w:val="1ECE5937"/>
    <w:rsid w:val="1ED10BC0"/>
    <w:rsid w:val="1EE62622"/>
    <w:rsid w:val="1EFC6654"/>
    <w:rsid w:val="1F350325"/>
    <w:rsid w:val="1F93444B"/>
    <w:rsid w:val="1FC01B8F"/>
    <w:rsid w:val="1FE92D84"/>
    <w:rsid w:val="205360FA"/>
    <w:rsid w:val="2055040C"/>
    <w:rsid w:val="20665917"/>
    <w:rsid w:val="206B7F2F"/>
    <w:rsid w:val="206F0705"/>
    <w:rsid w:val="2074297D"/>
    <w:rsid w:val="20A36171"/>
    <w:rsid w:val="20AC1FF1"/>
    <w:rsid w:val="20AE7F28"/>
    <w:rsid w:val="20E7584F"/>
    <w:rsid w:val="211337D0"/>
    <w:rsid w:val="21245059"/>
    <w:rsid w:val="21F70203"/>
    <w:rsid w:val="222B4109"/>
    <w:rsid w:val="22386FDF"/>
    <w:rsid w:val="224B2FFA"/>
    <w:rsid w:val="22683E7D"/>
    <w:rsid w:val="226909D1"/>
    <w:rsid w:val="22AA1398"/>
    <w:rsid w:val="22AA3C81"/>
    <w:rsid w:val="23096527"/>
    <w:rsid w:val="23830D0F"/>
    <w:rsid w:val="23E822B1"/>
    <w:rsid w:val="23F9528D"/>
    <w:rsid w:val="24023989"/>
    <w:rsid w:val="24085924"/>
    <w:rsid w:val="24C113DB"/>
    <w:rsid w:val="24D340B6"/>
    <w:rsid w:val="24EA6C9B"/>
    <w:rsid w:val="254232C6"/>
    <w:rsid w:val="25692BED"/>
    <w:rsid w:val="25C94365"/>
    <w:rsid w:val="26012B5C"/>
    <w:rsid w:val="26161FE6"/>
    <w:rsid w:val="26552171"/>
    <w:rsid w:val="266D6A9E"/>
    <w:rsid w:val="268737AC"/>
    <w:rsid w:val="273C62F2"/>
    <w:rsid w:val="27606603"/>
    <w:rsid w:val="277B168E"/>
    <w:rsid w:val="27820C15"/>
    <w:rsid w:val="279B7F7B"/>
    <w:rsid w:val="27C93CD0"/>
    <w:rsid w:val="27D06614"/>
    <w:rsid w:val="27EF5BC2"/>
    <w:rsid w:val="28563F4C"/>
    <w:rsid w:val="285A5748"/>
    <w:rsid w:val="286E7213"/>
    <w:rsid w:val="28832986"/>
    <w:rsid w:val="28960500"/>
    <w:rsid w:val="28C52BC1"/>
    <w:rsid w:val="28E26642"/>
    <w:rsid w:val="29170E8E"/>
    <w:rsid w:val="295936F4"/>
    <w:rsid w:val="296034C4"/>
    <w:rsid w:val="298A7967"/>
    <w:rsid w:val="2A17569E"/>
    <w:rsid w:val="2A3B4BBC"/>
    <w:rsid w:val="2AA1755F"/>
    <w:rsid w:val="2AAE4EDC"/>
    <w:rsid w:val="2AE5579D"/>
    <w:rsid w:val="2B230073"/>
    <w:rsid w:val="2B527CA9"/>
    <w:rsid w:val="2C063C1D"/>
    <w:rsid w:val="2C2959EE"/>
    <w:rsid w:val="2C6E17C2"/>
    <w:rsid w:val="2D1D11E9"/>
    <w:rsid w:val="2D83304B"/>
    <w:rsid w:val="2D995198"/>
    <w:rsid w:val="2DA31340"/>
    <w:rsid w:val="2DE2381F"/>
    <w:rsid w:val="2DEB2F7F"/>
    <w:rsid w:val="2E1341D4"/>
    <w:rsid w:val="2E88318E"/>
    <w:rsid w:val="2EB24E01"/>
    <w:rsid w:val="2EC451E1"/>
    <w:rsid w:val="2EE8124D"/>
    <w:rsid w:val="2EF96CFB"/>
    <w:rsid w:val="2F320885"/>
    <w:rsid w:val="2FAD1FC1"/>
    <w:rsid w:val="2FE31C96"/>
    <w:rsid w:val="300F7A6B"/>
    <w:rsid w:val="301F52AD"/>
    <w:rsid w:val="302373E1"/>
    <w:rsid w:val="30264AB5"/>
    <w:rsid w:val="30282309"/>
    <w:rsid w:val="30770970"/>
    <w:rsid w:val="30B1468B"/>
    <w:rsid w:val="30EB7532"/>
    <w:rsid w:val="30F453D1"/>
    <w:rsid w:val="31013E15"/>
    <w:rsid w:val="31057EE3"/>
    <w:rsid w:val="31235461"/>
    <w:rsid w:val="313361CC"/>
    <w:rsid w:val="313F18BE"/>
    <w:rsid w:val="31421205"/>
    <w:rsid w:val="319553AC"/>
    <w:rsid w:val="31A32F06"/>
    <w:rsid w:val="31A517E2"/>
    <w:rsid w:val="31CE7D46"/>
    <w:rsid w:val="31FB1742"/>
    <w:rsid w:val="320D39CA"/>
    <w:rsid w:val="326E3542"/>
    <w:rsid w:val="32786EF6"/>
    <w:rsid w:val="328A220F"/>
    <w:rsid w:val="3292723A"/>
    <w:rsid w:val="3318500F"/>
    <w:rsid w:val="33192E30"/>
    <w:rsid w:val="333F17C2"/>
    <w:rsid w:val="33796523"/>
    <w:rsid w:val="33E717EE"/>
    <w:rsid w:val="34052A8E"/>
    <w:rsid w:val="34305614"/>
    <w:rsid w:val="343A49EF"/>
    <w:rsid w:val="348953EB"/>
    <w:rsid w:val="348B537B"/>
    <w:rsid w:val="35243365"/>
    <w:rsid w:val="354D6418"/>
    <w:rsid w:val="35615166"/>
    <w:rsid w:val="358D01F3"/>
    <w:rsid w:val="35E82857"/>
    <w:rsid w:val="360D204B"/>
    <w:rsid w:val="365A25F8"/>
    <w:rsid w:val="36AC3746"/>
    <w:rsid w:val="374C50B7"/>
    <w:rsid w:val="37533A8E"/>
    <w:rsid w:val="37CA6D80"/>
    <w:rsid w:val="37E74553"/>
    <w:rsid w:val="37FE7E9E"/>
    <w:rsid w:val="38073C58"/>
    <w:rsid w:val="38B30119"/>
    <w:rsid w:val="38BB5D3B"/>
    <w:rsid w:val="38F44DFD"/>
    <w:rsid w:val="39054E8F"/>
    <w:rsid w:val="393948AD"/>
    <w:rsid w:val="393B2011"/>
    <w:rsid w:val="3954623F"/>
    <w:rsid w:val="396C246F"/>
    <w:rsid w:val="39A10FA5"/>
    <w:rsid w:val="39B7013D"/>
    <w:rsid w:val="39D61A3E"/>
    <w:rsid w:val="3A6548F2"/>
    <w:rsid w:val="3A7E7074"/>
    <w:rsid w:val="3A88398E"/>
    <w:rsid w:val="3A947337"/>
    <w:rsid w:val="3A9D6DFE"/>
    <w:rsid w:val="3AA41A22"/>
    <w:rsid w:val="3AC44507"/>
    <w:rsid w:val="3ACB0E96"/>
    <w:rsid w:val="3AD32DCA"/>
    <w:rsid w:val="3B0B0258"/>
    <w:rsid w:val="3BB81A68"/>
    <w:rsid w:val="3C08615F"/>
    <w:rsid w:val="3CB274A9"/>
    <w:rsid w:val="3CE955E4"/>
    <w:rsid w:val="3D0221DE"/>
    <w:rsid w:val="3D624A2B"/>
    <w:rsid w:val="3DA77F6A"/>
    <w:rsid w:val="3DB835A7"/>
    <w:rsid w:val="3DE7342C"/>
    <w:rsid w:val="3DEC64CB"/>
    <w:rsid w:val="3E043149"/>
    <w:rsid w:val="3E4E1552"/>
    <w:rsid w:val="3E8957CD"/>
    <w:rsid w:val="3E9E1A93"/>
    <w:rsid w:val="3EA915CC"/>
    <w:rsid w:val="3EB71483"/>
    <w:rsid w:val="3EDD6068"/>
    <w:rsid w:val="3EF815BD"/>
    <w:rsid w:val="3F867553"/>
    <w:rsid w:val="401914AE"/>
    <w:rsid w:val="40301DE3"/>
    <w:rsid w:val="405A1284"/>
    <w:rsid w:val="407231D7"/>
    <w:rsid w:val="40897FAE"/>
    <w:rsid w:val="41A76EB0"/>
    <w:rsid w:val="41C053AC"/>
    <w:rsid w:val="42386BE7"/>
    <w:rsid w:val="4359057C"/>
    <w:rsid w:val="43887561"/>
    <w:rsid w:val="43B00A05"/>
    <w:rsid w:val="44C43EA1"/>
    <w:rsid w:val="44E177B9"/>
    <w:rsid w:val="4557299B"/>
    <w:rsid w:val="45635287"/>
    <w:rsid w:val="45E23FB4"/>
    <w:rsid w:val="465D2233"/>
    <w:rsid w:val="46632DD2"/>
    <w:rsid w:val="466B1380"/>
    <w:rsid w:val="468F2C31"/>
    <w:rsid w:val="46D71FE6"/>
    <w:rsid w:val="46E32AE1"/>
    <w:rsid w:val="47CE6EB6"/>
    <w:rsid w:val="4822282D"/>
    <w:rsid w:val="483B5802"/>
    <w:rsid w:val="484E4529"/>
    <w:rsid w:val="485B73A2"/>
    <w:rsid w:val="48742673"/>
    <w:rsid w:val="48A56114"/>
    <w:rsid w:val="48D75AB6"/>
    <w:rsid w:val="48FE3C36"/>
    <w:rsid w:val="49187A4A"/>
    <w:rsid w:val="4932285C"/>
    <w:rsid w:val="49E83A83"/>
    <w:rsid w:val="49E862B8"/>
    <w:rsid w:val="49FE5072"/>
    <w:rsid w:val="4A143A8B"/>
    <w:rsid w:val="4A9379E1"/>
    <w:rsid w:val="4B0868AA"/>
    <w:rsid w:val="4B6E05C6"/>
    <w:rsid w:val="4BA02CB9"/>
    <w:rsid w:val="4BB551C6"/>
    <w:rsid w:val="4BE00928"/>
    <w:rsid w:val="4C4C0949"/>
    <w:rsid w:val="4C835872"/>
    <w:rsid w:val="4CCC03DE"/>
    <w:rsid w:val="4CD01FC4"/>
    <w:rsid w:val="4D304C6C"/>
    <w:rsid w:val="4D3A507C"/>
    <w:rsid w:val="4D5A2408"/>
    <w:rsid w:val="4D6C0A51"/>
    <w:rsid w:val="4D6E6E87"/>
    <w:rsid w:val="4DCB3F26"/>
    <w:rsid w:val="4DCD2163"/>
    <w:rsid w:val="4DCD4142"/>
    <w:rsid w:val="4E5157F8"/>
    <w:rsid w:val="4ED64CE6"/>
    <w:rsid w:val="4EF879B0"/>
    <w:rsid w:val="4EFE4768"/>
    <w:rsid w:val="4F3050C3"/>
    <w:rsid w:val="4F6C4AA2"/>
    <w:rsid w:val="4F7D4B2A"/>
    <w:rsid w:val="4FC357FD"/>
    <w:rsid w:val="4FC705C4"/>
    <w:rsid w:val="4FF52C71"/>
    <w:rsid w:val="50047BC4"/>
    <w:rsid w:val="50076865"/>
    <w:rsid w:val="502B2E38"/>
    <w:rsid w:val="50792360"/>
    <w:rsid w:val="50926B99"/>
    <w:rsid w:val="50C04F20"/>
    <w:rsid w:val="51062C1B"/>
    <w:rsid w:val="512245B9"/>
    <w:rsid w:val="514259DF"/>
    <w:rsid w:val="5156370C"/>
    <w:rsid w:val="51A927D1"/>
    <w:rsid w:val="520F0C32"/>
    <w:rsid w:val="52114F30"/>
    <w:rsid w:val="528B27DD"/>
    <w:rsid w:val="52D10771"/>
    <w:rsid w:val="53142E17"/>
    <w:rsid w:val="532E06E9"/>
    <w:rsid w:val="536C0861"/>
    <w:rsid w:val="539E70B4"/>
    <w:rsid w:val="53BB17DB"/>
    <w:rsid w:val="53DB57FE"/>
    <w:rsid w:val="53F23BA6"/>
    <w:rsid w:val="544669C5"/>
    <w:rsid w:val="54833F31"/>
    <w:rsid w:val="549E5F97"/>
    <w:rsid w:val="54F979C2"/>
    <w:rsid w:val="55435350"/>
    <w:rsid w:val="55583898"/>
    <w:rsid w:val="55644139"/>
    <w:rsid w:val="55C45E2B"/>
    <w:rsid w:val="55CE5C99"/>
    <w:rsid w:val="55FD167B"/>
    <w:rsid w:val="56A74DC4"/>
    <w:rsid w:val="56CC5412"/>
    <w:rsid w:val="56E72D1D"/>
    <w:rsid w:val="56EE38A4"/>
    <w:rsid w:val="579202B1"/>
    <w:rsid w:val="586F6A97"/>
    <w:rsid w:val="58A60DC0"/>
    <w:rsid w:val="58BF2129"/>
    <w:rsid w:val="58CC5AE7"/>
    <w:rsid w:val="58E33CEB"/>
    <w:rsid w:val="594B7F90"/>
    <w:rsid w:val="59857E62"/>
    <w:rsid w:val="599373D3"/>
    <w:rsid w:val="599C21C4"/>
    <w:rsid w:val="59B259A0"/>
    <w:rsid w:val="59CB36D0"/>
    <w:rsid w:val="5A0A6E64"/>
    <w:rsid w:val="5A222E83"/>
    <w:rsid w:val="5A347B90"/>
    <w:rsid w:val="5A6C2173"/>
    <w:rsid w:val="5AB64BCA"/>
    <w:rsid w:val="5B18483E"/>
    <w:rsid w:val="5B82646D"/>
    <w:rsid w:val="5BE20F83"/>
    <w:rsid w:val="5BE545A3"/>
    <w:rsid w:val="5C083322"/>
    <w:rsid w:val="5C300CF9"/>
    <w:rsid w:val="5C361105"/>
    <w:rsid w:val="5C6A303F"/>
    <w:rsid w:val="5C6F4470"/>
    <w:rsid w:val="5C891B7C"/>
    <w:rsid w:val="5D231737"/>
    <w:rsid w:val="5D2B2C34"/>
    <w:rsid w:val="5DD14158"/>
    <w:rsid w:val="5E545273"/>
    <w:rsid w:val="5E75720F"/>
    <w:rsid w:val="5E770427"/>
    <w:rsid w:val="5EBA39E1"/>
    <w:rsid w:val="5EF86B45"/>
    <w:rsid w:val="5F5B2436"/>
    <w:rsid w:val="5F5C2E4B"/>
    <w:rsid w:val="5F6F6BEE"/>
    <w:rsid w:val="5FA5659C"/>
    <w:rsid w:val="5FF0237B"/>
    <w:rsid w:val="60357A6E"/>
    <w:rsid w:val="607B027C"/>
    <w:rsid w:val="608465EA"/>
    <w:rsid w:val="60AF76D8"/>
    <w:rsid w:val="60BA5B12"/>
    <w:rsid w:val="61345DC0"/>
    <w:rsid w:val="614147D4"/>
    <w:rsid w:val="61BF6568"/>
    <w:rsid w:val="61E0763D"/>
    <w:rsid w:val="61ED495B"/>
    <w:rsid w:val="62053A53"/>
    <w:rsid w:val="624437D8"/>
    <w:rsid w:val="62535E2F"/>
    <w:rsid w:val="62B721E4"/>
    <w:rsid w:val="62C12E21"/>
    <w:rsid w:val="62D8513E"/>
    <w:rsid w:val="63753BA4"/>
    <w:rsid w:val="63C97C58"/>
    <w:rsid w:val="63D62198"/>
    <w:rsid w:val="6417243B"/>
    <w:rsid w:val="6425508F"/>
    <w:rsid w:val="64542425"/>
    <w:rsid w:val="64A013C7"/>
    <w:rsid w:val="65302769"/>
    <w:rsid w:val="65A228EE"/>
    <w:rsid w:val="65A44432"/>
    <w:rsid w:val="66206F11"/>
    <w:rsid w:val="66236E91"/>
    <w:rsid w:val="66254B3E"/>
    <w:rsid w:val="66441FD0"/>
    <w:rsid w:val="668A09A0"/>
    <w:rsid w:val="668B146C"/>
    <w:rsid w:val="66A402FE"/>
    <w:rsid w:val="66AB03EC"/>
    <w:rsid w:val="66F21521"/>
    <w:rsid w:val="672C62E0"/>
    <w:rsid w:val="6758090E"/>
    <w:rsid w:val="67A12FEC"/>
    <w:rsid w:val="67A52E51"/>
    <w:rsid w:val="68627C06"/>
    <w:rsid w:val="686A4130"/>
    <w:rsid w:val="68996CA3"/>
    <w:rsid w:val="68D75C06"/>
    <w:rsid w:val="691D167A"/>
    <w:rsid w:val="69937A97"/>
    <w:rsid w:val="69A174C3"/>
    <w:rsid w:val="69EE0731"/>
    <w:rsid w:val="6A06480C"/>
    <w:rsid w:val="6A4C483E"/>
    <w:rsid w:val="6A4D243B"/>
    <w:rsid w:val="6A8F7CBA"/>
    <w:rsid w:val="6A9E67F3"/>
    <w:rsid w:val="6AEF6C9C"/>
    <w:rsid w:val="6B1034E1"/>
    <w:rsid w:val="6B361121"/>
    <w:rsid w:val="6B7328FD"/>
    <w:rsid w:val="6B7C6A7C"/>
    <w:rsid w:val="6BA31BCE"/>
    <w:rsid w:val="6BDF16FD"/>
    <w:rsid w:val="6C4D2094"/>
    <w:rsid w:val="6C8E61E8"/>
    <w:rsid w:val="6CC84132"/>
    <w:rsid w:val="6CD66350"/>
    <w:rsid w:val="6D41751F"/>
    <w:rsid w:val="6DC04707"/>
    <w:rsid w:val="6DD75C4B"/>
    <w:rsid w:val="6E391AE1"/>
    <w:rsid w:val="6E3C12D8"/>
    <w:rsid w:val="6E4B47B0"/>
    <w:rsid w:val="6E587601"/>
    <w:rsid w:val="6EA046D9"/>
    <w:rsid w:val="6EC436A5"/>
    <w:rsid w:val="6EE8016F"/>
    <w:rsid w:val="6F035C5A"/>
    <w:rsid w:val="6F3B7580"/>
    <w:rsid w:val="6F6027D2"/>
    <w:rsid w:val="6F800BBD"/>
    <w:rsid w:val="6FBF7D7C"/>
    <w:rsid w:val="707A4DB8"/>
    <w:rsid w:val="70A56EAD"/>
    <w:rsid w:val="70A94824"/>
    <w:rsid w:val="70BF3161"/>
    <w:rsid w:val="70DD1430"/>
    <w:rsid w:val="70ED3680"/>
    <w:rsid w:val="70FD362D"/>
    <w:rsid w:val="71017FE7"/>
    <w:rsid w:val="715167AF"/>
    <w:rsid w:val="715E0D9E"/>
    <w:rsid w:val="716B1BD6"/>
    <w:rsid w:val="71DE6FBD"/>
    <w:rsid w:val="723328AA"/>
    <w:rsid w:val="7233416B"/>
    <w:rsid w:val="725C083F"/>
    <w:rsid w:val="72895D39"/>
    <w:rsid w:val="734B1073"/>
    <w:rsid w:val="7386251A"/>
    <w:rsid w:val="73AA3251"/>
    <w:rsid w:val="747B6B15"/>
    <w:rsid w:val="749D7B1B"/>
    <w:rsid w:val="74D05B3B"/>
    <w:rsid w:val="75062336"/>
    <w:rsid w:val="750D23E3"/>
    <w:rsid w:val="751E6E82"/>
    <w:rsid w:val="75733B7F"/>
    <w:rsid w:val="759E2B9F"/>
    <w:rsid w:val="75C13CDD"/>
    <w:rsid w:val="761C33A4"/>
    <w:rsid w:val="763508E5"/>
    <w:rsid w:val="76E11BA8"/>
    <w:rsid w:val="76EC75C5"/>
    <w:rsid w:val="779E68C8"/>
    <w:rsid w:val="77A13124"/>
    <w:rsid w:val="77ED54A9"/>
    <w:rsid w:val="780B1D27"/>
    <w:rsid w:val="784F3822"/>
    <w:rsid w:val="791026A2"/>
    <w:rsid w:val="791A5539"/>
    <w:rsid w:val="792647B5"/>
    <w:rsid w:val="79350CE9"/>
    <w:rsid w:val="7A1B2B9E"/>
    <w:rsid w:val="7A5A1BBE"/>
    <w:rsid w:val="7A992209"/>
    <w:rsid w:val="7A9F5145"/>
    <w:rsid w:val="7AF72073"/>
    <w:rsid w:val="7B732886"/>
    <w:rsid w:val="7B754F5D"/>
    <w:rsid w:val="7B780E5A"/>
    <w:rsid w:val="7B813697"/>
    <w:rsid w:val="7BEE5100"/>
    <w:rsid w:val="7C746BBD"/>
    <w:rsid w:val="7C7D391B"/>
    <w:rsid w:val="7C7E2532"/>
    <w:rsid w:val="7CA31239"/>
    <w:rsid w:val="7CBA2CDD"/>
    <w:rsid w:val="7DD91777"/>
    <w:rsid w:val="7DEF37C6"/>
    <w:rsid w:val="7E00126B"/>
    <w:rsid w:val="7E066FC1"/>
    <w:rsid w:val="7E24505B"/>
    <w:rsid w:val="7E634C06"/>
    <w:rsid w:val="7E997AC0"/>
    <w:rsid w:val="7EA00ACF"/>
    <w:rsid w:val="7EC00FD6"/>
    <w:rsid w:val="7EDD52A7"/>
    <w:rsid w:val="7EE7398F"/>
    <w:rsid w:val="7F021DF2"/>
    <w:rsid w:val="7F0A243A"/>
    <w:rsid w:val="7F150158"/>
    <w:rsid w:val="7F274B5F"/>
    <w:rsid w:val="7FAE0E2E"/>
    <w:rsid w:val="7FB90482"/>
    <w:rsid w:val="7FEB67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iPriority="99" w:semiHidden="0"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paragraph" w:styleId="5">
    <w:name w:val="heading 1"/>
    <w:basedOn w:val="1"/>
    <w:next w:val="1"/>
    <w:link w:val="35"/>
    <w:qFormat/>
    <w:uiPriority w:val="0"/>
    <w:pPr>
      <w:keepNext/>
      <w:keepLines/>
      <w:numPr>
        <w:ilvl w:val="0"/>
        <w:numId w:val="1"/>
      </w:numPr>
      <w:tabs>
        <w:tab w:val="left" w:pos="425"/>
      </w:tabs>
      <w:spacing w:before="340" w:after="330" w:line="576" w:lineRule="auto"/>
      <w:jc w:val="center"/>
      <w:outlineLvl w:val="0"/>
    </w:pPr>
    <w:rPr>
      <w:b/>
      <w:bCs/>
      <w:kern w:val="44"/>
      <w:sz w:val="36"/>
      <w:szCs w:val="44"/>
    </w:rPr>
  </w:style>
  <w:style w:type="paragraph" w:styleId="6">
    <w:name w:val="heading 2"/>
    <w:basedOn w:val="1"/>
    <w:next w:val="1"/>
    <w:link w:val="36"/>
    <w:qFormat/>
    <w:uiPriority w:val="0"/>
    <w:pPr>
      <w:keepNext/>
      <w:keepLines/>
      <w:spacing w:before="260" w:after="260" w:line="413" w:lineRule="auto"/>
      <w:outlineLvl w:val="1"/>
    </w:pPr>
    <w:rPr>
      <w:b/>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spacing w:after="0" w:line="480" w:lineRule="exact"/>
      <w:ind w:left="0" w:leftChars="0"/>
      <w:textAlignment w:val="baseline"/>
    </w:pPr>
    <w:rPr>
      <w:rFonts w:ascii="方正仿宋_GB2312" w:hAnsi="方正仿宋_GB2312" w:eastAsia="方正仿宋_GB2312"/>
      <w:sz w:val="28"/>
      <w:szCs w:val="20"/>
    </w:rPr>
  </w:style>
  <w:style w:type="paragraph" w:styleId="3">
    <w:name w:val="Body Text Indent"/>
    <w:basedOn w:val="4"/>
    <w:next w:val="4"/>
    <w:link w:val="39"/>
    <w:qFormat/>
    <w:uiPriority w:val="0"/>
    <w:pPr>
      <w:spacing w:after="120"/>
      <w:ind w:left="420" w:leftChars="200"/>
    </w:pPr>
  </w:style>
  <w:style w:type="paragraph" w:styleId="4">
    <w:name w:val="Normal Indent"/>
    <w:basedOn w:val="1"/>
    <w:next w:val="1"/>
    <w:qFormat/>
    <w:uiPriority w:val="0"/>
    <w:pPr>
      <w:adjustRightInd w:val="0"/>
      <w:snapToGrid w:val="0"/>
      <w:spacing w:line="360" w:lineRule="auto"/>
      <w:ind w:firstLine="420"/>
    </w:pPr>
    <w:rPr>
      <w:sz w:val="24"/>
    </w:rPr>
  </w:style>
  <w:style w:type="paragraph" w:styleId="8">
    <w:name w:val="Document Map"/>
    <w:basedOn w:val="1"/>
    <w:link w:val="37"/>
    <w:unhideWhenUsed/>
    <w:qFormat/>
    <w:uiPriority w:val="99"/>
    <w:rPr>
      <w:sz w:val="18"/>
      <w:szCs w:val="18"/>
    </w:rPr>
  </w:style>
  <w:style w:type="paragraph" w:styleId="9">
    <w:name w:val="annotation text"/>
    <w:basedOn w:val="1"/>
    <w:link w:val="38"/>
    <w:unhideWhenUsed/>
    <w:qFormat/>
    <w:uiPriority w:val="99"/>
    <w:pPr>
      <w:jc w:val="left"/>
    </w:pPr>
  </w:style>
  <w:style w:type="paragraph" w:styleId="10">
    <w:name w:val="Body Text"/>
    <w:basedOn w:val="1"/>
    <w:next w:val="1"/>
    <w:qFormat/>
    <w:uiPriority w:val="0"/>
    <w:rPr>
      <w:sz w:val="24"/>
    </w:rPr>
  </w:style>
  <w:style w:type="paragraph" w:styleId="11">
    <w:name w:val="Plain Text"/>
    <w:basedOn w:val="1"/>
    <w:next w:val="1"/>
    <w:qFormat/>
    <w:uiPriority w:val="0"/>
    <w:rPr>
      <w:rFonts w:hAnsi="Courier New" w:cs="Courier New"/>
      <w:kern w:val="2"/>
      <w:sz w:val="21"/>
      <w:szCs w:val="21"/>
    </w:rPr>
  </w:style>
  <w:style w:type="paragraph" w:styleId="12">
    <w:name w:val="Balloon Text"/>
    <w:basedOn w:val="1"/>
    <w:link w:val="40"/>
    <w:unhideWhenUsed/>
    <w:qFormat/>
    <w:uiPriority w:val="99"/>
    <w:rPr>
      <w:sz w:val="18"/>
      <w:szCs w:val="18"/>
    </w:rPr>
  </w:style>
  <w:style w:type="paragraph" w:styleId="13">
    <w:name w:val="footer"/>
    <w:basedOn w:val="1"/>
    <w:link w:val="41"/>
    <w:unhideWhenUsed/>
    <w:qFormat/>
    <w:uiPriority w:val="99"/>
    <w:pPr>
      <w:tabs>
        <w:tab w:val="center" w:pos="4153"/>
        <w:tab w:val="right" w:pos="8306"/>
      </w:tabs>
      <w:snapToGrid w:val="0"/>
      <w:jc w:val="left"/>
    </w:pPr>
    <w:rPr>
      <w:sz w:val="18"/>
      <w:szCs w:val="18"/>
    </w:rPr>
  </w:style>
  <w:style w:type="paragraph" w:styleId="14">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style>
  <w:style w:type="paragraph" w:styleId="16">
    <w:name w:val="Body Text Indent 3"/>
    <w:basedOn w:val="1"/>
    <w:qFormat/>
    <w:uiPriority w:val="0"/>
    <w:pPr>
      <w:spacing w:after="120"/>
      <w:ind w:left="420" w:leftChars="200"/>
    </w:pPr>
    <w:rPr>
      <w:kern w:val="2"/>
      <w:sz w:val="16"/>
      <w:szCs w:val="16"/>
    </w:rPr>
  </w:style>
  <w:style w:type="paragraph" w:styleId="17">
    <w:name w:val="index 7"/>
    <w:basedOn w:val="1"/>
    <w:next w:val="1"/>
    <w:unhideWhenUsed/>
    <w:qFormat/>
    <w:uiPriority w:val="99"/>
    <w:pPr>
      <w:ind w:left="2520"/>
    </w:pPr>
    <w:rPr>
      <w:rFonts w:ascii="Calibri" w:hAnsi="Calibri"/>
    </w:rPr>
  </w:style>
  <w:style w:type="paragraph" w:styleId="18">
    <w:name w:val="toc 2"/>
    <w:basedOn w:val="1"/>
    <w:next w:val="1"/>
    <w:qFormat/>
    <w:uiPriority w:val="39"/>
    <w:pPr>
      <w:ind w:left="420" w:leftChars="200"/>
    </w:pPr>
  </w:style>
  <w:style w:type="paragraph" w:styleId="19">
    <w:name w:val="Normal (Web)"/>
    <w:basedOn w:val="1"/>
    <w:qFormat/>
    <w:uiPriority w:val="0"/>
    <w:pPr>
      <w:spacing w:beforeAutospacing="1" w:afterAutospacing="1"/>
      <w:jc w:val="left"/>
    </w:pPr>
    <w:rPr>
      <w:sz w:val="24"/>
    </w:rPr>
  </w:style>
  <w:style w:type="paragraph" w:styleId="20">
    <w:name w:val="Title"/>
    <w:basedOn w:val="1"/>
    <w:qFormat/>
    <w:uiPriority w:val="0"/>
    <w:pPr>
      <w:spacing w:before="240" w:after="60"/>
      <w:jc w:val="left"/>
      <w:outlineLvl w:val="0"/>
    </w:pPr>
    <w:rPr>
      <w:rFonts w:ascii="Cambria" w:hAnsi="Cambria"/>
      <w:b/>
      <w:bCs/>
      <w:sz w:val="32"/>
      <w:szCs w:val="32"/>
    </w:rPr>
  </w:style>
  <w:style w:type="paragraph" w:styleId="21">
    <w:name w:val="annotation subject"/>
    <w:basedOn w:val="9"/>
    <w:next w:val="9"/>
    <w:link w:val="43"/>
    <w:unhideWhenUsed/>
    <w:qFormat/>
    <w:uiPriority w:val="99"/>
    <w:rPr>
      <w:b/>
      <w:bCs/>
    </w:rPr>
  </w:style>
  <w:style w:type="paragraph" w:styleId="22">
    <w:name w:val="Body Text First Indent"/>
    <w:basedOn w:val="10"/>
    <w:qFormat/>
    <w:uiPriority w:val="0"/>
    <w:pPr>
      <w:spacing w:after="120"/>
      <w:ind w:firstLine="420" w:firstLineChars="100"/>
    </w:pPr>
    <w:rPr>
      <w:kern w:val="2"/>
      <w:sz w:val="21"/>
      <w:szCs w:val="21"/>
    </w:rPr>
  </w:style>
  <w:style w:type="table" w:styleId="24">
    <w:name w:val="Table Grid"/>
    <w:basedOn w:val="23"/>
    <w:qFormat/>
    <w:uiPriority w:val="0"/>
    <w:pPr>
      <w:widowControl w:val="0"/>
      <w:spacing w:line="360" w:lineRule="auto"/>
      <w:ind w:left="482" w:firstLine="482"/>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sz w:val="20"/>
    </w:rPr>
  </w:style>
  <w:style w:type="character" w:styleId="27">
    <w:name w:val="page number"/>
    <w:qFormat/>
    <w:uiPriority w:val="0"/>
    <w:rPr>
      <w:sz w:val="20"/>
    </w:rPr>
  </w:style>
  <w:style w:type="character" w:styleId="28">
    <w:name w:val="FollowedHyperlink"/>
    <w:qFormat/>
    <w:uiPriority w:val="0"/>
    <w:rPr>
      <w:color w:val="800080"/>
      <w:sz w:val="20"/>
      <w:u w:val="single"/>
    </w:rPr>
  </w:style>
  <w:style w:type="character" w:styleId="29">
    <w:name w:val="Emphasis"/>
    <w:qFormat/>
    <w:uiPriority w:val="0"/>
    <w:rPr>
      <w:color w:val="CC0033"/>
      <w:sz w:val="20"/>
    </w:rPr>
  </w:style>
  <w:style w:type="character" w:styleId="30">
    <w:name w:val="line number"/>
    <w:qFormat/>
    <w:uiPriority w:val="0"/>
    <w:rPr>
      <w:sz w:val="20"/>
    </w:rPr>
  </w:style>
  <w:style w:type="character" w:styleId="31">
    <w:name w:val="Hyperlink"/>
    <w:qFormat/>
    <w:uiPriority w:val="99"/>
    <w:rPr>
      <w:color w:val="0000FF"/>
      <w:sz w:val="20"/>
      <w:u w:val="single"/>
    </w:rPr>
  </w:style>
  <w:style w:type="character" w:styleId="32">
    <w:name w:val="annotation reference"/>
    <w:qFormat/>
    <w:uiPriority w:val="0"/>
    <w:rPr>
      <w:sz w:val="20"/>
    </w:rPr>
  </w:style>
  <w:style w:type="character" w:styleId="33">
    <w:name w:val="footnote reference"/>
    <w:qFormat/>
    <w:uiPriority w:val="0"/>
    <w:rPr>
      <w:sz w:val="20"/>
      <w:vertAlign w:val="superscript"/>
    </w:rPr>
  </w:style>
  <w:style w:type="paragraph" w:customStyle="1" w:styleId="34">
    <w:name w:val="目录 53"/>
    <w:next w:val="1"/>
    <w:qFormat/>
    <w:uiPriority w:val="0"/>
    <w:pPr>
      <w:wordWrap w:val="0"/>
      <w:ind w:left="1275"/>
      <w:jc w:val="both"/>
    </w:pPr>
    <w:rPr>
      <w:rFonts w:ascii="Calibri" w:hAnsi="Calibri" w:eastAsia="宋体" w:cs="Times New Roman"/>
      <w:sz w:val="21"/>
      <w:lang w:val="en-US" w:eastAsia="zh-CN" w:bidi="ar-SA"/>
    </w:rPr>
  </w:style>
  <w:style w:type="character" w:customStyle="1" w:styleId="35">
    <w:name w:val="标题 1 Char"/>
    <w:link w:val="5"/>
    <w:qFormat/>
    <w:uiPriority w:val="0"/>
    <w:rPr>
      <w:rFonts w:eastAsia="宋体"/>
      <w:b/>
      <w:bCs/>
      <w:kern w:val="44"/>
      <w:sz w:val="36"/>
      <w:szCs w:val="44"/>
    </w:rPr>
  </w:style>
  <w:style w:type="character" w:customStyle="1" w:styleId="36">
    <w:name w:val="标题 2 Char3"/>
    <w:link w:val="6"/>
    <w:qFormat/>
    <w:uiPriority w:val="0"/>
    <w:rPr>
      <w:b/>
      <w:sz w:val="20"/>
    </w:rPr>
  </w:style>
  <w:style w:type="character" w:customStyle="1" w:styleId="37">
    <w:name w:val="文档结构图 Char1"/>
    <w:link w:val="8"/>
    <w:semiHidden/>
    <w:qFormat/>
    <w:uiPriority w:val="99"/>
    <w:rPr>
      <w:rFonts w:eastAsia="宋体"/>
      <w:sz w:val="18"/>
      <w:szCs w:val="18"/>
    </w:rPr>
  </w:style>
  <w:style w:type="character" w:customStyle="1" w:styleId="38">
    <w:name w:val="批注文字 Char1"/>
    <w:basedOn w:val="25"/>
    <w:link w:val="9"/>
    <w:semiHidden/>
    <w:qFormat/>
    <w:uiPriority w:val="99"/>
  </w:style>
  <w:style w:type="character" w:customStyle="1" w:styleId="39">
    <w:name w:val="正文文本缩进 Char2"/>
    <w:basedOn w:val="25"/>
    <w:link w:val="3"/>
    <w:semiHidden/>
    <w:qFormat/>
    <w:uiPriority w:val="99"/>
  </w:style>
  <w:style w:type="character" w:customStyle="1" w:styleId="40">
    <w:name w:val="批注框文本 Char1"/>
    <w:link w:val="12"/>
    <w:semiHidden/>
    <w:qFormat/>
    <w:uiPriority w:val="99"/>
    <w:rPr>
      <w:sz w:val="18"/>
      <w:szCs w:val="18"/>
    </w:rPr>
  </w:style>
  <w:style w:type="character" w:customStyle="1" w:styleId="41">
    <w:name w:val="页脚 Char2"/>
    <w:link w:val="13"/>
    <w:semiHidden/>
    <w:qFormat/>
    <w:uiPriority w:val="99"/>
    <w:rPr>
      <w:sz w:val="18"/>
      <w:szCs w:val="18"/>
    </w:rPr>
  </w:style>
  <w:style w:type="character" w:customStyle="1" w:styleId="42">
    <w:name w:val="页眉 Char2"/>
    <w:link w:val="14"/>
    <w:semiHidden/>
    <w:qFormat/>
    <w:uiPriority w:val="99"/>
    <w:rPr>
      <w:sz w:val="18"/>
      <w:szCs w:val="18"/>
    </w:rPr>
  </w:style>
  <w:style w:type="character" w:customStyle="1" w:styleId="43">
    <w:name w:val="批注主题 Char1"/>
    <w:link w:val="21"/>
    <w:semiHidden/>
    <w:qFormat/>
    <w:uiPriority w:val="99"/>
    <w:rPr>
      <w:b/>
      <w:bCs/>
      <w:sz w:val="20"/>
    </w:rPr>
  </w:style>
  <w:style w:type="paragraph" w:customStyle="1" w:styleId="4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45">
    <w:name w:val="表格标题"/>
    <w:basedOn w:val="1"/>
    <w:qFormat/>
    <w:uiPriority w:val="0"/>
    <w:pPr>
      <w:spacing w:beforeLines="50" w:line="460" w:lineRule="exact"/>
    </w:pPr>
    <w:rPr>
      <w:rFonts w:eastAsia="黑体"/>
      <w:kern w:val="2"/>
      <w:sz w:val="24"/>
      <w:szCs w:val="24"/>
    </w:rPr>
  </w:style>
  <w:style w:type="paragraph" w:customStyle="1" w:styleId="46">
    <w:name w:val="正文1"/>
    <w:basedOn w:val="15"/>
    <w:next w:val="1"/>
    <w:link w:val="47"/>
    <w:qFormat/>
    <w:uiPriority w:val="0"/>
    <w:pPr>
      <w:ind w:firstLine="200"/>
    </w:pPr>
  </w:style>
  <w:style w:type="character" w:customStyle="1" w:styleId="47">
    <w:name w:val="正文1 Char"/>
    <w:link w:val="46"/>
    <w:qFormat/>
    <w:uiPriority w:val="0"/>
    <w:rPr>
      <w:sz w:val="20"/>
    </w:rPr>
  </w:style>
  <w:style w:type="paragraph" w:customStyle="1" w:styleId="4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49">
    <w:name w:val="样式1 Char"/>
    <w:qFormat/>
    <w:uiPriority w:val="0"/>
    <w:rPr>
      <w:sz w:val="20"/>
    </w:rPr>
  </w:style>
  <w:style w:type="character" w:customStyle="1" w:styleId="50">
    <w:name w:val="明显引用 Char"/>
    <w:qFormat/>
    <w:uiPriority w:val="0"/>
    <w:rPr>
      <w:color w:val="622423"/>
      <w:sz w:val="20"/>
    </w:rPr>
  </w:style>
  <w:style w:type="character" w:customStyle="1" w:styleId="51">
    <w:name w:val="Char Char21"/>
    <w:qFormat/>
    <w:uiPriority w:val="0"/>
    <w:rPr>
      <w:b/>
      <w:sz w:val="20"/>
    </w:rPr>
  </w:style>
  <w:style w:type="character" w:customStyle="1" w:styleId="52">
    <w:name w:val="title_emph1"/>
    <w:qFormat/>
    <w:uiPriority w:val="0"/>
    <w:rPr>
      <w:b/>
      <w:sz w:val="20"/>
    </w:rPr>
  </w:style>
  <w:style w:type="character" w:customStyle="1" w:styleId="53">
    <w:name w:val="页脚2 Char"/>
    <w:qFormat/>
    <w:uiPriority w:val="0"/>
    <w:rPr>
      <w:sz w:val="20"/>
    </w:rPr>
  </w:style>
  <w:style w:type="character" w:customStyle="1" w:styleId="54">
    <w:name w:val="正文首行缩进 2 Char"/>
    <w:qFormat/>
    <w:uiPriority w:val="0"/>
    <w:rPr>
      <w:sz w:val="20"/>
    </w:rPr>
  </w:style>
  <w:style w:type="character" w:customStyle="1" w:styleId="55">
    <w:name w:val="标题 9 Char"/>
    <w:qFormat/>
    <w:uiPriority w:val="0"/>
    <w:rPr>
      <w:sz w:val="20"/>
    </w:rPr>
  </w:style>
  <w:style w:type="character" w:customStyle="1" w:styleId="56">
    <w:name w:val="标题 3 Char"/>
    <w:qFormat/>
    <w:uiPriority w:val="0"/>
    <w:rPr>
      <w:b/>
      <w:sz w:val="20"/>
    </w:rPr>
  </w:style>
  <w:style w:type="character" w:customStyle="1" w:styleId="57">
    <w:name w:val="z-窗体底端 Char"/>
    <w:qFormat/>
    <w:uiPriority w:val="0"/>
    <w:rPr>
      <w:sz w:val="20"/>
    </w:rPr>
  </w:style>
  <w:style w:type="character" w:customStyle="1" w:styleId="58">
    <w:name w:val="批注主题 Char"/>
    <w:qFormat/>
    <w:uiPriority w:val="0"/>
    <w:rPr>
      <w:b/>
      <w:sz w:val="20"/>
    </w:rPr>
  </w:style>
  <w:style w:type="character" w:customStyle="1" w:styleId="59">
    <w:name w:val="Char Char13"/>
    <w:qFormat/>
    <w:uiPriority w:val="0"/>
    <w:rPr>
      <w:sz w:val="20"/>
    </w:rPr>
  </w:style>
  <w:style w:type="character" w:customStyle="1" w:styleId="60">
    <w:name w:val="正文文本缩进 2 Char"/>
    <w:qFormat/>
    <w:uiPriority w:val="0"/>
    <w:rPr>
      <w:sz w:val="20"/>
    </w:rPr>
  </w:style>
  <w:style w:type="character" w:customStyle="1" w:styleId="61">
    <w:name w:val="正文 首行缩进:  2 字符 Char1"/>
    <w:qFormat/>
    <w:uiPriority w:val="0"/>
    <w:rPr>
      <w:sz w:val="20"/>
    </w:rPr>
  </w:style>
  <w:style w:type="character" w:customStyle="1" w:styleId="62">
    <w:name w:val="技术规范书正文 Char"/>
    <w:qFormat/>
    <w:uiPriority w:val="0"/>
    <w:rPr>
      <w:sz w:val="20"/>
    </w:rPr>
  </w:style>
  <w:style w:type="character" w:customStyle="1" w:styleId="63">
    <w:name w:val="Char Char23"/>
    <w:qFormat/>
    <w:uiPriority w:val="0"/>
    <w:rPr>
      <w:b/>
      <w:sz w:val="20"/>
    </w:rPr>
  </w:style>
  <w:style w:type="character" w:customStyle="1" w:styleId="64">
    <w:name w:val="页眉 Char1"/>
    <w:qFormat/>
    <w:uiPriority w:val="0"/>
    <w:rPr>
      <w:sz w:val="20"/>
    </w:rPr>
  </w:style>
  <w:style w:type="character" w:customStyle="1" w:styleId="65">
    <w:name w:val="副标题 Char"/>
    <w:qFormat/>
    <w:uiPriority w:val="0"/>
    <w:rPr>
      <w:b/>
      <w:sz w:val="20"/>
    </w:rPr>
  </w:style>
  <w:style w:type="character" w:customStyle="1" w:styleId="66">
    <w:name w:val="标题 Char"/>
    <w:qFormat/>
    <w:uiPriority w:val="0"/>
    <w:rPr>
      <w:sz w:val="20"/>
    </w:rPr>
  </w:style>
  <w:style w:type="character" w:customStyle="1" w:styleId="67">
    <w:name w:val="正文文本缩进 Char"/>
    <w:qFormat/>
    <w:uiPriority w:val="0"/>
    <w:rPr>
      <w:sz w:val="20"/>
    </w:rPr>
  </w:style>
  <w:style w:type="character" w:customStyle="1" w:styleId="68">
    <w:name w:val="t31"/>
    <w:qFormat/>
    <w:uiPriority w:val="0"/>
    <w:rPr>
      <w:color w:val="000060"/>
      <w:sz w:val="20"/>
    </w:rPr>
  </w:style>
  <w:style w:type="character" w:customStyle="1" w:styleId="69">
    <w:name w:val="批注文字 Char"/>
    <w:qFormat/>
    <w:uiPriority w:val="0"/>
    <w:rPr>
      <w:sz w:val="20"/>
    </w:rPr>
  </w:style>
  <w:style w:type="character" w:customStyle="1" w:styleId="70">
    <w:name w:val="A0 Char Char"/>
    <w:qFormat/>
    <w:uiPriority w:val="0"/>
    <w:rPr>
      <w:sz w:val="20"/>
    </w:rPr>
  </w:style>
  <w:style w:type="character" w:customStyle="1" w:styleId="71">
    <w:name w:val="Char Char24"/>
    <w:qFormat/>
    <w:uiPriority w:val="0"/>
    <w:rPr>
      <w:sz w:val="20"/>
    </w:rPr>
  </w:style>
  <w:style w:type="character" w:customStyle="1" w:styleId="72">
    <w:name w:val="批注主题 Char Char"/>
    <w:qFormat/>
    <w:uiPriority w:val="0"/>
    <w:rPr>
      <w:b/>
      <w:sz w:val="20"/>
    </w:rPr>
  </w:style>
  <w:style w:type="character" w:customStyle="1" w:styleId="73">
    <w:name w:val="页眉 Char"/>
    <w:qFormat/>
    <w:uiPriority w:val="0"/>
    <w:rPr>
      <w:sz w:val="20"/>
    </w:rPr>
  </w:style>
  <w:style w:type="character" w:customStyle="1" w:styleId="74">
    <w:name w:val="Char Char22"/>
    <w:qFormat/>
    <w:uiPriority w:val="0"/>
    <w:rPr>
      <w:b/>
      <w:sz w:val="20"/>
    </w:rPr>
  </w:style>
  <w:style w:type="character" w:customStyle="1" w:styleId="75">
    <w:name w:val="样式 仿宋_GB2312"/>
    <w:qFormat/>
    <w:uiPriority w:val="0"/>
    <w:rPr>
      <w:sz w:val="20"/>
    </w:rPr>
  </w:style>
  <w:style w:type="character" w:customStyle="1" w:styleId="76">
    <w:name w:val="样式 标题 1 + 加粗 Char"/>
    <w:qFormat/>
    <w:uiPriority w:val="0"/>
    <w:rPr>
      <w:b/>
      <w:sz w:val="20"/>
    </w:rPr>
  </w:style>
  <w:style w:type="character" w:customStyle="1" w:styleId="77">
    <w:name w:val="Char Char5"/>
    <w:qFormat/>
    <w:uiPriority w:val="0"/>
    <w:rPr>
      <w:b/>
      <w:sz w:val="20"/>
    </w:rPr>
  </w:style>
  <w:style w:type="character" w:customStyle="1" w:styleId="78">
    <w:name w:val="页脚 Char"/>
    <w:qFormat/>
    <w:uiPriority w:val="0"/>
    <w:rPr>
      <w:sz w:val="20"/>
    </w:rPr>
  </w:style>
  <w:style w:type="character" w:customStyle="1" w:styleId="79">
    <w:name w:val="_Style 59"/>
    <w:qFormat/>
    <w:uiPriority w:val="0"/>
    <w:rPr>
      <w:i/>
      <w:color w:val="622423"/>
      <w:sz w:val="20"/>
    </w:rPr>
  </w:style>
  <w:style w:type="character" w:customStyle="1" w:styleId="80">
    <w:name w:val="Char Char10"/>
    <w:qFormat/>
    <w:uiPriority w:val="0"/>
    <w:rPr>
      <w:b/>
      <w:sz w:val="20"/>
    </w:rPr>
  </w:style>
  <w:style w:type="character" w:customStyle="1" w:styleId="81">
    <w:name w:val="Char Char20"/>
    <w:qFormat/>
    <w:uiPriority w:val="0"/>
    <w:rPr>
      <w:b/>
      <w:sz w:val="20"/>
    </w:rPr>
  </w:style>
  <w:style w:type="character" w:customStyle="1" w:styleId="82">
    <w:name w:val="Body Text Char2 Char"/>
    <w:qFormat/>
    <w:uiPriority w:val="0"/>
    <w:rPr>
      <w:sz w:val="20"/>
    </w:rPr>
  </w:style>
  <w:style w:type="character" w:customStyle="1" w:styleId="83">
    <w:name w:val="样式 正文首行缩进 + 首行缩进:  2 字符1 Char Char Char Char"/>
    <w:qFormat/>
    <w:uiPriority w:val="0"/>
    <w:rPr>
      <w:sz w:val="20"/>
    </w:rPr>
  </w:style>
  <w:style w:type="character" w:customStyle="1" w:styleId="84">
    <w:name w:val="Char Char27"/>
    <w:qFormat/>
    <w:uiPriority w:val="0"/>
    <w:rPr>
      <w:b/>
      <w:sz w:val="20"/>
    </w:rPr>
  </w:style>
  <w:style w:type="character" w:customStyle="1" w:styleId="85">
    <w:name w:val="标题 7 Char"/>
    <w:qFormat/>
    <w:uiPriority w:val="0"/>
    <w:rPr>
      <w:b/>
      <w:sz w:val="20"/>
    </w:rPr>
  </w:style>
  <w:style w:type="character" w:customStyle="1" w:styleId="86">
    <w:name w:val="_Style 66"/>
    <w:qFormat/>
    <w:uiPriority w:val="0"/>
    <w:rPr>
      <w:i/>
      <w:sz w:val="20"/>
    </w:rPr>
  </w:style>
  <w:style w:type="character" w:customStyle="1" w:styleId="87">
    <w:name w:val="目录 9 Char"/>
    <w:qFormat/>
    <w:uiPriority w:val="0"/>
    <w:rPr>
      <w:sz w:val="20"/>
    </w:rPr>
  </w:style>
  <w:style w:type="character" w:customStyle="1" w:styleId="88">
    <w:name w:val="标题 2 Char1"/>
    <w:qFormat/>
    <w:uiPriority w:val="0"/>
    <w:rPr>
      <w:b/>
      <w:sz w:val="20"/>
    </w:rPr>
  </w:style>
  <w:style w:type="character" w:customStyle="1" w:styleId="89">
    <w:name w:val="正文文本 2 Char"/>
    <w:qFormat/>
    <w:uiPriority w:val="0"/>
    <w:rPr>
      <w:sz w:val="20"/>
    </w:rPr>
  </w:style>
  <w:style w:type="character" w:customStyle="1" w:styleId="90">
    <w:name w:val="Char Char8"/>
    <w:qFormat/>
    <w:uiPriority w:val="0"/>
    <w:rPr>
      <w:sz w:val="20"/>
    </w:rPr>
  </w:style>
  <w:style w:type="character" w:customStyle="1" w:styleId="91">
    <w:name w:val="样式1 Char Char"/>
    <w:qFormat/>
    <w:uiPriority w:val="0"/>
    <w:rPr>
      <w:sz w:val="20"/>
    </w:rPr>
  </w:style>
  <w:style w:type="character" w:customStyle="1" w:styleId="92">
    <w:name w:val="para"/>
    <w:qFormat/>
    <w:uiPriority w:val="0"/>
    <w:rPr>
      <w:sz w:val="20"/>
    </w:rPr>
  </w:style>
  <w:style w:type="character" w:customStyle="1" w:styleId="93">
    <w:name w:val="正文文本缩进 Char1"/>
    <w:qFormat/>
    <w:uiPriority w:val="0"/>
    <w:rPr>
      <w:sz w:val="20"/>
    </w:rPr>
  </w:style>
  <w:style w:type="character" w:customStyle="1" w:styleId="94">
    <w:name w:val="正文文本 3 Char"/>
    <w:qFormat/>
    <w:uiPriority w:val="0"/>
    <w:rPr>
      <w:sz w:val="20"/>
    </w:rPr>
  </w:style>
  <w:style w:type="character" w:customStyle="1" w:styleId="95">
    <w:name w:val="正文符号1 Char"/>
    <w:qFormat/>
    <w:uiPriority w:val="0"/>
    <w:rPr>
      <w:sz w:val="20"/>
    </w:rPr>
  </w:style>
  <w:style w:type="character" w:customStyle="1" w:styleId="96">
    <w:name w:val="style18"/>
    <w:qFormat/>
    <w:uiPriority w:val="0"/>
    <w:rPr>
      <w:sz w:val="20"/>
    </w:rPr>
  </w:style>
  <w:style w:type="character" w:customStyle="1" w:styleId="97">
    <w:name w:val="px141"/>
    <w:qFormat/>
    <w:uiPriority w:val="0"/>
    <w:rPr>
      <w:sz w:val="20"/>
    </w:rPr>
  </w:style>
  <w:style w:type="character" w:customStyle="1" w:styleId="98">
    <w:name w:val="标题 5 Char"/>
    <w:qFormat/>
    <w:uiPriority w:val="0"/>
    <w:rPr>
      <w:sz w:val="20"/>
    </w:rPr>
  </w:style>
  <w:style w:type="character" w:customStyle="1" w:styleId="99">
    <w:name w:val="引用 Char"/>
    <w:qFormat/>
    <w:uiPriority w:val="0"/>
    <w:rPr>
      <w:i/>
      <w:color w:val="FF0000"/>
      <w:sz w:val="20"/>
    </w:rPr>
  </w:style>
  <w:style w:type="character" w:customStyle="1" w:styleId="100">
    <w:name w:val="页脚 Char1"/>
    <w:qFormat/>
    <w:uiPriority w:val="0"/>
    <w:rPr>
      <w:sz w:val="20"/>
    </w:rPr>
  </w:style>
  <w:style w:type="character" w:customStyle="1" w:styleId="101">
    <w:name w:val="style15"/>
    <w:qFormat/>
    <w:uiPriority w:val="0"/>
    <w:rPr>
      <w:sz w:val="20"/>
    </w:rPr>
  </w:style>
  <w:style w:type="character" w:customStyle="1" w:styleId="102">
    <w:name w:val="Default Char Char"/>
    <w:qFormat/>
    <w:uiPriority w:val="0"/>
    <w:rPr>
      <w:color w:val="000000"/>
      <w:sz w:val="20"/>
    </w:rPr>
  </w:style>
  <w:style w:type="character" w:customStyle="1" w:styleId="103">
    <w:name w:val="_Style 85"/>
    <w:qFormat/>
    <w:uiPriority w:val="0"/>
    <w:rPr>
      <w:b/>
      <w:i/>
      <w:color w:val="622423"/>
      <w:sz w:val="20"/>
    </w:rPr>
  </w:style>
  <w:style w:type="character" w:customStyle="1" w:styleId="104">
    <w:name w:val="标题 Char1"/>
    <w:qFormat/>
    <w:uiPriority w:val="0"/>
    <w:rPr>
      <w:b/>
      <w:sz w:val="20"/>
    </w:rPr>
  </w:style>
  <w:style w:type="character" w:customStyle="1" w:styleId="105">
    <w:name w:val="big11"/>
    <w:qFormat/>
    <w:uiPriority w:val="0"/>
    <w:rPr>
      <w:sz w:val="20"/>
    </w:rPr>
  </w:style>
  <w:style w:type="character" w:customStyle="1" w:styleId="106">
    <w:name w:val="Char Char11"/>
    <w:qFormat/>
    <w:uiPriority w:val="0"/>
    <w:rPr>
      <w:sz w:val="20"/>
    </w:rPr>
  </w:style>
  <w:style w:type="character" w:customStyle="1" w:styleId="107">
    <w:name w:val="正文首行缩进2字 Char"/>
    <w:qFormat/>
    <w:uiPriority w:val="0"/>
    <w:rPr>
      <w:sz w:val="20"/>
    </w:rPr>
  </w:style>
  <w:style w:type="character" w:customStyle="1" w:styleId="108">
    <w:name w:val="脚注文本 Char Char"/>
    <w:qFormat/>
    <w:uiPriority w:val="0"/>
    <w:rPr>
      <w:sz w:val="20"/>
    </w:rPr>
  </w:style>
  <w:style w:type="character" w:customStyle="1" w:styleId="109">
    <w:name w:val="样式 正文首行缩进 + 首行缩进:  2 字符1 Char Char Char Char Char"/>
    <w:qFormat/>
    <w:uiPriority w:val="0"/>
    <w:rPr>
      <w:sz w:val="20"/>
    </w:rPr>
  </w:style>
  <w:style w:type="character" w:customStyle="1" w:styleId="110">
    <w:name w:val="标题4 Char"/>
    <w:qFormat/>
    <w:uiPriority w:val="0"/>
    <w:rPr>
      <w:b/>
      <w:sz w:val="20"/>
    </w:rPr>
  </w:style>
  <w:style w:type="character" w:customStyle="1" w:styleId="111">
    <w:name w:val="批注框文本 Char"/>
    <w:qFormat/>
    <w:uiPriority w:val="0"/>
    <w:rPr>
      <w:sz w:val="20"/>
    </w:rPr>
  </w:style>
  <w:style w:type="character" w:customStyle="1" w:styleId="112">
    <w:name w:val="纯文本 Char1"/>
    <w:qFormat/>
    <w:uiPriority w:val="0"/>
    <w:rPr>
      <w:sz w:val="20"/>
    </w:rPr>
  </w:style>
  <w:style w:type="character" w:customStyle="1" w:styleId="113">
    <w:name w:val="纯文本 Char Char"/>
    <w:qFormat/>
    <w:uiPriority w:val="0"/>
    <w:rPr>
      <w:sz w:val="20"/>
    </w:rPr>
  </w:style>
  <w:style w:type="character" w:customStyle="1" w:styleId="114">
    <w:name w:val="文本块 Char Char"/>
    <w:qFormat/>
    <w:uiPriority w:val="0"/>
    <w:rPr>
      <w:sz w:val="20"/>
    </w:rPr>
  </w:style>
  <w:style w:type="character" w:customStyle="1" w:styleId="115">
    <w:name w:val="height-25"/>
    <w:qFormat/>
    <w:uiPriority w:val="0"/>
    <w:rPr>
      <w:sz w:val="20"/>
    </w:rPr>
  </w:style>
  <w:style w:type="character" w:customStyle="1" w:styleId="116">
    <w:name w:val="标题4 Char Char Char Char Char Char"/>
    <w:qFormat/>
    <w:uiPriority w:val="0"/>
    <w:rPr>
      <w:b/>
      <w:sz w:val="20"/>
    </w:rPr>
  </w:style>
  <w:style w:type="character" w:customStyle="1" w:styleId="117">
    <w:name w:val="标题 6 Char"/>
    <w:qFormat/>
    <w:uiPriority w:val="0"/>
    <w:rPr>
      <w:b/>
      <w:sz w:val="20"/>
    </w:rPr>
  </w:style>
  <w:style w:type="character" w:customStyle="1" w:styleId="118">
    <w:name w:val="批注文字 Char Char"/>
    <w:qFormat/>
    <w:uiPriority w:val="0"/>
    <w:rPr>
      <w:sz w:val="20"/>
    </w:rPr>
  </w:style>
  <w:style w:type="character" w:customStyle="1" w:styleId="119">
    <w:name w:val="标题 4 Char"/>
    <w:qFormat/>
    <w:uiPriority w:val="0"/>
    <w:rPr>
      <w:i/>
      <w:sz w:val="20"/>
    </w:rPr>
  </w:style>
  <w:style w:type="character" w:customStyle="1" w:styleId="120">
    <w:name w:val="标题1 Char"/>
    <w:qFormat/>
    <w:uiPriority w:val="0"/>
    <w:rPr>
      <w:b/>
      <w:sz w:val="20"/>
    </w:rPr>
  </w:style>
  <w:style w:type="character" w:customStyle="1" w:styleId="121">
    <w:name w:val="Char Char3"/>
    <w:qFormat/>
    <w:uiPriority w:val="0"/>
    <w:rPr>
      <w:sz w:val="20"/>
    </w:rPr>
  </w:style>
  <w:style w:type="character" w:customStyle="1" w:styleId="122">
    <w:name w:val="正文首行缩进 Char"/>
    <w:qFormat/>
    <w:uiPriority w:val="0"/>
    <w:rPr>
      <w:sz w:val="20"/>
    </w:rPr>
  </w:style>
  <w:style w:type="character" w:customStyle="1" w:styleId="123">
    <w:name w:val="Char Char2"/>
    <w:qFormat/>
    <w:uiPriority w:val="0"/>
    <w:rPr>
      <w:sz w:val="20"/>
    </w:rPr>
  </w:style>
  <w:style w:type="character" w:customStyle="1" w:styleId="124">
    <w:name w:val="px14"/>
    <w:qFormat/>
    <w:uiPriority w:val="0"/>
    <w:rPr>
      <w:sz w:val="20"/>
    </w:rPr>
  </w:style>
  <w:style w:type="character" w:customStyle="1" w:styleId="125">
    <w:name w:val="IBM 正文 Char"/>
    <w:qFormat/>
    <w:uiPriority w:val="0"/>
    <w:rPr>
      <w:sz w:val="20"/>
    </w:rPr>
  </w:style>
  <w:style w:type="character" w:customStyle="1" w:styleId="126">
    <w:name w:val="正文文本1"/>
    <w:qFormat/>
    <w:uiPriority w:val="0"/>
    <w:rPr>
      <w:sz w:val="20"/>
    </w:rPr>
  </w:style>
  <w:style w:type="character" w:customStyle="1" w:styleId="127">
    <w:name w:val="Char Char25"/>
    <w:qFormat/>
    <w:uiPriority w:val="0"/>
    <w:rPr>
      <w:color w:val="000000"/>
      <w:sz w:val="20"/>
    </w:rPr>
  </w:style>
  <w:style w:type="character" w:customStyle="1" w:styleId="128">
    <w:name w:val="正文文本缩进 3 Char"/>
    <w:qFormat/>
    <w:uiPriority w:val="0"/>
    <w:rPr>
      <w:color w:val="FF0000"/>
      <w:sz w:val="20"/>
    </w:rPr>
  </w:style>
  <w:style w:type="character" w:customStyle="1" w:styleId="129">
    <w:name w:val="正文文本缩进 3 Char Char"/>
    <w:qFormat/>
    <w:uiPriority w:val="0"/>
    <w:rPr>
      <w:sz w:val="20"/>
    </w:rPr>
  </w:style>
  <w:style w:type="character" w:customStyle="1" w:styleId="130">
    <w:name w:val="标题 8 Char"/>
    <w:qFormat/>
    <w:uiPriority w:val="0"/>
    <w:rPr>
      <w:sz w:val="20"/>
    </w:rPr>
  </w:style>
  <w:style w:type="character" w:customStyle="1" w:styleId="131">
    <w:name w:val="纯文本 Char"/>
    <w:qFormat/>
    <w:uiPriority w:val="0"/>
    <w:rPr>
      <w:sz w:val="20"/>
    </w:rPr>
  </w:style>
  <w:style w:type="character" w:customStyle="1" w:styleId="132">
    <w:name w:val="_Style 117"/>
    <w:qFormat/>
    <w:uiPriority w:val="0"/>
    <w:rPr>
      <w:color w:val="622423"/>
      <w:sz w:val="20"/>
    </w:rPr>
  </w:style>
  <w:style w:type="character" w:customStyle="1" w:styleId="133">
    <w:name w:val="样式2 Char"/>
    <w:qFormat/>
    <w:uiPriority w:val="0"/>
    <w:rPr>
      <w:b/>
      <w:sz w:val="20"/>
    </w:rPr>
  </w:style>
  <w:style w:type="character" w:customStyle="1" w:styleId="134">
    <w:name w:val="章 Char Char"/>
    <w:qFormat/>
    <w:uiPriority w:val="0"/>
    <w:rPr>
      <w:b/>
      <w:sz w:val="20"/>
    </w:rPr>
  </w:style>
  <w:style w:type="character" w:customStyle="1" w:styleId="135">
    <w:name w:val="webdict1"/>
    <w:qFormat/>
    <w:uiPriority w:val="0"/>
    <w:rPr>
      <w:b/>
      <w:sz w:val="20"/>
    </w:rPr>
  </w:style>
  <w:style w:type="character" w:customStyle="1" w:styleId="136">
    <w:name w:val="标题 11"/>
    <w:qFormat/>
    <w:uiPriority w:val="0"/>
    <w:rPr>
      <w:b/>
      <w:sz w:val="20"/>
    </w:rPr>
  </w:style>
  <w:style w:type="character" w:customStyle="1" w:styleId="137">
    <w:name w:val="页脚 Char Char"/>
    <w:qFormat/>
    <w:uiPriority w:val="0"/>
    <w:rPr>
      <w:sz w:val="20"/>
    </w:rPr>
  </w:style>
  <w:style w:type="character" w:customStyle="1" w:styleId="138">
    <w:name w:val="Char Char4"/>
    <w:qFormat/>
    <w:uiPriority w:val="0"/>
    <w:rPr>
      <w:sz w:val="20"/>
    </w:rPr>
  </w:style>
  <w:style w:type="character" w:customStyle="1" w:styleId="139">
    <w:name w:val="Char Char12"/>
    <w:qFormat/>
    <w:uiPriority w:val="0"/>
    <w:rPr>
      <w:sz w:val="20"/>
    </w:rPr>
  </w:style>
  <w:style w:type="character" w:customStyle="1" w:styleId="140">
    <w:name w:val="Char Char9"/>
    <w:qFormat/>
    <w:uiPriority w:val="0"/>
    <w:rPr>
      <w:b/>
      <w:sz w:val="20"/>
    </w:rPr>
  </w:style>
  <w:style w:type="character" w:customStyle="1" w:styleId="141">
    <w:name w:val="standdate1"/>
    <w:qFormat/>
    <w:uiPriority w:val="0"/>
    <w:rPr>
      <w:sz w:val="20"/>
      <w:u w:val="none"/>
    </w:rPr>
  </w:style>
  <w:style w:type="character" w:customStyle="1" w:styleId="142">
    <w:name w:val="标题 2 Char Char"/>
    <w:qFormat/>
    <w:uiPriority w:val="0"/>
    <w:rPr>
      <w:color w:val="365F91"/>
      <w:sz w:val="20"/>
    </w:rPr>
  </w:style>
  <w:style w:type="character" w:customStyle="1" w:styleId="143">
    <w:name w:val="章节标题 Char"/>
    <w:qFormat/>
    <w:uiPriority w:val="0"/>
    <w:rPr>
      <w:b/>
      <w:sz w:val="20"/>
    </w:rPr>
  </w:style>
  <w:style w:type="character" w:customStyle="1" w:styleId="144">
    <w:name w:val="目录 1 Char"/>
    <w:qFormat/>
    <w:uiPriority w:val="0"/>
    <w:rPr>
      <w:b/>
      <w:sz w:val="20"/>
    </w:rPr>
  </w:style>
  <w:style w:type="character" w:customStyle="1" w:styleId="145">
    <w:name w:val="Char Char111"/>
    <w:qFormat/>
    <w:uiPriority w:val="0"/>
    <w:rPr>
      <w:b/>
      <w:sz w:val="20"/>
    </w:rPr>
  </w:style>
  <w:style w:type="character" w:customStyle="1" w:styleId="146">
    <w:name w:val="段 Char"/>
    <w:qFormat/>
    <w:uiPriority w:val="0"/>
    <w:rPr>
      <w:sz w:val="20"/>
    </w:rPr>
  </w:style>
  <w:style w:type="character" w:customStyle="1" w:styleId="147">
    <w:name w:val="Char Char7"/>
    <w:qFormat/>
    <w:uiPriority w:val="0"/>
    <w:rPr>
      <w:sz w:val="20"/>
    </w:rPr>
  </w:style>
  <w:style w:type="character" w:customStyle="1" w:styleId="148">
    <w:name w:val="日期 Char"/>
    <w:qFormat/>
    <w:uiPriority w:val="0"/>
    <w:rPr>
      <w:sz w:val="20"/>
    </w:rPr>
  </w:style>
  <w:style w:type="character" w:customStyle="1" w:styleId="149">
    <w:name w:val="无间隔 Char"/>
    <w:qFormat/>
    <w:uiPriority w:val="0"/>
    <w:rPr>
      <w:sz w:val="20"/>
    </w:rPr>
  </w:style>
  <w:style w:type="character" w:customStyle="1" w:styleId="150">
    <w:name w:val="批注框文本 Char Char"/>
    <w:qFormat/>
    <w:uiPriority w:val="0"/>
    <w:rPr>
      <w:sz w:val="20"/>
    </w:rPr>
  </w:style>
  <w:style w:type="character" w:customStyle="1" w:styleId="151">
    <w:name w:val="Char Char6"/>
    <w:qFormat/>
    <w:uiPriority w:val="0"/>
    <w:rPr>
      <w:sz w:val="20"/>
    </w:rPr>
  </w:style>
  <w:style w:type="character" w:customStyle="1" w:styleId="152">
    <w:name w:val="节标题 1.1 Char Char"/>
    <w:qFormat/>
    <w:uiPriority w:val="0"/>
    <w:rPr>
      <w:b/>
      <w:sz w:val="20"/>
    </w:rPr>
  </w:style>
  <w:style w:type="character" w:customStyle="1" w:styleId="153">
    <w:name w:val="正文缩进 Char1"/>
    <w:qFormat/>
    <w:uiPriority w:val="0"/>
    <w:rPr>
      <w:sz w:val="20"/>
    </w:rPr>
  </w:style>
  <w:style w:type="character" w:customStyle="1" w:styleId="154">
    <w:name w:val="文档结构图 Char"/>
    <w:qFormat/>
    <w:uiPriority w:val="0"/>
    <w:rPr>
      <w:b/>
      <w:sz w:val="20"/>
    </w:rPr>
  </w:style>
  <w:style w:type="character" w:customStyle="1" w:styleId="155">
    <w:name w:val="标题 1 Char Char"/>
    <w:qFormat/>
    <w:uiPriority w:val="0"/>
    <w:rPr>
      <w:b/>
      <w:color w:val="365F91"/>
      <w:sz w:val="20"/>
    </w:rPr>
  </w:style>
  <w:style w:type="character" w:customStyle="1" w:styleId="156">
    <w:name w:val="目录 3 Char Char"/>
    <w:qFormat/>
    <w:uiPriority w:val="0"/>
    <w:rPr>
      <w:i/>
      <w:sz w:val="20"/>
    </w:rPr>
  </w:style>
  <w:style w:type="character" w:customStyle="1" w:styleId="157">
    <w:name w:val="+正文 Char2 Char Char"/>
    <w:qFormat/>
    <w:uiPriority w:val="0"/>
    <w:rPr>
      <w:sz w:val="20"/>
    </w:rPr>
  </w:style>
  <w:style w:type="character" w:customStyle="1" w:styleId="158">
    <w:name w:val="+正文 Char Char2 Char Char Char"/>
    <w:qFormat/>
    <w:uiPriority w:val="0"/>
    <w:rPr>
      <w:sz w:val="20"/>
    </w:rPr>
  </w:style>
  <w:style w:type="character" w:customStyle="1" w:styleId="159">
    <w:name w:val="+正文 Char Char Char4"/>
    <w:qFormat/>
    <w:uiPriority w:val="0"/>
    <w:rPr>
      <w:sz w:val="20"/>
    </w:rPr>
  </w:style>
  <w:style w:type="character" w:customStyle="1" w:styleId="160">
    <w:name w:val="正文文本 Char"/>
    <w:qFormat/>
    <w:uiPriority w:val="0"/>
    <w:rPr>
      <w:sz w:val="20"/>
    </w:rPr>
  </w:style>
  <w:style w:type="character" w:customStyle="1" w:styleId="161">
    <w:name w:val="标题 2 Char"/>
    <w:qFormat/>
    <w:uiPriority w:val="0"/>
    <w:rPr>
      <w:b/>
      <w:sz w:val="20"/>
    </w:rPr>
  </w:style>
  <w:style w:type="character" w:customStyle="1" w:styleId="162">
    <w:name w:val="line201"/>
    <w:qFormat/>
    <w:uiPriority w:val="0"/>
    <w:rPr>
      <w:sz w:val="20"/>
    </w:rPr>
  </w:style>
  <w:style w:type="character" w:customStyle="1" w:styleId="163">
    <w:name w:val="+正文 Char7"/>
    <w:qFormat/>
    <w:uiPriority w:val="0"/>
    <w:rPr>
      <w:sz w:val="20"/>
    </w:rPr>
  </w:style>
  <w:style w:type="character" w:customStyle="1" w:styleId="164">
    <w:name w:val="_Style 154"/>
    <w:qFormat/>
    <w:uiPriority w:val="0"/>
    <w:rPr>
      <w:i/>
      <w:sz w:val="20"/>
    </w:rPr>
  </w:style>
  <w:style w:type="character" w:customStyle="1" w:styleId="165">
    <w:name w:val="副标题 Char1"/>
    <w:qFormat/>
    <w:uiPriority w:val="0"/>
    <w:rPr>
      <w:b/>
      <w:sz w:val="20"/>
    </w:rPr>
  </w:style>
  <w:style w:type="character" w:customStyle="1" w:styleId="166">
    <w:name w:val="Char Char"/>
    <w:qFormat/>
    <w:uiPriority w:val="0"/>
    <w:rPr>
      <w:sz w:val="20"/>
    </w:rPr>
  </w:style>
  <w:style w:type="character" w:customStyle="1" w:styleId="167">
    <w:name w:val="标题 2 Char2"/>
    <w:qFormat/>
    <w:uiPriority w:val="0"/>
    <w:rPr>
      <w:b/>
      <w:sz w:val="20"/>
    </w:rPr>
  </w:style>
  <w:style w:type="character" w:customStyle="1" w:styleId="168">
    <w:name w:val="Char Char15"/>
    <w:qFormat/>
    <w:uiPriority w:val="0"/>
    <w:rPr>
      <w:sz w:val="20"/>
    </w:rPr>
  </w:style>
  <w:style w:type="character" w:customStyle="1" w:styleId="169">
    <w:name w:val="注释标题 Char"/>
    <w:qFormat/>
    <w:uiPriority w:val="0"/>
    <w:rPr>
      <w:sz w:val="20"/>
    </w:rPr>
  </w:style>
  <w:style w:type="character" w:customStyle="1" w:styleId="170">
    <w:name w:val="Char Char17"/>
    <w:qFormat/>
    <w:uiPriority w:val="0"/>
    <w:rPr>
      <w:sz w:val="20"/>
    </w:rPr>
  </w:style>
  <w:style w:type="character" w:customStyle="1" w:styleId="171">
    <w:name w:val="正文加重首行缩进2字 Char"/>
    <w:qFormat/>
    <w:uiPriority w:val="0"/>
    <w:rPr>
      <w:b/>
      <w:sz w:val="20"/>
    </w:rPr>
  </w:style>
  <w:style w:type="character" w:customStyle="1" w:styleId="172">
    <w:name w:val="样式 黑色"/>
    <w:qFormat/>
    <w:uiPriority w:val="0"/>
    <w:rPr>
      <w:color w:val="000000"/>
      <w:sz w:val="20"/>
    </w:rPr>
  </w:style>
  <w:style w:type="paragraph" w:customStyle="1" w:styleId="173">
    <w:name w:val="样式 正文首行缩进 + 首行缩进:  2 字符1 Char Char"/>
    <w:basedOn w:val="174"/>
    <w:qFormat/>
    <w:uiPriority w:val="0"/>
    <w:pPr>
      <w:adjustRightInd w:val="0"/>
      <w:spacing w:after="0" w:line="400" w:lineRule="exact"/>
      <w:ind w:firstLine="480" w:firstLineChars="200"/>
      <w:textAlignment w:val="baseline"/>
    </w:pPr>
    <w:rPr>
      <w:rFonts w:eastAsia="仿宋_GB2312" w:cs="宋体"/>
      <w:sz w:val="24"/>
    </w:rPr>
  </w:style>
  <w:style w:type="paragraph" w:customStyle="1" w:styleId="174">
    <w:name w:val="正文首行缩进1"/>
    <w:qFormat/>
    <w:uiPriority w:val="0"/>
    <w:pPr>
      <w:spacing w:after="120"/>
      <w:ind w:firstLine="420" w:firstLineChars="100"/>
    </w:pPr>
    <w:rPr>
      <w:rFonts w:ascii="宋体" w:hAnsi="宋体" w:eastAsia="MingLiU" w:cs="Times New Roman"/>
      <w:color w:val="000000"/>
      <w:lang w:val="en-US" w:eastAsia="zh-CN" w:bidi="ar-SA"/>
    </w:rPr>
  </w:style>
  <w:style w:type="paragraph" w:customStyle="1" w:styleId="175">
    <w:name w:val="_Style 2"/>
    <w:basedOn w:val="1"/>
    <w:qFormat/>
    <w:uiPriority w:val="99"/>
    <w:pPr>
      <w:ind w:firstLine="420" w:firstLineChars="200"/>
    </w:pPr>
    <w:rPr>
      <w:rFonts w:ascii="Calibri" w:hAnsi="Calibri"/>
      <w:szCs w:val="22"/>
    </w:rPr>
  </w:style>
  <w:style w:type="paragraph" w:customStyle="1" w:styleId="176">
    <w:name w:val="列出段落1"/>
    <w:basedOn w:val="1"/>
    <w:unhideWhenUsed/>
    <w:qFormat/>
    <w:uiPriority w:val="99"/>
    <w:pPr>
      <w:ind w:firstLine="420"/>
    </w:pPr>
  </w:style>
  <w:style w:type="paragraph" w:customStyle="1" w:styleId="177">
    <w:name w:val="修订1"/>
    <w:unhideWhenUsed/>
    <w:qFormat/>
    <w:uiPriority w:val="99"/>
    <w:rPr>
      <w:rFonts w:ascii="Times New Roman" w:hAnsi="Times New Roman" w:eastAsia="宋体" w:cs="Times New Roman"/>
      <w:lang w:val="en-US" w:eastAsia="zh-CN" w:bidi="ar-SA"/>
    </w:rPr>
  </w:style>
  <w:style w:type="paragraph" w:customStyle="1" w:styleId="178">
    <w:name w:val="修订2"/>
    <w:semiHidden/>
    <w:qFormat/>
    <w:uiPriority w:val="99"/>
    <w:rPr>
      <w:rFonts w:ascii="Times New Roman" w:hAnsi="Times New Roman" w:eastAsia="宋体" w:cs="Times New Roman"/>
      <w:lang w:val="en-US" w:eastAsia="zh-CN" w:bidi="ar-SA"/>
    </w:rPr>
  </w:style>
  <w:style w:type="paragraph" w:customStyle="1" w:styleId="179">
    <w:name w:val="È±Ê¡ÎÄ±¾"/>
    <w:basedOn w:val="1"/>
    <w:qFormat/>
    <w:uiPriority w:val="0"/>
    <w:pPr>
      <w:widowControl/>
      <w:overflowPunct w:val="0"/>
      <w:autoSpaceDE w:val="0"/>
      <w:autoSpaceDN w:val="0"/>
      <w:adjustRightInd w:val="0"/>
      <w:spacing w:line="360" w:lineRule="auto"/>
      <w:ind w:firstLine="200" w:firstLineChars="200"/>
      <w:jc w:val="left"/>
      <w:textAlignment w:val="baseline"/>
    </w:pPr>
    <w:rPr>
      <w:sz w:val="24"/>
    </w:rPr>
  </w:style>
  <w:style w:type="paragraph" w:customStyle="1" w:styleId="180">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81">
    <w:name w:val="正文常用"/>
    <w:basedOn w:val="1"/>
    <w:qFormat/>
    <w:uiPriority w:val="0"/>
    <w:pPr>
      <w:spacing w:line="360" w:lineRule="auto"/>
      <w:ind w:firstLine="420"/>
    </w:pPr>
    <w:rPr>
      <w:rFonts w:ascii="宋体" w:hAnsi="宋体"/>
      <w:color w:val="000000"/>
      <w:sz w:val="24"/>
      <w:szCs w:val="21"/>
    </w:rPr>
  </w:style>
  <w:style w:type="paragraph" w:customStyle="1" w:styleId="182">
    <w:name w:val="（1节）正文标题"/>
    <w:basedOn w:val="1"/>
    <w:next w:val="7"/>
    <w:qFormat/>
    <w:uiPriority w:val="0"/>
    <w:pPr>
      <w:spacing w:before="30" w:beforeLines="30" w:after="20" w:afterLines="20" w:line="360" w:lineRule="auto"/>
      <w:jc w:val="left"/>
      <w:outlineLvl w:val="1"/>
    </w:pPr>
    <w:rPr>
      <w:rFonts w:ascii="Calibri" w:hAnsi="Calibri" w:cs="Arial"/>
      <w:b/>
      <w:sz w:val="24"/>
    </w:rPr>
  </w:style>
  <w:style w:type="paragraph" w:customStyle="1" w:styleId="183">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184">
    <w:name w:val="正文（缩进）"/>
    <w:basedOn w:val="1"/>
    <w:next w:val="1"/>
    <w:qFormat/>
    <w:uiPriority w:val="0"/>
    <w:pPr>
      <w:widowControl/>
      <w:spacing w:before="156" w:after="156" w:line="360" w:lineRule="auto"/>
      <w:ind w:firstLine="480" w:firstLineChars="200"/>
      <w:jc w:val="left"/>
    </w:pPr>
    <w:rPr>
      <w:rFonts w:ascii="仿宋" w:hAnsi="仿宋"/>
      <w:sz w:val="28"/>
      <w:szCs w:val="24"/>
      <w:lang w:bidi="th-TH"/>
    </w:rPr>
  </w:style>
  <w:style w:type="table" w:customStyle="1" w:styleId="185">
    <w:name w:val="Table Normal1"/>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86">
    <w:name w:val="正文文本缩进 34"/>
    <w:basedOn w:val="1"/>
    <w:qFormat/>
    <w:uiPriority w:val="0"/>
    <w:pPr>
      <w:spacing w:after="120"/>
      <w:ind w:left="420" w:leftChars="200"/>
    </w:pPr>
    <w:rPr>
      <w:rFonts w:ascii="Times New Roman" w:hAnsi="Times New Roman"/>
      <w:kern w:val="0"/>
      <w:sz w:val="16"/>
      <w:szCs w:val="16"/>
    </w:rPr>
  </w:style>
  <w:style w:type="paragraph" w:customStyle="1" w:styleId="187">
    <w:name w:val="Body Text Indent 3"/>
    <w:basedOn w:val="1"/>
    <w:qFormat/>
    <w:uiPriority w:val="0"/>
    <w:pPr>
      <w:spacing w:after="120"/>
      <w:ind w:left="420" w:leftChars="200"/>
    </w:pPr>
    <w:rPr>
      <w:rFonts w:ascii="Times New Roman" w:hAnsi="Times New Roman"/>
      <w:kern w:val="0"/>
      <w:sz w:val="16"/>
      <w:szCs w:val="16"/>
    </w:rPr>
  </w:style>
  <w:style w:type="paragraph" w:styleId="188">
    <w:name w:val="List Paragraph"/>
    <w:basedOn w:val="1"/>
    <w:qFormat/>
    <w:uiPriority w:val="34"/>
    <w:pPr>
      <w:ind w:firstLine="420" w:firstLineChars="200"/>
    </w:pPr>
  </w:style>
  <w:style w:type="character" w:customStyle="1" w:styleId="189">
    <w:name w:val="font91"/>
    <w:basedOn w:val="25"/>
    <w:qFormat/>
    <w:uiPriority w:val="0"/>
    <w:rPr>
      <w:rFonts w:ascii="宋体" w:hAnsi="宋体" w:eastAsia="宋体" w:cs="宋体"/>
      <w:color w:val="000000"/>
      <w:sz w:val="14"/>
      <w:szCs w:val="14"/>
      <w:u w:val="none"/>
    </w:rPr>
  </w:style>
  <w:style w:type="character" w:customStyle="1" w:styleId="190">
    <w:name w:val="font21"/>
    <w:qFormat/>
    <w:uiPriority w:val="0"/>
    <w:rPr>
      <w:rFonts w:hint="eastAsia" w:ascii="宋体" w:hAnsi="宋体" w:eastAsia="宋体"/>
      <w:color w:val="000000"/>
      <w:sz w:val="16"/>
      <w:szCs w:val="16"/>
      <w:u w:val="none"/>
    </w:rPr>
  </w:style>
  <w:style w:type="paragraph" w:customStyle="1" w:styleId="191">
    <w:name w:val="Table Paragraph"/>
    <w:basedOn w:val="1"/>
    <w:qFormat/>
    <w:uiPriority w:val="1"/>
    <w:rPr>
      <w:rFonts w:ascii="宋体" w:hAnsi="宋体" w:cs="宋体"/>
      <w:lang w:val="zh-CN" w:bidi="zh-CN"/>
    </w:rPr>
  </w:style>
  <w:style w:type="character" w:customStyle="1" w:styleId="192">
    <w:name w:val="font31"/>
    <w:basedOn w:val="25"/>
    <w:qFormat/>
    <w:uiPriority w:val="0"/>
    <w:rPr>
      <w:rFonts w:hint="default" w:ascii="Times New Roman" w:hAnsi="Times New Roman" w:cs="Times New Roman"/>
      <w:b/>
      <w:bCs/>
      <w:color w:val="000000"/>
      <w:sz w:val="21"/>
      <w:szCs w:val="21"/>
      <w:u w:val="none"/>
    </w:rPr>
  </w:style>
  <w:style w:type="character" w:customStyle="1" w:styleId="193">
    <w:name w:val="font71"/>
    <w:basedOn w:val="25"/>
    <w:qFormat/>
    <w:uiPriority w:val="0"/>
    <w:rPr>
      <w:rFonts w:ascii="方正仿宋_GBK" w:hAnsi="方正仿宋_GBK" w:eastAsia="方正仿宋_GBK" w:cs="方正仿宋_GBK"/>
      <w:b/>
      <w:bCs/>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3.jpeg"/><Relationship Id="rId18" Type="http://schemas.openxmlformats.org/officeDocument/2006/relationships/image" Target="media/image2.jpe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02d09e10-ba84-4c1d-9ee6-f614480bc1ce</errorID>
      <errorWord>目</errorWord>
      <group>L1_Word</group>
      <groupName>字词问题</groupName>
      <ability>L2_Typo</ability>
      <abilityName>字词错误</abilityName>
      <candidateList>
        <item>目为</item>
      </candidateList>
      <explain/>
      <paraID>2AFE19D6</paraID>
      <start>4</start>
      <end>6</end>
      <status>modified</status>
      <modifiedWord>目为</modifiedWord>
      <trackRevisions>true</trackRevisions>
    </reviewItem>
    <reviewItem>
      <errorID>f3392047-b247-4b7a-bfd9-7834a924c07f</errorID>
      <errorWord>选项目</errorWord>
      <group>L1_AI</group>
      <groupName>深度校对</groupName>
      <ability>L2_AI_Grammar</ability>
      <abilityName>语法纠错</abilityName>
      <candidateList>
        <item>选</item>
      </candidateList>
      <explain/>
      <paraID>2AFE19D6</paraID>
      <start>87</start>
      <end>88</end>
      <status>modified</status>
      <modifiedWord>选</modifiedWord>
      <trackRevisions>true</trackRevisions>
    </reviewItem>
    <reviewItem>
      <errorID>65f4b322-df12-45b7-af8f-e75f8cffa9df</errorID>
      <errorWord>1</errorWord>
      <group>L1_AI</group>
      <groupName>深度校对</groupName>
      <ability>L2_AI_Punc</ability>
      <abilityName>标点纠错</abilityName>
      <candidateList>
        <item>1。</item>
      </candidateList>
      <explain/>
      <paraID>280DC641</paraID>
      <start>22</start>
      <end>24</end>
      <status>modified</status>
      <modifiedWord>1。</modifiedWord>
      <trackRevisions>true</trackRevisions>
    </reviewItem>
    <reviewItem>
      <errorID>04c7d913-e4dc-4fb0-b94c-a32afaa2649d</errorID>
      <errorWord>1.递交参选文件时间为2025年  月  日  时  分至2025年  月  日  时  分。</errorWord>
      <group>L1_AI</group>
      <groupName>深度校对</groupName>
      <ability>L2_AI_Title</ability>
      <abilityName>标题检查</abilityName>
      <candidateList/>
      <explain>相邻标题序号不连续。在标题‘5.参选文件的递交’之后，应按顺序为‘5.1’等，而此处直接出现‘1.’，导致相邻标题序号不连续，后续‘2.参选文件递交的地点为：重庆国际投资咨询集团有限公司开标厅（重庆市江北区五里店五简路2号重庆咨询大厦A栋），具体开标厅详见负一楼大厅当天指示牌。’和‘3.逾期送达，或未送达指定地点，或未按比选文件要求密封的参选文件，比选人不予受理。’也存在同样的序号不连续问题。</explain>
      <paraID>7377935F</paraID>
      <start>0</start>
      <end>47</end>
      <status>unmodified</status>
      <modifiedWord/>
      <trackRevisions>false</trackRevisions>
    </reviewItem>
    <reviewItem>
      <errorID>c81f34d5-2468-444e-86fc-83231dce47ad</errorID>
      <errorWord>/）</errorWord>
      <group>L1_Punc</group>
      <groupName>标点问题</groupName>
      <ability>L2_Punc</ability>
      <abilityName>标点符号检查</abilityName>
      <candidateList>
        <item>）</item>
      </candidateList>
      <explain/>
      <paraID>7CA51C42</paraID>
      <start>88</start>
      <end>89</end>
      <status>modified</status>
      <modifiedWord>）</modifiedWord>
      <trackRevisions>true</trackRevisions>
    </reviewItem>
    <reviewItem>
      <errorID>90e700b6-0b13-4433-9b09-c8a59aaf2719</errorID>
      <errorWord>/）</errorWord>
      <group>L1_Punc</group>
      <groupName>标点问题</groupName>
      <ability>L2_Punc</ability>
      <abilityName>标点符号检查</abilityName>
      <candidateList>
        <item>）</item>
      </candidateList>
      <explain/>
      <paraID>7CA51C42</paraID>
      <start>124</start>
      <end>125</end>
      <status>modified</status>
      <modifiedWord>）</modifiedWord>
      <trackRevisions>true</trackRevisions>
    </reviewItem>
    <reviewItem>
      <errorID>2a5e0f53-bfab-4170-b736-e6d1c88b0513</errorID>
      <errorWord>:</errorWord>
      <group>L1_Format</group>
      <groupName>格式问题</groupName>
      <ability>L2_HalfPunc</ability>
      <abilityName>全半角检查</abilityName>
      <candidateList>
        <item>：</item>
      </candidateList>
      <explain>文本全半角错误。</explain>
      <paraID>229EEDB4</paraID>
      <start>2</start>
      <end>3</end>
      <status>modified</status>
      <modifiedWord>：</modifiedWord>
      <trackRevisions>true</trackRevisions>
    </reviewItem>
    <reviewItem>
      <errorID>bdc189b2-faab-4171-94e9-5df9cbd7d7b2</errorID>
      <errorWord>。</errorWord>
      <group>L1_AI</group>
      <groupName>深度校对</groupName>
      <ability>L2_AI_Punc</ability>
      <abilityName>标点纠错</abilityName>
      <candidateList>
        <item/>
      </candidateList>
      <explain/>
      <paraID>79BE7B8D</paraID>
      <start>27</start>
      <end>27</end>
      <status>modified</status>
      <modifiedWord/>
      <trackRevisions>true</trackRevisions>
    </reviewItem>
    <reviewItem>
      <errorID>85f82a1d-12ab-40e3-9033-83ec78aabd37</errorID>
      <errorWord>维保</errorWord>
      <group>L1_Word</group>
      <groupName>字词问题</groupName>
      <ability>L2_Typo</ability>
      <abilityName>字词错误</abilityName>
      <candidateList>
        <item>参保</item>
      </candidateList>
      <explain/>
      <paraID>1B1C00B5</paraID>
      <start>37</start>
      <end>39</end>
      <status>ignored</status>
      <modifiedWord/>
      <trackRevisions>false</trackRevisions>
    </reviewItem>
    <reviewItem>
      <errorID>dbfdd83b-214f-4693-a6bf-9ddd23730c98</errorID>
      <errorWord>（</errorWord>
      <group>L1_Punc</group>
      <groupName>标点问题</groupName>
      <ability>L2_Punc</ability>
      <abilityName>标点符号检查</abilityName>
      <candidateList/>
      <explain>同一形式括号套用。</explain>
      <paraID>1B1C00B5</paraID>
      <start>181</start>
      <end>182</end>
      <status>ignored</status>
      <modifiedWord/>
      <trackRevisions>false</trackRevisions>
    </reviewItem>
    <reviewItem>
      <errorID>1073cdaf-16b1-4a9c-a9d3-4e06b67c3b58</errorID>
      <errorWord>）</errorWord>
      <group>L1_Punc</group>
      <groupName>标点问题</groupName>
      <ability>L2_Punc</ability>
      <abilityName>标点符号检查</abilityName>
      <candidateList/>
      <explain>同一形式括号套用。</explain>
      <paraID>1B1C00B5</paraID>
      <start>186</start>
      <end>187</end>
      <status>ignored</status>
      <modifiedWord/>
      <trackRevisions>false</trackRevisions>
    </reviewItem>
    <reviewItem>
      <errorID>5018dfa4-4e3e-4957-b55e-ef869a4aae1b</errorID>
      <errorWord>（</errorWord>
      <group>L1_Punc</group>
      <groupName>标点问题</groupName>
      <ability>L2_Punc</ability>
      <abilityName>标点符号检查</abilityName>
      <candidateList/>
      <explain>同一形式括号套用。</explain>
      <paraID>1B1C00B5</paraID>
      <start>200</start>
      <end>201</end>
      <status>ignored</status>
      <modifiedWord/>
      <trackRevisions>false</trackRevisions>
    </reviewItem>
    <reviewItem>
      <errorID>2121444e-ecba-4695-9353-5401653e14a9</errorID>
      <errorWord>）</errorWord>
      <group>L1_Punc</group>
      <groupName>标点问题</groupName>
      <ability>L2_Punc</ability>
      <abilityName>标点符号检查</abilityName>
      <candidateList/>
      <explain>同一形式括号套用。</explain>
      <paraID>1B1C00B5</paraID>
      <start>208</start>
      <end>209</end>
      <status>ignored</status>
      <modifiedWord/>
      <trackRevisions>false</trackRevisions>
    </reviewItem>
    <reviewItem>
      <errorID>bd7f961d-ecf2-4c7b-9eb9-1bfaced11485</errorID>
      <errorWord>（</errorWord>
      <group>L1_Punc</group>
      <groupName>标点问题</groupName>
      <ability>L2_Punc</ability>
      <abilityName>标点符号检查</abilityName>
      <candidateList/>
      <explain>同一形式括号套用。</explain>
      <paraID>1B1C00B5</paraID>
      <start>291</start>
      <end>292</end>
      <status>ignored</status>
      <modifiedWord/>
      <trackRevisions>false</trackRevisions>
    </reviewItem>
    <reviewItem>
      <errorID>1c578818-e199-4fa9-82f2-f6d78d150f1f</errorID>
      <errorWord>）</errorWord>
      <group>L1_Punc</group>
      <groupName>标点问题</groupName>
      <ability>L2_Punc</ability>
      <abilityName>标点符号检查</abilityName>
      <candidateList/>
      <explain>同一形式括号套用。</explain>
      <paraID>1B1C00B5</paraID>
      <start>312</start>
      <end>313</end>
      <status>ignored</status>
      <modifiedWord/>
      <trackRevisions>false</trackRevisions>
    </reviewItem>
    <reviewItem>
      <errorID>49f6a1a9-ca3f-4d3c-a292-c2d29acfc2c2</errorID>
      <errorWord>间</errorWord>
      <group>L1_Word</group>
      <groupName>字词问题</groupName>
      <ability>L2_Typo</ability>
      <abilityName>字词错误</abilityName>
      <candidateList>
        <item>间为</item>
      </candidateList>
      <explain/>
      <paraID> BD2F714</paraID>
      <start>68</start>
      <end>69</end>
      <status>ignored</status>
      <modifiedWord/>
      <trackRevisions>false</trackRevisions>
    </reviewItem>
    <reviewItem>
      <errorID>6906b763-2965-4ba6-94d7-098edddc12d2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180F7922</paraID>
      <start>0</start>
      <end>2</end>
      <status>modified</status>
      <modifiedWord>1.</modifiedWord>
      <trackRevisions>true</trackRevisions>
    </reviewItem>
    <reviewItem>
      <errorID>068ea52e-5003-4d26-880a-471f3d5c28af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6926D41C</paraID>
      <start>0</start>
      <end>2</end>
      <status>modified</status>
      <modifiedWord>2.</modifiedWord>
      <trackRevisions>true</trackRevisions>
    </reviewItem>
    <reviewItem>
      <errorID>bc2ca899-66c2-429e-bef1-02f3e9f1b8d2</errorID>
      <errorWord>(</errorWord>
      <group>L1_Format</group>
      <groupName>格式问题</groupName>
      <ability>L2_HalfPunc</ability>
      <abilityName>全半角检查</abilityName>
      <candidateList>
        <item>（</item>
      </candidateList>
      <explain>文本全半角错误。</explain>
      <paraID>484F722F</paraID>
      <start>14</start>
      <end>15</end>
      <status>modified</status>
      <modifiedWord>（</modifiedWord>
      <trackRevisions>true</trackRevisions>
    </reviewItem>
    <reviewItem>
      <errorID>a3c4ca17-0d29-4214-a7e0-8163d1358752</errorID>
      <errorWord>)</errorWord>
      <group>L1_Format</group>
      <groupName>格式问题</groupName>
      <ability>L2_HalfPunc</ability>
      <abilityName>全半角检查</abilityName>
      <candidateList>
        <item>）</item>
      </candidateList>
      <explain>文本全半角错误。</explain>
      <paraID>484F722F</paraID>
      <start>18</start>
      <end>19</end>
      <status>modified</status>
      <modifiedWord>）</modifiedWord>
      <trackRevisions>true</trackRevisions>
    </reviewItem>
    <reviewItem>
      <errorID>18bb20c2-2acb-4b0d-9b8e-bb3c023557f8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6E5EEDD4</paraID>
      <start>0</start>
      <end>2</end>
      <status>modified</status>
      <modifiedWord>1.</modifiedWord>
      <trackRevisions>true</trackRevisions>
    </reviewItem>
    <reviewItem>
      <errorID>0f706d1e-c8a4-412c-9c4e-b1c018b9e7fd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7AE6F8D8</paraID>
      <start>0</start>
      <end>2</end>
      <status>modified</status>
      <modifiedWord>2.</modifiedWord>
      <trackRevisions>true</trackRevisions>
    </reviewItem>
    <reviewItem>
      <errorID>7c296941-f5a7-4f6a-9f47-02a161a72068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7434758</paraID>
      <start>0</start>
      <end>2</end>
      <status>modified</status>
      <modifiedWord>3.</modifiedWord>
      <trackRevisions>true</trackRevisions>
    </reviewItem>
    <reviewItem>
      <errorID>406d8878-7ebc-43bd-b132-07042a42c968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35397818</paraID>
      <start>0</start>
      <end>2</end>
      <status>modified</status>
      <modifiedWord>4.</modifiedWord>
      <trackRevisions>true</trackRevisions>
    </reviewItem>
    <reviewItem>
      <errorID>178f9ff1-37a8-434f-b77b-96566f0683de</errorID>
      <errorWord>（</errorWord>
      <group>L1_Format</group>
      <groupName>格式问题</groupName>
      <ability>L2_HalfPunc</ability>
      <abilityName>全半角检查</abilityName>
      <candidateList>
        <item>(</item>
      </candidateList>
      <explain>文本全半角错误。</explain>
      <paraID>5EF46230</paraID>
      <start>5</start>
      <end>6</end>
      <status>modified</status>
      <modifiedWord>(</modifiedWord>
      <trackRevisions>true</trackRevisions>
    </reviewItem>
    <reviewItem>
      <errorID>bbf0408d-43fd-415c-bd77-5e10b1a34053</errorID>
      <errorWord>）</errorWord>
      <group>L1_Format</group>
      <groupName>格式问题</groupName>
      <ability>L2_HalfPunc</ability>
      <abilityName>全半角检查</abilityName>
      <candidateList>
        <item>)</item>
      </candidateList>
      <explain>文本全半角错误。</explain>
      <paraID>5EF46230</paraID>
      <start>7</start>
      <end>8</end>
      <status>modified</status>
      <modifiedWord>)</modifiedWord>
      <trackRevisions>true</trackRevisions>
    </reviewItem>
    <reviewItem>
      <errorID>e72d68ef-c546-409d-856c-57b747441926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58B807B7</paraID>
      <start>0</start>
      <end>2</end>
      <status>modified</status>
      <modifiedWord>1.</modifiedWord>
      <trackRevisions>true</trackRevisions>
    </reviewItem>
    <reviewItem>
      <errorID>0ac6d272-ddd9-485f-bd65-0ab7f5fb5b00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7A708489</paraID>
      <start>0</start>
      <end>2</end>
      <status>modified</status>
      <modifiedWord>2.</modifiedWord>
      <trackRevisions>true</trackRevisions>
    </reviewItem>
    <reviewItem>
      <errorID>5badd2da-54e4-49e3-885c-d1bea827e6cb</errorID>
      <errorWord>（</errorWord>
      <group>L1_Format</group>
      <groupName>格式问题</groupName>
      <ability>L2_HalfPunc</ability>
      <abilityName>全半角检查</abilityName>
      <candidateList>
        <item>(</item>
      </candidateList>
      <explain>文本全半角错误。</explain>
      <paraID>26D96F6A</paraID>
      <start>5</start>
      <end>6</end>
      <status>modified</status>
      <modifiedWord>(</modifiedWord>
      <trackRevisions>true</trackRevisions>
    </reviewItem>
    <reviewItem>
      <errorID>56be6ba5-1bc7-446b-be62-916be302cdce</errorID>
      <errorWord>）</errorWord>
      <group>L1_Format</group>
      <groupName>格式问题</groupName>
      <ability>L2_HalfPunc</ability>
      <abilityName>全半角检查</abilityName>
      <candidateList>
        <item>)</item>
      </candidateList>
      <explain>文本全半角错误。</explain>
      <paraID>26D96F6A</paraID>
      <start>7</start>
      <end>8</end>
      <status>modified</status>
      <modifiedWord>)</modifiedWord>
      <trackRevisions>true</trackRevisions>
    </reviewItem>
    <reviewItem>
      <errorID>d719a796-d4ba-4a77-b69b-bad3caba51be</errorID>
      <errorWord>（</errorWord>
      <group>L1_Format</group>
      <groupName>格式问题</groupName>
      <ability>L2_HalfPunc</ability>
      <abilityName>全半角检查</abilityName>
      <candidateList>
        <item>(</item>
      </candidateList>
      <explain>文本全半角错误。</explain>
      <paraID>4841FC8D</paraID>
      <start>5</start>
      <end>6</end>
      <status>modified</status>
      <modifiedWord>(</modifiedWord>
      <trackRevisions>true</trackRevisions>
    </reviewItem>
    <reviewItem>
      <errorID>66e8960d-1053-4564-9c32-0e025dbaad1f</errorID>
      <errorWord>）</errorWord>
      <group>L1_Format</group>
      <groupName>格式问题</groupName>
      <ability>L2_HalfPunc</ability>
      <abilityName>全半角检查</abilityName>
      <candidateList>
        <item>)</item>
      </candidateList>
      <explain>文本全半角错误。</explain>
      <paraID>4841FC8D</paraID>
      <start>7</start>
      <end>8</end>
      <status>modified</status>
      <modifiedWord>)</modifiedWord>
      <trackRevisions>true</trackRevisions>
    </reviewItem>
    <reviewItem>
      <errorID>77c9fbde-a18b-4943-96d1-59c54954b02e</errorID>
      <errorWord>;</errorWord>
      <group>L1_Format</group>
      <groupName>格式问题</groupName>
      <ability>L2_HalfPunc</ability>
      <abilityName>全半角检查</abilityName>
      <candidateList>
        <item>；</item>
      </candidateList>
      <explain>文本全半角错误。</explain>
      <paraID>29BD4DFF</paraID>
      <start>6</start>
      <end>7</end>
      <status>modified</status>
      <modifiedWord>；</modifiedWord>
      <trackRevisions>true</trackRevisions>
    </reviewItem>
    <reviewItem>
      <errorID>a7047bf4-4682-469d-814e-6600ce7c801c</errorID>
      <errorWord>况</errorWord>
      <group>L1_Word</group>
      <groupName>字词问题</groupName>
      <ability>L2_Typo</ability>
      <abilityName>字词错误</abilityName>
      <candidateList>
        <item>况和</item>
      </candidateList>
      <explain/>
      <paraID>2083B8E1</paraID>
      <start>61</start>
      <end>63</end>
      <status>modified</status>
      <modifiedWord>况和</modifiedWord>
      <trackRevisions>true</trackRevisions>
    </reviewItem>
    <reviewItem>
      <errorID>dc8f602f-d3a5-4f52-baa7-fe7124207e12</errorID>
      <errorWord>(</errorWord>
      <group>L1_Format</group>
      <groupName>格式问题</groupName>
      <ability>L2_HalfPunc</ability>
      <abilityName>全半角检查</abilityName>
      <candidateList>
        <item>（</item>
      </candidateList>
      <explain>文本全半角错误。</explain>
      <paraID>73476358</paraID>
      <start>15</start>
      <end>16</end>
      <status>unmodified</status>
      <modifiedWord/>
      <trackRevisions>false</trackRevisions>
    </reviewItem>
    <reviewItem>
      <errorID>be087196-3627-472c-80d8-5772b55cf71f</errorID>
      <errorWord>)</errorWord>
      <group>L1_Format</group>
      <groupName>格式问题</groupName>
      <ability>L2_HalfPunc</ability>
      <abilityName>全半角检查</abilityName>
      <candidateList>
        <item>）</item>
      </candidateList>
      <explain>文本全半角错误。</explain>
      <paraID>73476358</paraID>
      <start>18</start>
      <end>19</end>
      <status>unmodified</status>
      <modifiedWord/>
      <trackRevisions>false</trackRevisions>
    </reviewItem>
    <reviewItem>
      <errorID>528c52bf-cb21-4c7c-88ae-58a13e635600</errorID>
      <errorWord>个的</errorWord>
      <group>L1_Word</group>
      <groupName>字词问题</groupName>
      <ability>L2_Typo</ability>
      <abilityName>字词错误</abilityName>
      <candidateList>
        <item>个</item>
      </candidateList>
      <explain/>
      <paraID>1A2A1C1C</paraID>
      <start>18</start>
      <end>20</end>
      <status>unmodified</status>
      <modifiedWord/>
      <trackRevisions>false</trackRevisions>
    </reviewItem>
    <reviewItem>
      <errorID>e8da10e5-f09b-456c-8b35-30a625bcd56e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1C27513A</paraID>
      <start>0</start>
      <end>2</end>
      <status>unmodified</status>
      <modifiedWord/>
      <trackRevisions>false</trackRevisions>
    </reviewItem>
    <reviewItem>
      <errorID>35b0fb68-6478-4769-b7d2-5f541894bf8c</errorID>
      <errorWord>中华人民共和国招投标法</errorWord>
      <group>L1_Knowledge</group>
      <groupName>知识性问题</groupName>
      <ability>L2_Knowledge</ability>
      <abilityName>其他知识</abilityName>
      <candidateList>
        <item>中华人民共和国招标投标法</item>
      </candidateList>
      <explain>当前法律法规未收录或尚未生效，注意核查是否正确。</explain>
      <paraID>44AA21AA</paraID>
      <start>9</start>
      <end>20</end>
      <status>unmodified</status>
      <modifiedWord/>
      <trackRevisions>false</trackRevisions>
    </reviewItem>
    <reviewItem>
      <errorID>148fd338-44a5-4944-b23e-27f692ba65b3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44AA21AA</paraID>
      <start>20</start>
      <end>22</end>
      <status>modified</status>
      <modifiedWord>》《</modifiedWord>
      <trackRevisions>true</trackRevisions>
    </reviewItem>
    <reviewItem>
      <errorID>f643e396-3203-4140-bbef-700011f806e5</errorID>
      <errorWord>中华人民共和国招投标法实施条例</errorWord>
      <group>L1_Knowledge</group>
      <groupName>知识性问题</groupName>
      <ability>L2_Knowledge</ability>
      <abilityName>其他知识</abilityName>
      <candidateList>
        <item>中华人民共和国招标投标法实施条例</item>
      </candidateList>
      <explain>当前法律法规未收录或尚未生效，注意核查是否正确。</explain>
      <paraID>44AA21AA</paraID>
      <start>22</start>
      <end>37</end>
      <status>unmodified</status>
      <modifiedWord/>
      <trackRevisions>false</trackRevisions>
    </reviewItem>
    <reviewItem>
      <errorID>16f5ae4d-563d-44d6-8eea-dd01ae92a6b4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99C416D</paraID>
      <start>0</start>
      <end>2</end>
      <status>modified</status>
      <modifiedWord>2.</modifiedWord>
      <trackRevisions>true</trackRevisions>
    </reviewItem>
    <reviewItem>
      <errorID>12bdcc3a-da08-4d91-8e15-00006a433edb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746910C6</paraID>
      <start>0</start>
      <end>2</end>
      <status>modified</status>
      <modifiedWord>3.</modifiedWord>
      <trackRevisions>true</trackRevisions>
    </reviewItem>
    <reviewItem>
      <errorID>923e8d5f-5ea2-4334-8e40-f0b6b3e787fd</errorID>
      <errorWord>或</errorWord>
      <group>L1_Word</group>
      <groupName>字词问题</groupName>
      <ability>L2_Typo</ability>
      <abilityName>字词错误</abilityName>
      <candidateList>
        <item>或加</item>
      </candidateList>
      <explain/>
      <paraID> D2E8D63</paraID>
      <start>223</start>
      <end>224</end>
      <status>unmodified</status>
      <modifiedWord/>
      <trackRevisions>false</trackRevisions>
    </reviewItem>
    <reviewItem>
      <errorID>8840929f-0451-48a2-acee-6a9b31e1c904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722E8102</paraID>
      <start>0</start>
      <end>2</end>
      <status>modified</status>
      <modifiedWord>4.</modifiedWord>
      <trackRevisions>true</trackRevisions>
    </reviewItem>
    <reviewItem>
      <errorID>a01764a0-86e2-44d5-9e9d-7de2c0caca3b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4E11D485</paraID>
      <start>0</start>
      <end>2</end>
      <status>modified</status>
      <modifiedWord>5.</modifiedWord>
      <trackRevisions>true</trackRevisions>
    </reviewItem>
    <reviewItem>
      <errorID>1ef7bcc5-a8a1-413b-a148-84a8abd6c1c6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364C0D97</paraID>
      <start>0</start>
      <end>2</end>
      <status>modified</status>
      <modifiedWord>6.</modifiedWord>
      <trackRevisions>true</trackRevisions>
    </reviewItem>
    <reviewItem>
      <errorID>6a585392-8805-49a9-b82e-c8399122dcf8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2B34AFE3</paraID>
      <start>0</start>
      <end>2</end>
      <status>modified</status>
      <modifiedWord>7.</modifiedWord>
      <trackRevisions>true</trackRevisions>
    </reviewItem>
    <reviewItem>
      <errorID>c824189a-40a0-4e4c-bf56-cd6990edbe18</errorID>
      <errorWord>联合体中</errorWord>
      <group>L1_Word</group>
      <groupName>字词问题</groupName>
      <ability>L2_Typo</ability>
      <abilityName>字词错误</abilityName>
      <candidateList>
        <item>联合体</item>
      </candidateList>
      <explain/>
      <paraID>325A627B</paraID>
      <start>140</start>
      <end>144</end>
      <status>unmodified</status>
      <modifiedWord/>
      <trackRevisions>false</trackRevisions>
    </reviewItem>
    <reviewItem>
      <errorID>eef681e8-1cc5-4207-a9b2-e453bf091dfe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4F895F65</paraID>
      <start>0</start>
      <end>2</end>
      <status>modified</status>
      <modifiedWord>8.</modifiedWord>
      <trackRevisions>true</trackRevisions>
    </reviewItem>
    <reviewItem>
      <errorID>9caa7f0b-f719-45ab-b1bf-592f39d3ad7e</errorID>
      <errorWord>......</errorWord>
      <group>L1_Punc</group>
      <groupName>标点问题</groupName>
      <ability>L2_Punc</ability>
      <abilityName>标点符号检查</abilityName>
      <candidateList>
        <item>……</item>
      </candidateList>
      <explain/>
      <paraID>442DB947</paraID>
      <start>0</start>
      <end>6</end>
      <status>unmodified</status>
      <modifiedWord/>
      <trackRevisions>false</trackRevisions>
    </reviewItem>
    <reviewItem>
      <errorID>5f5b32ef-8c3c-44ef-b5c9-33960395afb1</errorID>
      <errorWord>做解释</errorWord>
      <group>L1_Word</group>
      <groupName>字词问题</groupName>
      <ability>L2_Typo</ability>
      <abilityName>字词错误</abilityName>
      <candidateList>
        <item>作解释</item>
      </candidateList>
      <explain/>
      <paraID>4478E680</paraID>
      <start>52</start>
      <end>55</end>
      <status>unmodified</status>
      <modifiedWord/>
      <trackRevisions>false</trackRevisions>
    </reviewItem>
    <reviewItem>
      <errorID>fffea665-ea6e-43bb-b238-d135845754aa</errorID>
      <errorWord>位</errorWord>
      <group>L1_Word</group>
      <groupName>字词问题</groupName>
      <ability>L2_Typo</ability>
      <abilityName>字词错误</abilityName>
      <candidateList>
        <item>位公</item>
      </candidateList>
      <explain/>
      <paraID>28040092</paraID>
      <start>26</start>
      <end>27</end>
      <status>unmodified</status>
      <modifiedWord/>
      <trackRevisions>false</trackRevisions>
    </reviewItem>
    <reviewItem>
      <errorID>eddc3a7f-9254-40c9-99d0-845edfb1c879</errorID>
      <errorWord>.</errorWord>
      <group>L1_Format</group>
      <groupName>格式问题</groupName>
      <ability>L2_HalfPunc</ability>
      <abilityName>全半角检查</abilityName>
      <candidateList>
        <item>。</item>
      </candidateList>
      <explain>文本全半角错误。</explain>
      <paraID>3427DBC1</paraID>
      <start>77</start>
      <end>78</end>
      <status>modified</status>
      <modifiedWord>。</modifiedWord>
      <trackRevisions>true</trackRevisions>
    </reviewItem>
    <reviewItem>
      <errorID>d3480e22-ef04-4f54-ac5b-8a931ae70ff5</errorID>
      <errorWord>做解释</errorWord>
      <group>L1_Word</group>
      <groupName>字词问题</groupName>
      <ability>L2_Typo</ability>
      <abilityName>字词错误</abilityName>
      <candidateList>
        <item>作解释</item>
      </candidateList>
      <explain/>
      <paraID>69ECE616</paraID>
      <start>52</start>
      <end>55</end>
      <status>unmodified</status>
      <modifiedWord/>
      <trackRevisions>false</trackRevisions>
    </reviewItem>
    <reviewItem>
      <errorID>46d39982-1c6d-4fad-b570-756caf0fe0d5</errorID>
      <errorWord>(</errorWord>
      <group>L1_Format</group>
      <groupName>格式问题</groupName>
      <ability>L2_HalfPunc</ability>
      <abilityName>全半角检查</abilityName>
      <candidateList>
        <item>（</item>
      </candidateList>
      <explain>文本全半角错误。</explain>
      <paraID> 63E1DCA</paraID>
      <start>13</start>
      <end>14</end>
      <status>unmodified</status>
      <modifiedWord/>
      <trackRevisions>false</trackRevisions>
    </reviewItem>
    <reviewItem>
      <errorID>6e7a5f52-b428-47dc-8636-e3f3bc8a86e9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2ABC28E</paraID>
      <start>0</start>
      <end>2</end>
      <status>modified</status>
      <modifiedWord>1.</modifiedWord>
      <trackRevisions>true</trackRevisions>
    </reviewItem>
    <reviewItem>
      <errorID>5f05dd5f-7319-4be9-a8f0-0d430657eea5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48C49A10</paraID>
      <start>0</start>
      <end>2</end>
      <status>modified</status>
      <modifiedWord>2.</modifiedWord>
      <trackRevisions>true</trackRevisions>
    </reviewItem>
    <reviewItem>
      <errorID>8a8a7477-3ff4-40a6-8603-f169d20001b7</errorID>
      <errorWord>壹年</errorWord>
      <group>L1_Word</group>
      <groupName>字词问题</groupName>
      <ability>L2_Typo</ability>
      <abilityName>字词错误</abilityName>
      <candidateList>
        <item>一年</item>
      </candidateList>
      <explain>存在发音相同字词的误用。</explain>
      <paraID>694D61D0</paraID>
      <start>61</start>
      <end>63</end>
      <status>unmodified</status>
      <modifiedWord/>
      <trackRevisions>false</trackRevisions>
    </reviewItem>
    <reviewItem>
      <errorID>3845b78a-ad13-45f2-9148-355981bda435</errorID>
      <errorWord>有否</errorWord>
      <group>L1_Word</group>
      <groupName>字词问题</groupName>
      <ability>L2_Typo</ability>
      <abilityName>字词错误</abilityName>
      <candidateList>
        <item>有无</item>
      </candidateList>
      <explain/>
      <paraID>37FEA9AF</paraID>
      <start>17</start>
      <end>19</end>
      <status>unmodified</status>
      <modifiedWord/>
      <trackRevisions>false</trackRevisions>
    </reviewItem>
    <reviewItem>
      <errorID>de3e8292-32bb-44c7-aac1-34a34c0ceac0</errorID>
      <errorWord>及时地</errorWord>
      <group>L1_Word</group>
      <groupName>字词问题</groupName>
      <ability>L2_Typo</ability>
      <abilityName>字词错误</abilityName>
      <candidateList>
        <item>及时</item>
      </candidateList>
      <explain>❶〈形〉正赶上时候；适合需要：～雨｜他来得很～。❷〈副〉不拖延；马上；立刻：有问题就～解决。</explain>
      <paraID>1F3DEE15</paraID>
      <start>49</start>
      <end>52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be3ef7-c2a8-49a3-a5fa-3e76eb4919f5}">
  <ds:schemaRefs/>
</ds:datastoreItem>
</file>

<file path=docProps/app.xml><?xml version="1.0" encoding="utf-8"?>
<Properties xmlns="http://schemas.openxmlformats.org/officeDocument/2006/extended-properties" xmlns:vt="http://schemas.openxmlformats.org/officeDocument/2006/docPropsVTypes">
  <Template>Normal.dot</Template>
  <Company>Microsoft</Company>
  <Pages>82</Pages>
  <Words>18390</Words>
  <Characters>19896</Characters>
  <Lines>269</Lines>
  <Paragraphs>75</Paragraphs>
  <TotalTime>6</TotalTime>
  <ScaleCrop>false</ScaleCrop>
  <LinksUpToDate>false</LinksUpToDate>
  <CharactersWithSpaces>20371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2021-08-26T04:01:00Z</dcterms:created>
  <dc:creator>ss</dc:creator>
  <cp:lastModifiedBy>钟煜宇</cp:lastModifiedBy>
  <cp:lastPrinted>2025-12-03T04:31:00Z</cp:lastPrinted>
  <dcterms:modified xsi:type="dcterms:W3CDTF">2025-12-12T08:03:25Z</dcterms:modified>
  <dc:title>塔架招标文件</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D0A0B90C6FDA4C78B33FD471ED5BE1C7_13</vt:lpwstr>
  </property>
  <property fmtid="{D5CDD505-2E9C-101B-9397-08002B2CF9AE}" pid="4" name="KSOTemplateDocerSaveRecord">
    <vt:lpwstr>eyJoZGlkIjoiMmQyYmRjMzFiZWMzYTc0NDgwZjYyMGNhZGFlZTcyZjYiLCJ1c2VySWQiOiI0Mjc3NjkxNzAifQ==</vt:lpwstr>
  </property>
</Properties>
</file>