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73F835"/>
    <w:p w14:paraId="5901531F"/>
    <w:p w14:paraId="1493CD58"/>
    <w:p w14:paraId="19B48F9E">
      <w:pPr>
        <w:jc w:val="center"/>
      </w:pPr>
      <w:r>
        <w:rPr>
          <w:rFonts w:ascii="黑体" w:hAnsi="黑体" w:eastAsia="黑体"/>
          <w:b/>
          <w:sz w:val="44"/>
        </w:rPr>
        <w:t>重庆交通资源开发有限公司</w:t>
      </w:r>
    </w:p>
    <w:p w14:paraId="35604355"/>
    <w:p w14:paraId="4D9F422E"/>
    <w:p w14:paraId="38893723">
      <w:pPr>
        <w:jc w:val="center"/>
      </w:pPr>
      <w:r>
        <w:rPr>
          <w:rFonts w:ascii="黑体" w:hAnsi="黑体" w:eastAsia="黑体"/>
          <w:b/>
          <w:sz w:val="44"/>
        </w:rPr>
        <w:t>枢纽车站高质量数据集验证及场景智能体技术开发研究与示范应用</w:t>
      </w:r>
    </w:p>
    <w:p w14:paraId="39AA80E6"/>
    <w:p w14:paraId="749D7F8E">
      <w:pPr>
        <w:jc w:val="center"/>
      </w:pPr>
      <w:r>
        <w:rPr>
          <w:rFonts w:ascii="黑体" w:hAnsi="黑体" w:eastAsia="黑体"/>
          <w:b/>
          <w:sz w:val="52"/>
        </w:rPr>
        <w:t>比选文件邀请函</w:t>
      </w:r>
    </w:p>
    <w:p w14:paraId="26E48C6A"/>
    <w:p w14:paraId="7FD32738"/>
    <w:p w14:paraId="5A4C4133"/>
    <w:p w14:paraId="1220564A"/>
    <w:p w14:paraId="1F94C383"/>
    <w:p w14:paraId="22E7964F"/>
    <w:p w14:paraId="1E69793F">
      <w:pPr>
        <w:jc w:val="center"/>
      </w:pPr>
      <w:r>
        <w:rPr>
          <w:rFonts w:ascii="宋体" w:hAnsi="宋体" w:eastAsia="宋体"/>
          <w:sz w:val="32"/>
        </w:rPr>
        <w:t>2026年</w:t>
      </w:r>
      <w:r>
        <w:rPr>
          <w:rFonts w:hint="eastAsia" w:ascii="宋体" w:hAnsi="宋体" w:eastAsia="宋体"/>
          <w:sz w:val="32"/>
          <w:lang w:val="en-US" w:eastAsia="zh-CN"/>
        </w:rPr>
        <w:t>7</w:t>
      </w:r>
      <w:r>
        <w:rPr>
          <w:rFonts w:ascii="宋体" w:hAnsi="宋体" w:eastAsia="宋体"/>
          <w:sz w:val="32"/>
        </w:rPr>
        <w:t>月</w:t>
      </w:r>
      <w:bookmarkStart w:id="1" w:name="_GoBack"/>
      <w:bookmarkEnd w:id="1"/>
    </w:p>
    <w:p w14:paraId="7B11E5BD">
      <w:r>
        <w:br w:type="page"/>
      </w:r>
    </w:p>
    <w:p w14:paraId="4C455DF9">
      <w:pPr>
        <w:jc w:val="left"/>
      </w:pPr>
      <w:r>
        <w:rPr>
          <w:rFonts w:ascii="仿宋" w:hAnsi="仿宋" w:eastAsia="仿宋"/>
          <w:sz w:val="28"/>
        </w:rPr>
        <w:t xml:space="preserve">                          ：</w:t>
      </w:r>
    </w:p>
    <w:p w14:paraId="48455DC9"/>
    <w:p w14:paraId="3F0B4248">
      <w:pPr>
        <w:spacing w:line="360" w:lineRule="auto"/>
        <w:jc w:val="left"/>
      </w:pPr>
      <w:r>
        <w:rPr>
          <w:rFonts w:ascii="仿宋" w:hAnsi="仿宋" w:eastAsia="仿宋"/>
          <w:sz w:val="28"/>
        </w:rPr>
        <w:t>我司拟开展枢纽车站高质量数据集验证及场景智能体技术开发研究与示范应用工作，本次项目的确定将采用竞争性比选方式进行。现邀请贵单位作为潜在比选被邀请人之一参加报价和比选。具体项目情况如下：</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8"/>
        <w:gridCol w:w="2"/>
        <w:gridCol w:w="5"/>
        <w:gridCol w:w="6961"/>
      </w:tblGrid>
      <w:tr w14:paraId="7CDFD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gridSpan w:val="4"/>
          </w:tcPr>
          <w:p w14:paraId="159EE138">
            <w:pPr>
              <w:spacing w:after="0" w:line="360" w:lineRule="auto"/>
              <w:jc w:val="left"/>
            </w:pPr>
            <w:r>
              <w:rPr>
                <w:rFonts w:ascii="黑体" w:hAnsi="黑体" w:eastAsia="黑体"/>
                <w:b/>
                <w:sz w:val="28"/>
              </w:rPr>
              <w:t>一、项目概况</w:t>
            </w:r>
          </w:p>
        </w:tc>
      </w:tr>
      <w:tr w14:paraId="4CEF2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5" w:type="dxa"/>
            <w:gridSpan w:val="3"/>
          </w:tcPr>
          <w:p w14:paraId="371C8200">
            <w:pPr>
              <w:spacing w:after="0" w:line="360" w:lineRule="auto"/>
              <w:jc w:val="left"/>
            </w:pPr>
            <w:r>
              <w:rPr>
                <w:rFonts w:ascii="仿宋" w:hAnsi="仿宋" w:eastAsia="仿宋"/>
                <w:b/>
                <w:sz w:val="21"/>
              </w:rPr>
              <w:t>项目名称</w:t>
            </w:r>
          </w:p>
        </w:tc>
        <w:tc>
          <w:tcPr>
            <w:tcW w:w="6961" w:type="dxa"/>
          </w:tcPr>
          <w:p w14:paraId="5F5C0359">
            <w:pPr>
              <w:spacing w:after="0" w:line="360" w:lineRule="auto"/>
              <w:jc w:val="left"/>
            </w:pPr>
            <w:r>
              <w:rPr>
                <w:rFonts w:ascii="仿宋" w:hAnsi="仿宋" w:eastAsia="仿宋"/>
                <w:b w:val="0"/>
                <w:sz w:val="21"/>
              </w:rPr>
              <w:t>枢纽车站高质量数据集验证及场景智能体技术开发研究与示范应用</w:t>
            </w:r>
          </w:p>
        </w:tc>
      </w:tr>
      <w:tr w14:paraId="7B1F4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5" w:type="dxa"/>
            <w:gridSpan w:val="3"/>
          </w:tcPr>
          <w:p w14:paraId="76746190">
            <w:pPr>
              <w:spacing w:after="0" w:line="360" w:lineRule="auto"/>
              <w:jc w:val="left"/>
            </w:pPr>
            <w:r>
              <w:rPr>
                <w:rFonts w:ascii="仿宋" w:hAnsi="仿宋" w:eastAsia="仿宋"/>
                <w:b/>
                <w:sz w:val="21"/>
              </w:rPr>
              <w:t>项目概况</w:t>
            </w:r>
          </w:p>
        </w:tc>
        <w:tc>
          <w:tcPr>
            <w:tcW w:w="6961" w:type="dxa"/>
          </w:tcPr>
          <w:p w14:paraId="6FCEDF41">
            <w:pPr>
              <w:spacing w:after="0" w:line="360" w:lineRule="auto"/>
              <w:jc w:val="left"/>
            </w:pPr>
            <w:r>
              <w:rPr>
                <w:rFonts w:ascii="仿宋" w:hAnsi="仿宋" w:eastAsia="仿宋"/>
                <w:b w:val="0"/>
                <w:sz w:val="21"/>
              </w:rPr>
              <w:t>本项目依托重庆沙坪坝铁路综合枢纽项目，围绕枢纽运营全流程需求，开展17个专业化算法研发与优化、枢纽车站场景智能体研发、系统集成部署与测试验证、运营效果评估与模型迭代优化等工作，打造枢纽车站专用、可自主运行的场景智能体系统，推动运营从"经验驱动"转向"数据驱动、智能决策"。</w:t>
            </w:r>
          </w:p>
        </w:tc>
      </w:tr>
      <w:tr w14:paraId="46885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5" w:type="dxa"/>
            <w:gridSpan w:val="3"/>
          </w:tcPr>
          <w:p w14:paraId="12C27B08">
            <w:pPr>
              <w:spacing w:after="0" w:line="360" w:lineRule="auto"/>
              <w:jc w:val="left"/>
            </w:pPr>
            <w:r>
              <w:rPr>
                <w:rFonts w:ascii="仿宋" w:hAnsi="仿宋" w:eastAsia="仿宋"/>
                <w:b/>
                <w:sz w:val="21"/>
              </w:rPr>
              <w:t>工期要求</w:t>
            </w:r>
          </w:p>
        </w:tc>
        <w:tc>
          <w:tcPr>
            <w:tcW w:w="6961" w:type="dxa"/>
          </w:tcPr>
          <w:p w14:paraId="521ED558">
            <w:pPr>
              <w:spacing w:after="0" w:line="360" w:lineRule="auto"/>
              <w:jc w:val="left"/>
            </w:pPr>
            <w:r>
              <w:rPr>
                <w:rFonts w:ascii="仿宋" w:hAnsi="仿宋" w:eastAsia="仿宋"/>
                <w:b w:val="0"/>
                <w:sz w:val="21"/>
              </w:rPr>
              <w:t>2026年7月至2026年10月，共计4个月。具体以合同签订时间为准。</w:t>
            </w:r>
          </w:p>
        </w:tc>
      </w:tr>
      <w:tr w14:paraId="210CD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5" w:type="dxa"/>
            <w:gridSpan w:val="3"/>
          </w:tcPr>
          <w:p w14:paraId="004C5FD9">
            <w:pPr>
              <w:spacing w:after="0" w:line="360" w:lineRule="auto"/>
              <w:jc w:val="left"/>
            </w:pPr>
            <w:r>
              <w:rPr>
                <w:rFonts w:ascii="仿宋" w:hAnsi="仿宋" w:eastAsia="仿宋"/>
                <w:b/>
                <w:sz w:val="21"/>
              </w:rPr>
              <w:t>质量要求</w:t>
            </w:r>
          </w:p>
        </w:tc>
        <w:tc>
          <w:tcPr>
            <w:tcW w:w="6961" w:type="dxa"/>
          </w:tcPr>
          <w:p w14:paraId="4713C533">
            <w:pPr>
              <w:spacing w:after="0" w:line="360" w:lineRule="auto"/>
              <w:jc w:val="left"/>
            </w:pPr>
            <w:r>
              <w:rPr>
                <w:rFonts w:ascii="仿宋" w:hAnsi="仿宋" w:eastAsia="仿宋"/>
                <w:b w:val="0"/>
                <w:sz w:val="21"/>
              </w:rPr>
              <w:t>符合国家、行业相关技术标准及项目任务书要求，通过甲方组织的结题审查验收。</w:t>
            </w:r>
          </w:p>
        </w:tc>
      </w:tr>
      <w:tr w14:paraId="28FF1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5" w:type="dxa"/>
            <w:gridSpan w:val="3"/>
          </w:tcPr>
          <w:p w14:paraId="4405CB62">
            <w:pPr>
              <w:spacing w:after="0" w:line="360" w:lineRule="auto"/>
              <w:jc w:val="left"/>
            </w:pPr>
            <w:r>
              <w:rPr>
                <w:rFonts w:ascii="仿宋" w:hAnsi="仿宋" w:eastAsia="仿宋"/>
                <w:b/>
                <w:sz w:val="21"/>
              </w:rPr>
              <w:t>预计开工时间</w:t>
            </w:r>
          </w:p>
        </w:tc>
        <w:tc>
          <w:tcPr>
            <w:tcW w:w="6961" w:type="dxa"/>
          </w:tcPr>
          <w:p w14:paraId="33AE9026">
            <w:pPr>
              <w:spacing w:after="0" w:line="360" w:lineRule="auto"/>
              <w:jc w:val="left"/>
            </w:pPr>
            <w:r>
              <w:rPr>
                <w:rFonts w:ascii="仿宋" w:hAnsi="仿宋" w:eastAsia="仿宋"/>
                <w:b w:val="0"/>
                <w:sz w:val="21"/>
              </w:rPr>
              <w:t>以甲方书面通知时间为准</w:t>
            </w:r>
          </w:p>
        </w:tc>
      </w:tr>
      <w:tr w14:paraId="01492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gridSpan w:val="4"/>
          </w:tcPr>
          <w:p w14:paraId="209348B3">
            <w:pPr>
              <w:spacing w:after="0" w:line="360" w:lineRule="auto"/>
              <w:jc w:val="left"/>
            </w:pPr>
            <w:r>
              <w:rPr>
                <w:rFonts w:ascii="黑体" w:hAnsi="黑体" w:eastAsia="黑体"/>
                <w:b/>
                <w:sz w:val="28"/>
              </w:rPr>
              <w:t>二、比选被邀请人须知</w:t>
            </w:r>
          </w:p>
        </w:tc>
      </w:tr>
      <w:tr w14:paraId="0603C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5" w:type="dxa"/>
            <w:gridSpan w:val="3"/>
          </w:tcPr>
          <w:p w14:paraId="662F1843">
            <w:pPr>
              <w:spacing w:after="0" w:line="240" w:lineRule="auto"/>
            </w:pPr>
          </w:p>
        </w:tc>
        <w:tc>
          <w:tcPr>
            <w:tcW w:w="6961" w:type="dxa"/>
          </w:tcPr>
          <w:p w14:paraId="506F4B33">
            <w:pPr>
              <w:spacing w:after="0" w:line="240" w:lineRule="auto"/>
            </w:pPr>
          </w:p>
        </w:tc>
      </w:tr>
      <w:tr w14:paraId="74A69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5" w:type="dxa"/>
            <w:gridSpan w:val="3"/>
          </w:tcPr>
          <w:p w14:paraId="21ECA5B9">
            <w:pPr>
              <w:spacing w:after="0" w:line="360" w:lineRule="auto"/>
              <w:jc w:val="left"/>
            </w:pPr>
            <w:r>
              <w:rPr>
                <w:rFonts w:ascii="仿宋" w:hAnsi="仿宋" w:eastAsia="仿宋"/>
                <w:b/>
                <w:sz w:val="21"/>
              </w:rPr>
              <w:t>比选范围</w:t>
            </w:r>
            <w:r>
              <w:rPr>
                <w:rFonts w:ascii="仿宋" w:hAnsi="仿宋" w:eastAsia="仿宋"/>
                <w:b/>
                <w:sz w:val="21"/>
              </w:rPr>
              <w:br w:type="textWrapping"/>
            </w:r>
            <w:r>
              <w:rPr>
                <w:rFonts w:ascii="仿宋" w:hAnsi="仿宋" w:eastAsia="仿宋"/>
                <w:b/>
                <w:sz w:val="21"/>
              </w:rPr>
              <w:t>及内容</w:t>
            </w:r>
          </w:p>
        </w:tc>
        <w:tc>
          <w:tcPr>
            <w:tcW w:w="6961" w:type="dxa"/>
          </w:tcPr>
          <w:p w14:paraId="51EA132A">
            <w:pPr>
              <w:spacing w:after="0" w:line="360" w:lineRule="auto"/>
              <w:jc w:val="left"/>
            </w:pPr>
            <w:r>
              <w:rPr>
                <w:rFonts w:ascii="仿宋" w:hAnsi="仿宋" w:eastAsia="仿宋"/>
                <w:b w:val="0"/>
                <w:sz w:val="21"/>
              </w:rPr>
              <w:t>围绕沙坪坝枢纽真实运营需求，构建覆盖车流调度、旅客服务、设备监控、应急指挥等全流程的17个专业化算法及枢纽场景智能体系统，推动运营从"经验驱动"转向"数据驱动、智能决策、自主运行"。具体建设内容如下：</w:t>
            </w:r>
            <w:r>
              <w:rPr>
                <w:rFonts w:ascii="仿宋" w:hAnsi="仿宋" w:eastAsia="仿宋"/>
                <w:b w:val="0"/>
                <w:sz w:val="21"/>
              </w:rPr>
              <w:br w:type="textWrapping"/>
            </w:r>
            <w:r>
              <w:rPr>
                <w:rFonts w:ascii="仿宋" w:hAnsi="仿宋" w:eastAsia="仿宋"/>
                <w:b w:val="0"/>
                <w:sz w:val="21"/>
              </w:rPr>
              <w:t>1. 多源数据治理与标准化。对七大类数据集开展清洗、去重、补全、异常剔除、格式统一及标注工作，按8:2划分训练集与测试集，构建高质量样本库。</w:t>
            </w:r>
            <w:r>
              <w:rPr>
                <w:rFonts w:ascii="仿宋" w:hAnsi="仿宋" w:eastAsia="仿宋"/>
                <w:b w:val="0"/>
                <w:sz w:val="21"/>
              </w:rPr>
              <w:br w:type="textWrapping"/>
            </w:r>
            <w:r>
              <w:rPr>
                <w:rFonts w:ascii="仿宋" w:hAnsi="仿宋" w:eastAsia="仿宋"/>
                <w:b w:val="0"/>
                <w:sz w:val="21"/>
              </w:rPr>
              <w:t>2. 专业化算法研发。开发车辆调度与管理（6个）、人员感知与服务（5个）、数据与监控（6个）三大类共17个算法模型，确保贴合现场运营规则。</w:t>
            </w:r>
            <w:r>
              <w:rPr>
                <w:rFonts w:ascii="仿宋" w:hAnsi="仿宋" w:eastAsia="仿宋"/>
                <w:b w:val="0"/>
                <w:sz w:val="21"/>
              </w:rPr>
              <w:br w:type="textWrapping"/>
            </w:r>
            <w:r>
              <w:rPr>
                <w:rFonts w:ascii="仿宋" w:hAnsi="仿宋" w:eastAsia="仿宋"/>
                <w:b w:val="0"/>
                <w:sz w:val="21"/>
              </w:rPr>
              <w:t>3. 场景智能体研发。以集团交通行业垂域大模型为能力底座，构建具备自主感知、决策、执行、记忆、迭代能力的枢纽场景智能体，实现主动预警、自动调度与闭环处置。</w:t>
            </w:r>
            <w:r>
              <w:rPr>
                <w:rFonts w:ascii="仿宋" w:hAnsi="仿宋" w:eastAsia="仿宋"/>
                <w:b w:val="0"/>
                <w:sz w:val="21"/>
              </w:rPr>
              <w:br w:type="textWrapping"/>
            </w:r>
            <w:r>
              <w:rPr>
                <w:rFonts w:ascii="仿宋" w:hAnsi="仿宋" w:eastAsia="仿宋"/>
                <w:b w:val="0"/>
                <w:sz w:val="21"/>
              </w:rPr>
              <w:t>4. 系统集成与部署。依托集团智云统一底座及"疆算入渝"国产化算力，完成模型与智能体容器化封装，对接枢纽现有监控、车辆管理、旅客服务等系统，确保低时延、高可靠运行。</w:t>
            </w:r>
            <w:r>
              <w:rPr>
                <w:rFonts w:ascii="仿宋" w:hAnsi="仿宋" w:eastAsia="仿宋"/>
                <w:b w:val="0"/>
                <w:sz w:val="21"/>
              </w:rPr>
              <w:br w:type="textWrapping"/>
            </w:r>
            <w:r>
              <w:rPr>
                <w:rFonts w:ascii="仿宋" w:hAnsi="仿宋" w:eastAsia="仿宋"/>
                <w:b w:val="0"/>
                <w:sz w:val="21"/>
              </w:rPr>
              <w:t>5. 运营评估与迭代优化。建立"数据—模型—智能体—应用—反馈—迭代"闭环机制，持续采集运行数据，定期评估优化。</w:t>
            </w:r>
          </w:p>
        </w:tc>
      </w:tr>
      <w:tr w14:paraId="1BB2F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5" w:type="dxa"/>
            <w:gridSpan w:val="3"/>
          </w:tcPr>
          <w:p w14:paraId="21A3A82C">
            <w:pPr>
              <w:spacing w:after="0" w:line="360" w:lineRule="auto"/>
              <w:jc w:val="left"/>
            </w:pPr>
            <w:r>
              <w:rPr>
                <w:rFonts w:ascii="仿宋" w:hAnsi="仿宋" w:eastAsia="仿宋"/>
                <w:b/>
                <w:sz w:val="21"/>
              </w:rPr>
              <w:t>比选被邀请人</w:t>
            </w:r>
            <w:r>
              <w:rPr>
                <w:rFonts w:ascii="仿宋" w:hAnsi="仿宋" w:eastAsia="仿宋"/>
                <w:b/>
                <w:sz w:val="21"/>
              </w:rPr>
              <w:br w:type="textWrapping"/>
            </w:r>
            <w:r>
              <w:rPr>
                <w:rFonts w:ascii="仿宋" w:hAnsi="仿宋" w:eastAsia="仿宋"/>
                <w:b/>
                <w:sz w:val="21"/>
              </w:rPr>
              <w:t>资格要求</w:t>
            </w:r>
          </w:p>
        </w:tc>
        <w:tc>
          <w:tcPr>
            <w:tcW w:w="6961" w:type="dxa"/>
          </w:tcPr>
          <w:p w14:paraId="6B06F8E7">
            <w:pPr>
              <w:spacing w:after="0" w:line="360" w:lineRule="auto"/>
              <w:jc w:val="left"/>
              <w:rPr>
                <w:rFonts w:hint="eastAsia" w:ascii="仿宋" w:hAnsi="仿宋" w:eastAsia="仿宋"/>
                <w:b w:val="0"/>
                <w:color w:val="FF0000"/>
                <w:sz w:val="21"/>
              </w:rPr>
            </w:pPr>
            <w:r>
              <w:rPr>
                <w:rFonts w:ascii="仿宋" w:hAnsi="仿宋" w:eastAsia="仿宋"/>
                <w:b w:val="0"/>
                <w:sz w:val="21"/>
              </w:rPr>
              <w:t>1. 营业执照</w:t>
            </w:r>
            <w:r>
              <w:rPr>
                <w:rFonts w:ascii="仿宋" w:hAnsi="仿宋" w:eastAsia="仿宋"/>
                <w:b w:val="0"/>
                <w:sz w:val="21"/>
              </w:rPr>
              <w:br w:type="textWrapping"/>
            </w:r>
            <w:r>
              <w:rPr>
                <w:rFonts w:ascii="仿宋" w:hAnsi="仿宋" w:eastAsia="仿宋"/>
                <w:b w:val="0"/>
                <w:sz w:val="21"/>
              </w:rPr>
              <w:t>具备有效的营业执照。</w:t>
            </w:r>
            <w:r>
              <w:rPr>
                <w:rFonts w:ascii="仿宋" w:hAnsi="仿宋" w:eastAsia="仿宋"/>
                <w:b w:val="0"/>
                <w:sz w:val="21"/>
              </w:rPr>
              <w:br w:type="textWrapping"/>
            </w:r>
            <w:r>
              <w:rPr>
                <w:rFonts w:ascii="仿宋" w:hAnsi="仿宋" w:eastAsia="仿宋"/>
                <w:b w:val="0"/>
                <w:sz w:val="21"/>
              </w:rPr>
              <w:t>2. 业绩要求</w:t>
            </w:r>
            <w:r>
              <w:rPr>
                <w:rFonts w:ascii="仿宋" w:hAnsi="仿宋" w:eastAsia="仿宋"/>
                <w:b w:val="0"/>
                <w:sz w:val="21"/>
              </w:rPr>
              <w:br w:type="textWrapping"/>
            </w:r>
            <w:r>
              <w:rPr>
                <w:rFonts w:ascii="仿宋" w:hAnsi="仿宋" w:eastAsia="仿宋"/>
                <w:b w:val="0"/>
                <w:sz w:val="21"/>
              </w:rPr>
              <w:t>2023年1月1日至投标截止日止（以合同签订时间为准）具有智慧交通、交通枢纽、AI算法、数据集建设、智能体开发类等相关业绩不少于2个，业绩项目合同金额不低于20万。</w:t>
            </w:r>
            <w:r>
              <w:rPr>
                <w:rFonts w:ascii="仿宋" w:hAnsi="仿宋" w:eastAsia="仿宋"/>
                <w:b w:val="0"/>
                <w:sz w:val="21"/>
              </w:rPr>
              <w:br w:type="textWrapping"/>
            </w:r>
            <w:r>
              <w:rPr>
                <w:rFonts w:hint="eastAsia" w:ascii="仿宋" w:hAnsi="仿宋" w:eastAsia="仿宋"/>
                <w:b w:val="0"/>
                <w:color w:val="FF0000"/>
                <w:sz w:val="21"/>
              </w:rPr>
              <w:t>2023年1月1日至投标截止日止（以合同签订时间为准），项目经理主持过类似项目不得少于1个，合同金额不得少于20万。</w:t>
            </w:r>
          </w:p>
          <w:p w14:paraId="3878EDE5">
            <w:pPr>
              <w:spacing w:after="0" w:line="360" w:lineRule="auto"/>
              <w:jc w:val="left"/>
            </w:pPr>
            <w:r>
              <w:rPr>
                <w:rFonts w:hint="eastAsia" w:ascii="仿宋" w:hAnsi="仿宋" w:eastAsia="仿宋"/>
                <w:b w:val="0"/>
                <w:color w:val="FF0000"/>
                <w:sz w:val="21"/>
              </w:rPr>
              <w:t>证明材料需提供合同复印件、验收报告（盖公司鲜章）。</w:t>
            </w:r>
            <w:r>
              <w:rPr>
                <w:rFonts w:ascii="仿宋" w:hAnsi="仿宋" w:eastAsia="仿宋"/>
                <w:b w:val="0"/>
                <w:color w:val="FF0000"/>
                <w:sz w:val="21"/>
              </w:rPr>
              <w:br w:type="textWrapping"/>
            </w:r>
            <w:r>
              <w:rPr>
                <w:rFonts w:ascii="仿宋" w:hAnsi="仿宋" w:eastAsia="仿宋"/>
                <w:b w:val="0"/>
                <w:sz w:val="21"/>
              </w:rPr>
              <w:t>3. 是否接受联合体投标</w:t>
            </w:r>
            <w:r>
              <w:rPr>
                <w:rFonts w:ascii="仿宋" w:hAnsi="仿宋" w:eastAsia="仿宋"/>
                <w:b w:val="0"/>
                <w:sz w:val="21"/>
              </w:rPr>
              <w:br w:type="textWrapping"/>
            </w:r>
            <w:r>
              <w:rPr>
                <w:rFonts w:ascii="仿宋" w:hAnsi="仿宋" w:eastAsia="仿宋"/>
                <w:b w:val="0"/>
                <w:sz w:val="21"/>
              </w:rPr>
              <w:t>不接受联合体投标。</w:t>
            </w:r>
          </w:p>
        </w:tc>
      </w:tr>
      <w:tr w14:paraId="2EDAE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5" w:type="dxa"/>
            <w:gridSpan w:val="3"/>
          </w:tcPr>
          <w:p w14:paraId="2EB41296">
            <w:pPr>
              <w:spacing w:after="0" w:line="360" w:lineRule="auto"/>
              <w:jc w:val="left"/>
            </w:pPr>
            <w:r>
              <w:rPr>
                <w:rFonts w:ascii="仿宋" w:hAnsi="仿宋" w:eastAsia="仿宋"/>
                <w:b/>
                <w:sz w:val="21"/>
              </w:rPr>
              <w:t>比选文件递交</w:t>
            </w:r>
            <w:r>
              <w:rPr>
                <w:rFonts w:ascii="仿宋" w:hAnsi="仿宋" w:eastAsia="仿宋"/>
                <w:b/>
                <w:sz w:val="21"/>
              </w:rPr>
              <w:br w:type="textWrapping"/>
            </w:r>
            <w:r>
              <w:rPr>
                <w:rFonts w:ascii="仿宋" w:hAnsi="仿宋" w:eastAsia="仿宋"/>
                <w:b/>
                <w:sz w:val="21"/>
              </w:rPr>
              <w:t>时间、地点及</w:t>
            </w:r>
            <w:r>
              <w:rPr>
                <w:rFonts w:ascii="仿宋" w:hAnsi="仿宋" w:eastAsia="仿宋"/>
                <w:b/>
                <w:sz w:val="21"/>
              </w:rPr>
              <w:br w:type="textWrapping"/>
            </w:r>
            <w:r>
              <w:rPr>
                <w:rFonts w:ascii="仿宋" w:hAnsi="仿宋" w:eastAsia="仿宋"/>
                <w:b/>
                <w:sz w:val="21"/>
              </w:rPr>
              <w:t>比选文件份数</w:t>
            </w:r>
          </w:p>
        </w:tc>
        <w:tc>
          <w:tcPr>
            <w:tcW w:w="6961" w:type="dxa"/>
          </w:tcPr>
          <w:p w14:paraId="66F2D18F">
            <w:pPr>
              <w:spacing w:after="0" w:line="360" w:lineRule="auto"/>
              <w:jc w:val="left"/>
            </w:pPr>
            <w:r>
              <w:rPr>
                <w:rFonts w:ascii="仿宋" w:hAnsi="仿宋" w:eastAsia="仿宋"/>
                <w:b w:val="0"/>
                <w:sz w:val="21"/>
              </w:rPr>
              <w:t>递交时间：2026年</w:t>
            </w:r>
            <w:r>
              <w:rPr>
                <w:rFonts w:hint="eastAsia"/>
                <w:b w:val="0"/>
                <w:sz w:val="21"/>
                <w:lang w:val="en-US" w:eastAsia="zh-CN"/>
              </w:rPr>
              <w:t>7</w:t>
            </w:r>
            <w:r>
              <w:rPr>
                <w:rFonts w:ascii="仿宋" w:hAnsi="仿宋" w:eastAsia="仿宋"/>
                <w:b w:val="0"/>
                <w:sz w:val="21"/>
              </w:rPr>
              <w:t>月</w:t>
            </w:r>
            <w:r>
              <w:rPr>
                <w:rFonts w:hint="eastAsia"/>
                <w:b w:val="0"/>
                <w:sz w:val="21"/>
                <w:lang w:val="en-US" w:eastAsia="zh-CN"/>
              </w:rPr>
              <w:t>24</w:t>
            </w:r>
            <w:r>
              <w:rPr>
                <w:rFonts w:ascii="仿宋" w:hAnsi="仿宋" w:eastAsia="仿宋"/>
                <w:b w:val="0"/>
                <w:sz w:val="21"/>
              </w:rPr>
              <w:t>日</w:t>
            </w:r>
            <w:r>
              <w:rPr>
                <w:rFonts w:hint="eastAsia"/>
                <w:b w:val="0"/>
                <w:sz w:val="21"/>
                <w:lang w:val="en-US" w:eastAsia="zh-CN"/>
              </w:rPr>
              <w:t>10</w:t>
            </w:r>
            <w:r>
              <w:rPr>
                <w:rFonts w:ascii="仿宋" w:hAnsi="仿宋" w:eastAsia="仿宋"/>
                <w:b w:val="0"/>
                <w:sz w:val="21"/>
              </w:rPr>
              <w:t>时</w:t>
            </w:r>
            <w:r>
              <w:rPr>
                <w:rFonts w:hint="eastAsia"/>
                <w:b w:val="0"/>
                <w:sz w:val="21"/>
                <w:lang w:val="en-US" w:eastAsia="zh-CN"/>
              </w:rPr>
              <w:t>00</w:t>
            </w:r>
            <w:r>
              <w:rPr>
                <w:rFonts w:ascii="仿宋" w:hAnsi="仿宋" w:eastAsia="仿宋"/>
                <w:b w:val="0"/>
                <w:sz w:val="21"/>
              </w:rPr>
              <w:t>分截止。</w:t>
            </w:r>
            <w:r>
              <w:rPr>
                <w:rFonts w:ascii="仿宋" w:hAnsi="仿宋" w:eastAsia="仿宋"/>
                <w:b w:val="0"/>
                <w:sz w:val="21"/>
              </w:rPr>
              <w:br w:type="textWrapping"/>
            </w:r>
            <w:r>
              <w:rPr>
                <w:rFonts w:ascii="仿宋" w:hAnsi="仿宋" w:eastAsia="仿宋"/>
                <w:b w:val="0"/>
                <w:sz w:val="21"/>
              </w:rPr>
              <w:t xml:space="preserve">递交地点：                                        </w:t>
            </w:r>
            <w:r>
              <w:rPr>
                <w:rFonts w:ascii="仿宋" w:hAnsi="仿宋" w:eastAsia="仿宋"/>
                <w:b w:val="0"/>
                <w:sz w:val="21"/>
              </w:rPr>
              <w:br w:type="textWrapping"/>
            </w:r>
            <w:r>
              <w:rPr>
                <w:rFonts w:ascii="仿宋" w:hAnsi="仿宋" w:eastAsia="仿宋"/>
                <w:b w:val="0"/>
                <w:sz w:val="21"/>
              </w:rPr>
              <w:t>比选时间：2026年</w:t>
            </w:r>
            <w:r>
              <w:rPr>
                <w:rFonts w:hint="eastAsia"/>
                <w:b w:val="0"/>
                <w:sz w:val="21"/>
                <w:lang w:val="en-US" w:eastAsia="zh-CN"/>
              </w:rPr>
              <w:t>7</w:t>
            </w:r>
            <w:r>
              <w:rPr>
                <w:rFonts w:ascii="仿宋" w:hAnsi="仿宋" w:eastAsia="仿宋"/>
                <w:b w:val="0"/>
                <w:sz w:val="21"/>
              </w:rPr>
              <w:t>月</w:t>
            </w:r>
            <w:r>
              <w:rPr>
                <w:rFonts w:hint="eastAsia"/>
                <w:b w:val="0"/>
                <w:sz w:val="21"/>
                <w:lang w:val="en-US" w:eastAsia="zh-CN"/>
              </w:rPr>
              <w:t>24</w:t>
            </w:r>
            <w:r>
              <w:rPr>
                <w:rFonts w:ascii="仿宋" w:hAnsi="仿宋" w:eastAsia="仿宋"/>
                <w:b w:val="0"/>
                <w:sz w:val="21"/>
              </w:rPr>
              <w:t>日</w:t>
            </w:r>
            <w:r>
              <w:rPr>
                <w:rFonts w:hint="eastAsia"/>
                <w:b w:val="0"/>
                <w:sz w:val="21"/>
                <w:lang w:val="en-US" w:eastAsia="zh-CN"/>
              </w:rPr>
              <w:t>14</w:t>
            </w:r>
            <w:r>
              <w:rPr>
                <w:rFonts w:ascii="仿宋" w:hAnsi="仿宋" w:eastAsia="仿宋"/>
                <w:b w:val="0"/>
                <w:sz w:val="21"/>
              </w:rPr>
              <w:t>时</w:t>
            </w:r>
            <w:r>
              <w:rPr>
                <w:rFonts w:hint="eastAsia"/>
                <w:b w:val="0"/>
                <w:sz w:val="21"/>
                <w:lang w:val="en-US" w:eastAsia="zh-CN"/>
              </w:rPr>
              <w:t>30</w:t>
            </w:r>
            <w:r>
              <w:rPr>
                <w:rFonts w:ascii="仿宋" w:hAnsi="仿宋" w:eastAsia="仿宋"/>
                <w:b w:val="0"/>
                <w:sz w:val="21"/>
              </w:rPr>
              <w:t>分</w:t>
            </w:r>
            <w:r>
              <w:rPr>
                <w:rFonts w:ascii="仿宋" w:hAnsi="仿宋" w:eastAsia="仿宋"/>
                <w:b w:val="0"/>
                <w:sz w:val="21"/>
              </w:rPr>
              <w:br w:type="textWrapping"/>
            </w:r>
            <w:r>
              <w:rPr>
                <w:rFonts w:ascii="仿宋" w:hAnsi="仿宋" w:eastAsia="仿宋"/>
                <w:b w:val="0"/>
                <w:sz w:val="21"/>
              </w:rPr>
              <w:t>比选文件份数：正本1份，电子版（U盘）1份。</w:t>
            </w:r>
            <w:r>
              <w:rPr>
                <w:rFonts w:ascii="仿宋" w:hAnsi="仿宋" w:eastAsia="仿宋"/>
                <w:b w:val="0"/>
                <w:sz w:val="21"/>
              </w:rPr>
              <w:br w:type="textWrapping"/>
            </w:r>
            <w:r>
              <w:rPr>
                <w:rFonts w:ascii="仿宋" w:hAnsi="仿宋" w:eastAsia="仿宋"/>
                <w:b w:val="0"/>
                <w:sz w:val="21"/>
              </w:rPr>
              <w:t>所有资料密封并在密封袋上写明单位名称并加盖公章。</w:t>
            </w:r>
          </w:p>
        </w:tc>
      </w:tr>
      <w:tr w14:paraId="1E423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5" w:type="dxa"/>
            <w:gridSpan w:val="3"/>
          </w:tcPr>
          <w:p w14:paraId="1D47BDDC">
            <w:pPr>
              <w:spacing w:after="0" w:line="360" w:lineRule="auto"/>
              <w:jc w:val="left"/>
            </w:pPr>
            <w:r>
              <w:rPr>
                <w:rFonts w:ascii="仿宋" w:hAnsi="仿宋" w:eastAsia="仿宋"/>
                <w:b/>
                <w:sz w:val="21"/>
              </w:rPr>
              <w:t>限价及比选</w:t>
            </w:r>
            <w:r>
              <w:rPr>
                <w:rFonts w:ascii="仿宋" w:hAnsi="仿宋" w:eastAsia="仿宋"/>
                <w:b/>
                <w:sz w:val="21"/>
              </w:rPr>
              <w:br w:type="textWrapping"/>
            </w:r>
            <w:r>
              <w:rPr>
                <w:rFonts w:ascii="仿宋" w:hAnsi="仿宋" w:eastAsia="仿宋"/>
                <w:b/>
                <w:sz w:val="21"/>
              </w:rPr>
              <w:t>报价要求</w:t>
            </w:r>
          </w:p>
        </w:tc>
        <w:tc>
          <w:tcPr>
            <w:tcW w:w="6961" w:type="dxa"/>
          </w:tcPr>
          <w:p w14:paraId="2FB29FB4">
            <w:pPr>
              <w:spacing w:after="0" w:line="360" w:lineRule="auto"/>
              <w:jc w:val="left"/>
            </w:pPr>
            <w:r>
              <w:rPr>
                <w:rFonts w:ascii="仿宋" w:hAnsi="仿宋" w:eastAsia="仿宋"/>
                <w:b w:val="0"/>
                <w:sz w:val="21"/>
              </w:rPr>
              <w:t>本次比选最高限价为人民币250000.00元（大写：贰拾伍万元整），</w:t>
            </w:r>
            <w:r>
              <w:rPr>
                <w:rFonts w:hint="eastAsia" w:ascii="仿宋" w:hAnsi="仿宋" w:eastAsia="仿宋"/>
                <w:b w:val="0"/>
                <w:sz w:val="21"/>
              </w:rPr>
              <w:t>本项目最高限价25万元，采用全费用总价包干计价原则，包含人工、技术、服务、设备、算力、测试、评审、管理、税费等一切费用</w:t>
            </w:r>
            <w:r>
              <w:rPr>
                <w:rFonts w:ascii="仿宋" w:hAnsi="仿宋" w:eastAsia="仿宋"/>
                <w:b w:val="0"/>
                <w:sz w:val="21"/>
              </w:rPr>
              <w:t>。</w:t>
            </w:r>
            <w:r>
              <w:rPr>
                <w:rFonts w:ascii="仿宋" w:hAnsi="仿宋" w:eastAsia="仿宋"/>
                <w:b w:val="0"/>
                <w:sz w:val="21"/>
              </w:rPr>
              <w:br w:type="textWrapping"/>
            </w:r>
            <w:r>
              <w:rPr>
                <w:rFonts w:ascii="仿宋" w:hAnsi="仿宋" w:eastAsia="仿宋"/>
                <w:b w:val="0"/>
                <w:sz w:val="21"/>
              </w:rPr>
              <w:t>1. 报价超过最高限价的，其比选文件将被否决。</w:t>
            </w:r>
            <w:r>
              <w:rPr>
                <w:rFonts w:ascii="仿宋" w:hAnsi="仿宋" w:eastAsia="仿宋"/>
                <w:b w:val="0"/>
                <w:sz w:val="21"/>
              </w:rPr>
              <w:br w:type="textWrapping"/>
            </w:r>
            <w:r>
              <w:rPr>
                <w:rFonts w:ascii="仿宋" w:hAnsi="仿宋" w:eastAsia="仿宋"/>
                <w:b w:val="0"/>
                <w:sz w:val="21"/>
              </w:rPr>
              <w:t>2. 报价应为完成本项目全部工作的总价，不得选择性报价。</w:t>
            </w:r>
          </w:p>
        </w:tc>
      </w:tr>
      <w:tr w14:paraId="05FFA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5" w:type="dxa"/>
            <w:gridSpan w:val="3"/>
          </w:tcPr>
          <w:p w14:paraId="1A808D7F">
            <w:pPr>
              <w:spacing w:after="0" w:line="360" w:lineRule="auto"/>
              <w:jc w:val="left"/>
            </w:pPr>
            <w:r>
              <w:rPr>
                <w:rFonts w:ascii="仿宋" w:hAnsi="仿宋" w:eastAsia="仿宋"/>
                <w:b/>
                <w:sz w:val="21"/>
              </w:rPr>
              <w:t>费用支付方式</w:t>
            </w:r>
          </w:p>
        </w:tc>
        <w:tc>
          <w:tcPr>
            <w:tcW w:w="6961" w:type="dxa"/>
          </w:tcPr>
          <w:p w14:paraId="1D384C0D">
            <w:pPr>
              <w:spacing w:after="0" w:line="360" w:lineRule="auto"/>
              <w:jc w:val="left"/>
            </w:pPr>
            <w:r>
              <w:rPr>
                <w:rFonts w:ascii="仿宋" w:hAnsi="仿宋" w:eastAsia="仿宋"/>
                <w:b w:val="0"/>
                <w:sz w:val="21"/>
              </w:rPr>
              <w:t>第一阶段：由公司组织行业资深专家进行科研项目开题审查，审查通过并取得评审意见后支付合同总价的30%；</w:t>
            </w:r>
            <w:r>
              <w:rPr>
                <w:rFonts w:ascii="仿宋" w:hAnsi="仿宋" w:eastAsia="仿宋"/>
                <w:b w:val="0"/>
                <w:sz w:val="21"/>
              </w:rPr>
              <w:br w:type="textWrapping"/>
            </w:r>
            <w:r>
              <w:rPr>
                <w:rFonts w:ascii="仿宋" w:hAnsi="仿宋" w:eastAsia="仿宋"/>
                <w:b w:val="0"/>
                <w:sz w:val="21"/>
              </w:rPr>
              <w:t>第二阶段：由公司组织行业资深专家进行科研项目结题审查，审查通过并取得评审意见后支付合同总价的70%。</w:t>
            </w:r>
            <w:r>
              <w:rPr>
                <w:rFonts w:ascii="仿宋" w:hAnsi="仿宋" w:eastAsia="仿宋"/>
                <w:b w:val="0"/>
                <w:sz w:val="21"/>
              </w:rPr>
              <w:br w:type="textWrapping"/>
            </w:r>
            <w:r>
              <w:rPr>
                <w:rFonts w:ascii="仿宋" w:hAnsi="仿宋" w:eastAsia="仿宋"/>
                <w:b w:val="0"/>
                <w:sz w:val="21"/>
              </w:rPr>
              <w:t>付款前，乙方须提前30个工作日向甲方书面申请并提交符合甲方要求的请款材料及同等金额的增值税专用发票。否则甲方有权拒绝付款且不承担任何责任。</w:t>
            </w:r>
          </w:p>
        </w:tc>
      </w:tr>
      <w:tr w14:paraId="2011D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5" w:type="dxa"/>
            <w:gridSpan w:val="3"/>
          </w:tcPr>
          <w:p w14:paraId="488C77B7">
            <w:pPr>
              <w:spacing w:after="0" w:line="360" w:lineRule="auto"/>
              <w:jc w:val="left"/>
            </w:pPr>
            <w:r>
              <w:rPr>
                <w:rFonts w:ascii="仿宋" w:hAnsi="仿宋" w:eastAsia="仿宋"/>
                <w:b/>
                <w:sz w:val="21"/>
              </w:rPr>
              <w:t>其他需告知</w:t>
            </w:r>
            <w:r>
              <w:rPr>
                <w:rFonts w:ascii="仿宋" w:hAnsi="仿宋" w:eastAsia="仿宋"/>
                <w:b/>
                <w:sz w:val="21"/>
              </w:rPr>
              <w:br w:type="textWrapping"/>
            </w:r>
            <w:r>
              <w:rPr>
                <w:rFonts w:ascii="仿宋" w:hAnsi="仿宋" w:eastAsia="仿宋"/>
                <w:b/>
                <w:sz w:val="21"/>
              </w:rPr>
              <w:t>比选被邀请人</w:t>
            </w:r>
            <w:r>
              <w:rPr>
                <w:rFonts w:ascii="仿宋" w:hAnsi="仿宋" w:eastAsia="仿宋"/>
                <w:b/>
                <w:sz w:val="21"/>
              </w:rPr>
              <w:br w:type="textWrapping"/>
            </w:r>
            <w:r>
              <w:rPr>
                <w:rFonts w:ascii="仿宋" w:hAnsi="仿宋" w:eastAsia="仿宋"/>
                <w:b/>
                <w:sz w:val="21"/>
              </w:rPr>
              <w:t>的要求</w:t>
            </w:r>
          </w:p>
        </w:tc>
        <w:tc>
          <w:tcPr>
            <w:tcW w:w="6961" w:type="dxa"/>
          </w:tcPr>
          <w:p w14:paraId="2C2F523F">
            <w:pPr>
              <w:spacing w:after="0" w:line="360" w:lineRule="auto"/>
              <w:jc w:val="left"/>
            </w:pPr>
            <w:r>
              <w:rPr>
                <w:rFonts w:ascii="仿宋" w:hAnsi="仿宋" w:eastAsia="仿宋"/>
                <w:b w:val="0"/>
                <w:sz w:val="21"/>
              </w:rPr>
              <w:t>1. 项目成果（包括但不限于算法模型、软件系统、技术文档等）知识产权归甲方所有。</w:t>
            </w:r>
            <w:r>
              <w:rPr>
                <w:rFonts w:ascii="仿宋" w:hAnsi="仿宋" w:eastAsia="仿宋"/>
                <w:b w:val="0"/>
                <w:sz w:val="21"/>
              </w:rPr>
              <w:br w:type="textWrapping"/>
            </w:r>
            <w:r>
              <w:rPr>
                <w:rFonts w:ascii="仿宋" w:hAnsi="仿宋" w:eastAsia="仿宋"/>
                <w:b w:val="0"/>
                <w:sz w:val="21"/>
              </w:rPr>
              <w:t>2. 比选被邀请人须对项目相关技术信息承担保密义务。</w:t>
            </w:r>
            <w:r>
              <w:rPr>
                <w:rFonts w:ascii="仿宋" w:hAnsi="仿宋" w:eastAsia="仿宋"/>
                <w:b w:val="0"/>
                <w:sz w:val="21"/>
              </w:rPr>
              <w:br w:type="textWrapping"/>
            </w:r>
            <w:r>
              <w:rPr>
                <w:rFonts w:ascii="仿宋" w:hAnsi="仿宋" w:eastAsia="仿宋"/>
                <w:b w:val="0"/>
                <w:sz w:val="21"/>
              </w:rPr>
              <w:t>3. 合同履行过程中，如乙方未按约定进度完成工作，甲方有权按合同约定追究违约责任。</w:t>
            </w:r>
            <w:r>
              <w:rPr>
                <w:rFonts w:ascii="仿宋" w:hAnsi="仿宋" w:eastAsia="仿宋"/>
                <w:b w:val="0"/>
                <w:sz w:val="21"/>
              </w:rPr>
              <w:br w:type="textWrapping"/>
            </w:r>
            <w:r>
              <w:rPr>
                <w:rFonts w:ascii="仿宋" w:hAnsi="仿宋" w:eastAsia="仿宋"/>
                <w:b w:val="0"/>
                <w:sz w:val="21"/>
              </w:rPr>
              <w:t>4. 凡因本合同引起的或与本合同有关的任何争议，由双方协商解决；协商不果时，应向甲方所在地人民法院提起诉讼。</w:t>
            </w:r>
            <w:r>
              <w:rPr>
                <w:rFonts w:ascii="仿宋" w:hAnsi="仿宋" w:eastAsia="仿宋"/>
                <w:b w:val="0"/>
                <w:sz w:val="21"/>
              </w:rPr>
              <w:br w:type="textWrapping"/>
            </w:r>
            <w:r>
              <w:rPr>
                <w:rFonts w:ascii="仿宋" w:hAnsi="仿宋" w:eastAsia="仿宋"/>
                <w:b w:val="0"/>
                <w:sz w:val="21"/>
              </w:rPr>
              <w:t>5. 本比选文件邀请函为竞争性比选活动的组成部分，对双方具有约束力。</w:t>
            </w:r>
            <w:r>
              <w:rPr>
                <w:rFonts w:ascii="仿宋" w:hAnsi="仿宋" w:eastAsia="仿宋"/>
                <w:b w:val="0"/>
                <w:sz w:val="21"/>
              </w:rPr>
              <w:br w:type="textWrapping"/>
            </w:r>
            <w:r>
              <w:rPr>
                <w:rFonts w:ascii="仿宋" w:hAnsi="仿宋" w:eastAsia="仿宋"/>
                <w:b w:val="0"/>
                <w:sz w:val="21"/>
              </w:rPr>
              <w:t>6. 甲方保留对本比选文件的最终解释权。</w:t>
            </w:r>
            <w:r>
              <w:rPr>
                <w:rFonts w:ascii="仿宋" w:hAnsi="仿宋" w:eastAsia="仿宋"/>
                <w:b w:val="0"/>
                <w:sz w:val="21"/>
              </w:rPr>
              <w:br w:type="textWrapping"/>
            </w:r>
            <w:r>
              <w:rPr>
                <w:rFonts w:ascii="仿宋" w:hAnsi="仿宋" w:eastAsia="仿宋"/>
                <w:b w:val="0"/>
                <w:sz w:val="21"/>
              </w:rPr>
              <w:t>7. 未中选的比选被邀请人，甲方不对其编制比选文件及参加比选活动所发生的费用作任何补偿。</w:t>
            </w:r>
          </w:p>
        </w:tc>
      </w:tr>
      <w:tr w14:paraId="33C2C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5" w:type="dxa"/>
            <w:gridSpan w:val="3"/>
          </w:tcPr>
          <w:p w14:paraId="5CF54FE1">
            <w:pPr>
              <w:spacing w:after="0" w:line="360" w:lineRule="auto"/>
              <w:jc w:val="left"/>
            </w:pPr>
            <w:r>
              <w:rPr>
                <w:rFonts w:ascii="仿宋" w:hAnsi="仿宋" w:eastAsia="仿宋"/>
                <w:b/>
                <w:sz w:val="21"/>
              </w:rPr>
              <w:t>否决条款</w:t>
            </w:r>
          </w:p>
        </w:tc>
        <w:tc>
          <w:tcPr>
            <w:tcW w:w="6961" w:type="dxa"/>
          </w:tcPr>
          <w:p w14:paraId="139EECC6">
            <w:pPr>
              <w:spacing w:after="0" w:line="360" w:lineRule="auto"/>
              <w:jc w:val="left"/>
            </w:pPr>
            <w:r>
              <w:rPr>
                <w:rFonts w:ascii="仿宋" w:hAnsi="仿宋" w:eastAsia="仿宋"/>
                <w:b w:val="0"/>
                <w:sz w:val="21"/>
              </w:rPr>
              <w:t>出现以下情形之一的，否决其比选资格：</w:t>
            </w:r>
            <w:r>
              <w:rPr>
                <w:rFonts w:ascii="仿宋" w:hAnsi="仿宋" w:eastAsia="仿宋"/>
                <w:b w:val="0"/>
                <w:sz w:val="21"/>
              </w:rPr>
              <w:br w:type="textWrapping"/>
            </w:r>
            <w:r>
              <w:rPr>
                <w:rFonts w:ascii="仿宋" w:hAnsi="仿宋" w:eastAsia="仿宋"/>
                <w:b w:val="0"/>
                <w:sz w:val="21"/>
              </w:rPr>
              <w:t>1. 报价高于最高限价的；</w:t>
            </w:r>
            <w:r>
              <w:rPr>
                <w:rFonts w:ascii="仿宋" w:hAnsi="仿宋" w:eastAsia="仿宋"/>
                <w:b w:val="0"/>
                <w:sz w:val="21"/>
              </w:rPr>
              <w:br w:type="textWrapping"/>
            </w:r>
            <w:r>
              <w:rPr>
                <w:rFonts w:ascii="仿宋" w:hAnsi="仿宋" w:eastAsia="仿宋"/>
                <w:b w:val="0"/>
                <w:sz w:val="21"/>
              </w:rPr>
              <w:t>2. 报价函、法定代表人授权书未按规定签字盖章的；</w:t>
            </w:r>
            <w:r>
              <w:rPr>
                <w:rFonts w:ascii="仿宋" w:hAnsi="仿宋" w:eastAsia="仿宋"/>
                <w:b w:val="0"/>
                <w:sz w:val="21"/>
              </w:rPr>
              <w:br w:type="textWrapping"/>
            </w:r>
            <w:r>
              <w:rPr>
                <w:rFonts w:ascii="仿宋" w:hAnsi="仿宋" w:eastAsia="仿宋"/>
                <w:b w:val="0"/>
                <w:sz w:val="21"/>
              </w:rPr>
              <w:t>3. 未提供有效营业执照的；</w:t>
            </w:r>
            <w:r>
              <w:rPr>
                <w:rFonts w:ascii="仿宋" w:hAnsi="仿宋" w:eastAsia="仿宋"/>
                <w:b w:val="0"/>
                <w:sz w:val="21"/>
              </w:rPr>
              <w:br w:type="textWrapping"/>
            </w:r>
            <w:r>
              <w:rPr>
                <w:rFonts w:ascii="仿宋" w:hAnsi="仿宋" w:eastAsia="仿宋"/>
                <w:b w:val="0"/>
                <w:sz w:val="21"/>
              </w:rPr>
              <w:t>4. 业绩证明材料不符合要求的；</w:t>
            </w:r>
            <w:r>
              <w:rPr>
                <w:rFonts w:ascii="仿宋" w:hAnsi="仿宋" w:eastAsia="仿宋"/>
                <w:b w:val="0"/>
                <w:sz w:val="21"/>
              </w:rPr>
              <w:br w:type="textWrapping"/>
            </w:r>
            <w:r>
              <w:rPr>
                <w:rFonts w:ascii="仿宋" w:hAnsi="仿宋" w:eastAsia="仿宋"/>
                <w:b w:val="0"/>
                <w:sz w:val="21"/>
              </w:rPr>
              <w:t>5. 未按要求密封、盖章的；</w:t>
            </w:r>
            <w:r>
              <w:rPr>
                <w:rFonts w:ascii="仿宋" w:hAnsi="仿宋" w:eastAsia="仿宋"/>
                <w:b w:val="0"/>
                <w:sz w:val="21"/>
              </w:rPr>
              <w:br w:type="textWrapping"/>
            </w:r>
            <w:r>
              <w:rPr>
                <w:rFonts w:ascii="仿宋" w:hAnsi="仿宋" w:eastAsia="仿宋"/>
                <w:b w:val="0"/>
                <w:sz w:val="21"/>
              </w:rPr>
              <w:t>6. 未在规定时间内递交比选文件的。</w:t>
            </w:r>
          </w:p>
        </w:tc>
      </w:tr>
      <w:tr w14:paraId="62395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gridSpan w:val="4"/>
          </w:tcPr>
          <w:p w14:paraId="4B45EC99">
            <w:pPr>
              <w:spacing w:after="0" w:line="360" w:lineRule="auto"/>
              <w:jc w:val="left"/>
            </w:pPr>
            <w:r>
              <w:rPr>
                <w:rFonts w:ascii="黑体" w:hAnsi="黑体" w:eastAsia="黑体"/>
                <w:b/>
                <w:sz w:val="28"/>
              </w:rPr>
              <w:t>三、评选、定选方式</w:t>
            </w:r>
          </w:p>
        </w:tc>
      </w:tr>
      <w:tr w14:paraId="4B54F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5" w:type="dxa"/>
            <w:gridSpan w:val="3"/>
          </w:tcPr>
          <w:p w14:paraId="585C3BED">
            <w:pPr>
              <w:spacing w:after="0" w:line="360" w:lineRule="auto"/>
              <w:jc w:val="left"/>
            </w:pPr>
            <w:r>
              <w:rPr>
                <w:rFonts w:ascii="仿宋" w:hAnsi="仿宋" w:eastAsia="仿宋"/>
                <w:b/>
                <w:sz w:val="21"/>
              </w:rPr>
              <w:t>评选方式</w:t>
            </w:r>
          </w:p>
        </w:tc>
        <w:tc>
          <w:tcPr>
            <w:tcW w:w="6961" w:type="dxa"/>
          </w:tcPr>
          <w:p w14:paraId="3D7EB2B0">
            <w:pPr>
              <w:spacing w:after="0" w:line="360" w:lineRule="auto"/>
              <w:jc w:val="left"/>
              <w:rPr>
                <w:rFonts w:hint="eastAsia" w:ascii="仿宋" w:hAnsi="仿宋" w:eastAsia="仿宋"/>
                <w:b w:val="0"/>
                <w:sz w:val="21"/>
              </w:rPr>
            </w:pPr>
            <w:r>
              <w:rPr>
                <w:rFonts w:hint="eastAsia" w:ascii="仿宋" w:hAnsi="仿宋" w:eastAsia="仿宋"/>
                <w:b w:val="0"/>
                <w:sz w:val="21"/>
                <w:lang w:val="en-US" w:eastAsia="zh-CN"/>
              </w:rPr>
              <w:t>经评审的最低投标价法：</w:t>
            </w:r>
          </w:p>
          <w:p w14:paraId="2BFA6268">
            <w:pPr>
              <w:spacing w:after="0" w:line="360" w:lineRule="auto"/>
              <w:jc w:val="left"/>
              <w:rPr>
                <w:rFonts w:hint="eastAsia" w:ascii="仿宋" w:hAnsi="仿宋" w:eastAsia="仿宋"/>
                <w:b w:val="0"/>
                <w:sz w:val="21"/>
              </w:rPr>
            </w:pPr>
            <w:r>
              <w:rPr>
                <w:rFonts w:hint="eastAsia" w:ascii="仿宋" w:hAnsi="仿宋" w:eastAsia="仿宋"/>
                <w:b w:val="0"/>
                <w:sz w:val="21"/>
              </w:rPr>
              <w:t>在满足资格条件下，以报价最低的竞选人确定为中选单位。</w:t>
            </w:r>
          </w:p>
          <w:p w14:paraId="5FA501F5">
            <w:pPr>
              <w:spacing w:after="0" w:line="360" w:lineRule="auto"/>
              <w:jc w:val="left"/>
              <w:rPr>
                <w:rFonts w:hint="eastAsia" w:ascii="仿宋" w:hAnsi="仿宋" w:eastAsia="仿宋"/>
                <w:b w:val="0"/>
                <w:sz w:val="21"/>
              </w:rPr>
            </w:pPr>
            <w:r>
              <w:rPr>
                <w:rFonts w:hint="eastAsia" w:ascii="仿宋" w:hAnsi="仿宋" w:eastAsia="仿宋"/>
                <w:b w:val="0"/>
                <w:sz w:val="21"/>
              </w:rPr>
              <w:t>在满足比选文件邀请函要求的情况下，所有比选被邀请人（报价高于最高限价的及资质业绩人员不符合要求的否决比选资格）的比选报价中以报价最低的比选单位为中选人，对未中选情况不做解释。</w:t>
            </w:r>
          </w:p>
          <w:p w14:paraId="6BE71B47">
            <w:pPr>
              <w:spacing w:after="0" w:line="360" w:lineRule="auto"/>
              <w:jc w:val="left"/>
              <w:rPr>
                <w:rFonts w:hint="eastAsia" w:ascii="仿宋" w:hAnsi="仿宋" w:eastAsia="仿宋"/>
                <w:b w:val="0"/>
                <w:sz w:val="21"/>
              </w:rPr>
            </w:pPr>
            <w:r>
              <w:rPr>
                <w:rFonts w:hint="eastAsia" w:ascii="仿宋" w:hAnsi="仿宋" w:eastAsia="仿宋"/>
                <w:b w:val="0"/>
                <w:sz w:val="21"/>
              </w:rPr>
              <w:t>具体评选方式如下：当众开封查验响应性文件，宣读报价书，委托代理人签字确认报价后离场，评选小组对比选文件进行评审。</w:t>
            </w:r>
          </w:p>
          <w:p w14:paraId="2AB4E600">
            <w:pPr>
              <w:spacing w:after="0" w:line="360" w:lineRule="auto"/>
              <w:jc w:val="left"/>
              <w:rPr>
                <w:rFonts w:hint="eastAsia" w:ascii="仿宋" w:hAnsi="仿宋" w:eastAsia="仿宋"/>
                <w:b w:val="0"/>
                <w:sz w:val="21"/>
              </w:rPr>
            </w:pPr>
            <w:r>
              <w:rPr>
                <w:rFonts w:hint="eastAsia" w:ascii="仿宋" w:hAnsi="仿宋" w:eastAsia="仿宋"/>
                <w:b w:val="0"/>
                <w:sz w:val="21"/>
              </w:rPr>
              <w:t>若出现价格完全一致，由以抽签（具体方式视项目情况确定，可采取抽签、优先选择资质等级高的、优先选择业绩金额大的等方式）决定中选人。</w:t>
            </w:r>
          </w:p>
          <w:p w14:paraId="3923D18E">
            <w:pPr>
              <w:spacing w:after="0" w:line="360" w:lineRule="auto"/>
              <w:jc w:val="left"/>
            </w:pPr>
            <w:r>
              <w:rPr>
                <w:rFonts w:hint="eastAsia" w:ascii="仿宋" w:hAnsi="仿宋" w:eastAsia="仿宋"/>
                <w:b w:val="0"/>
                <w:sz w:val="21"/>
              </w:rPr>
              <w:t>若排名第一的候选单位在重庆交通资源开发有限公司供应商黑名单内，则发包人有权否决其比选。</w:t>
            </w:r>
          </w:p>
        </w:tc>
      </w:tr>
      <w:tr w14:paraId="43A93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gridSpan w:val="4"/>
          </w:tcPr>
          <w:p w14:paraId="7713D3ED">
            <w:pPr>
              <w:spacing w:after="0" w:line="360" w:lineRule="auto"/>
              <w:jc w:val="left"/>
            </w:pPr>
            <w:r>
              <w:rPr>
                <w:rFonts w:ascii="黑体" w:hAnsi="黑体" w:eastAsia="黑体"/>
                <w:b/>
                <w:sz w:val="28"/>
              </w:rPr>
              <w:t>四、比选文件组成及要求</w:t>
            </w:r>
          </w:p>
        </w:tc>
      </w:tr>
      <w:tr w14:paraId="0F7C3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8" w:type="dxa"/>
          </w:tcPr>
          <w:p w14:paraId="6603CB66">
            <w:pPr>
              <w:spacing w:after="0" w:line="360" w:lineRule="auto"/>
              <w:jc w:val="left"/>
            </w:pPr>
            <w:r>
              <w:rPr>
                <w:rFonts w:ascii="仿宋" w:hAnsi="仿宋" w:eastAsia="仿宋"/>
                <w:b/>
                <w:sz w:val="21"/>
              </w:rPr>
              <w:t>比选文件组成</w:t>
            </w:r>
          </w:p>
        </w:tc>
        <w:tc>
          <w:tcPr>
            <w:tcW w:w="6968" w:type="dxa"/>
            <w:gridSpan w:val="3"/>
          </w:tcPr>
          <w:p w14:paraId="2F546EF8">
            <w:pPr>
              <w:spacing w:after="0" w:line="360" w:lineRule="auto"/>
              <w:jc w:val="left"/>
            </w:pPr>
            <w:r>
              <w:rPr>
                <w:rFonts w:ascii="仿宋" w:hAnsi="仿宋" w:eastAsia="仿宋"/>
                <w:b w:val="0"/>
                <w:sz w:val="21"/>
              </w:rPr>
              <w:t>1. 比选报价函；</w:t>
            </w:r>
            <w:r>
              <w:rPr>
                <w:rFonts w:ascii="仿宋" w:hAnsi="仿宋" w:eastAsia="仿宋"/>
                <w:b w:val="0"/>
                <w:sz w:val="21"/>
              </w:rPr>
              <w:br w:type="textWrapping"/>
            </w:r>
            <w:r>
              <w:rPr>
                <w:rFonts w:ascii="仿宋" w:hAnsi="仿宋" w:eastAsia="仿宋"/>
                <w:b w:val="0"/>
                <w:sz w:val="21"/>
              </w:rPr>
              <w:t>2. 法定代表人或授权代理人身份证明及授权委托书；</w:t>
            </w:r>
            <w:r>
              <w:rPr>
                <w:rFonts w:ascii="仿宋" w:hAnsi="仿宋" w:eastAsia="仿宋"/>
                <w:b w:val="0"/>
                <w:sz w:val="21"/>
              </w:rPr>
              <w:br w:type="textWrapping"/>
            </w:r>
            <w:r>
              <w:rPr>
                <w:rFonts w:ascii="仿宋" w:hAnsi="仿宋" w:eastAsia="仿宋"/>
                <w:b w:val="0"/>
                <w:sz w:val="21"/>
              </w:rPr>
              <w:t>3. 营业执照复印件；</w:t>
            </w:r>
            <w:r>
              <w:rPr>
                <w:rFonts w:ascii="仿宋" w:hAnsi="仿宋" w:eastAsia="仿宋"/>
                <w:b w:val="0"/>
                <w:sz w:val="21"/>
              </w:rPr>
              <w:br w:type="textWrapping"/>
            </w:r>
            <w:r>
              <w:rPr>
                <w:rFonts w:ascii="仿宋" w:hAnsi="仿宋" w:eastAsia="仿宋"/>
                <w:b w:val="0"/>
                <w:sz w:val="21"/>
              </w:rPr>
              <w:t>4. 业绩证明材料（需提供合同复印件，包含能证明签约主体、签约日期及签约金额的部分，加盖比选被邀请人公章）。</w:t>
            </w:r>
            <w:r>
              <w:rPr>
                <w:rFonts w:ascii="仿宋" w:hAnsi="仿宋" w:eastAsia="仿宋"/>
                <w:b w:val="0"/>
                <w:sz w:val="21"/>
              </w:rPr>
              <w:br w:type="textWrapping"/>
            </w:r>
            <w:r>
              <w:rPr>
                <w:rFonts w:ascii="仿宋" w:hAnsi="仿宋" w:eastAsia="仿宋"/>
                <w:b w:val="0"/>
                <w:sz w:val="21"/>
              </w:rPr>
              <w:t>5. 要求提供的资料均需加盖鲜章，所有资料密封并在密封袋上写明单位名称并加盖公章。</w:t>
            </w:r>
          </w:p>
        </w:tc>
      </w:tr>
      <w:tr w14:paraId="37146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gridSpan w:val="4"/>
          </w:tcPr>
          <w:p w14:paraId="039550D4">
            <w:pPr>
              <w:spacing w:after="0" w:line="360" w:lineRule="auto"/>
              <w:jc w:val="left"/>
            </w:pPr>
            <w:r>
              <w:rPr>
                <w:rFonts w:ascii="黑体" w:hAnsi="黑体" w:eastAsia="黑体"/>
                <w:b/>
                <w:sz w:val="28"/>
              </w:rPr>
              <w:t>五、否决比选条款</w:t>
            </w:r>
          </w:p>
        </w:tc>
      </w:tr>
      <w:tr w14:paraId="0125B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0" w:type="dxa"/>
            <w:gridSpan w:val="2"/>
          </w:tcPr>
          <w:p w14:paraId="794DA89B">
            <w:pPr>
              <w:spacing w:after="0" w:line="360" w:lineRule="auto"/>
              <w:jc w:val="left"/>
            </w:pPr>
            <w:r>
              <w:rPr>
                <w:rFonts w:ascii="仿宋" w:hAnsi="仿宋" w:eastAsia="仿宋"/>
                <w:b/>
                <w:sz w:val="21"/>
              </w:rPr>
              <w:t>否决条件</w:t>
            </w:r>
          </w:p>
        </w:tc>
        <w:tc>
          <w:tcPr>
            <w:tcW w:w="6966" w:type="dxa"/>
            <w:gridSpan w:val="2"/>
          </w:tcPr>
          <w:p w14:paraId="1DD8A337">
            <w:pPr>
              <w:spacing w:after="0" w:line="360" w:lineRule="auto"/>
              <w:jc w:val="left"/>
            </w:pPr>
            <w:r>
              <w:rPr>
                <w:rFonts w:ascii="仿宋" w:hAnsi="仿宋" w:eastAsia="仿宋"/>
                <w:b w:val="0"/>
                <w:sz w:val="21"/>
              </w:rPr>
              <w:t>1. 报价未按要求填写或高于最高限价的；</w:t>
            </w:r>
            <w:r>
              <w:rPr>
                <w:rFonts w:ascii="仿宋" w:hAnsi="仿宋" w:eastAsia="仿宋"/>
                <w:b w:val="0"/>
                <w:sz w:val="21"/>
              </w:rPr>
              <w:br w:type="textWrapping"/>
            </w:r>
            <w:r>
              <w:rPr>
                <w:rFonts w:ascii="仿宋" w:hAnsi="仿宋" w:eastAsia="仿宋"/>
                <w:b w:val="0"/>
                <w:sz w:val="21"/>
              </w:rPr>
              <w:t>2. 报价函、法定代表人授权书填写错误或未按规定签字盖章的；</w:t>
            </w:r>
            <w:r>
              <w:rPr>
                <w:rFonts w:ascii="仿宋" w:hAnsi="仿宋" w:eastAsia="仿宋"/>
                <w:b w:val="0"/>
                <w:sz w:val="21"/>
              </w:rPr>
              <w:br w:type="textWrapping"/>
            </w:r>
            <w:r>
              <w:rPr>
                <w:rFonts w:ascii="仿宋" w:hAnsi="仿宋" w:eastAsia="仿宋"/>
                <w:b w:val="0"/>
                <w:sz w:val="21"/>
              </w:rPr>
              <w:t>3. 未提供有效企业营业执照的；</w:t>
            </w:r>
            <w:r>
              <w:rPr>
                <w:rFonts w:ascii="仿宋" w:hAnsi="仿宋" w:eastAsia="仿宋"/>
                <w:b w:val="0"/>
                <w:sz w:val="21"/>
              </w:rPr>
              <w:br w:type="textWrapping"/>
            </w:r>
            <w:r>
              <w:rPr>
                <w:rFonts w:ascii="仿宋" w:hAnsi="仿宋" w:eastAsia="仿宋"/>
                <w:b w:val="0"/>
                <w:sz w:val="21"/>
              </w:rPr>
              <w:t>4. 业绩证明材料不符合要求的；</w:t>
            </w:r>
            <w:r>
              <w:rPr>
                <w:rFonts w:ascii="仿宋" w:hAnsi="仿宋" w:eastAsia="仿宋"/>
                <w:b w:val="0"/>
                <w:sz w:val="21"/>
              </w:rPr>
              <w:br w:type="textWrapping"/>
            </w:r>
            <w:r>
              <w:rPr>
                <w:rFonts w:ascii="仿宋" w:hAnsi="仿宋" w:eastAsia="仿宋"/>
                <w:b w:val="0"/>
                <w:sz w:val="21"/>
              </w:rPr>
              <w:t>5. 未按照要求进行密封、盖章的；</w:t>
            </w:r>
            <w:r>
              <w:rPr>
                <w:rFonts w:ascii="仿宋" w:hAnsi="仿宋" w:eastAsia="仿宋"/>
                <w:b w:val="0"/>
                <w:sz w:val="21"/>
              </w:rPr>
              <w:br w:type="textWrapping"/>
            </w:r>
            <w:r>
              <w:rPr>
                <w:rFonts w:ascii="仿宋" w:hAnsi="仿宋" w:eastAsia="仿宋"/>
                <w:b w:val="0"/>
                <w:sz w:val="21"/>
              </w:rPr>
              <w:t>6. 未在规定时间内递交比选文件的。</w:t>
            </w:r>
          </w:p>
        </w:tc>
      </w:tr>
    </w:tbl>
    <w:p w14:paraId="277B20E4"/>
    <w:p w14:paraId="36FEE813"/>
    <w:p w14:paraId="45A1D70F">
      <w:pPr>
        <w:jc w:val="right"/>
      </w:pPr>
      <w:r>
        <w:rPr>
          <w:rFonts w:ascii="仿宋" w:hAnsi="仿宋" w:eastAsia="仿宋"/>
          <w:sz w:val="28"/>
        </w:rPr>
        <w:t>重庆交通资源开发有限公司</w:t>
      </w:r>
    </w:p>
    <w:p w14:paraId="030AED1D">
      <w:pPr>
        <w:jc w:val="right"/>
      </w:pPr>
      <w:r>
        <w:rPr>
          <w:rFonts w:ascii="仿宋" w:hAnsi="仿宋" w:eastAsia="仿宋"/>
          <w:sz w:val="28"/>
        </w:rPr>
        <w:t>2026年  月  日</w:t>
      </w:r>
    </w:p>
    <w:p w14:paraId="43FA4EAD">
      <w:r>
        <w:br w:type="page"/>
      </w:r>
    </w:p>
    <w:p w14:paraId="32FD971C">
      <w:r>
        <w:rPr>
          <w:rFonts w:ascii="仿宋" w:hAnsi="仿宋" w:eastAsia="仿宋"/>
          <w:sz w:val="28"/>
        </w:rPr>
        <w:t>附件：</w:t>
      </w:r>
    </w:p>
    <w:p w14:paraId="6B995F1D">
      <w:r>
        <w:rPr>
          <w:rFonts w:ascii="仿宋" w:hAnsi="仿宋" w:eastAsia="仿宋"/>
          <w:sz w:val="28"/>
        </w:rPr>
        <w:t>1. 比选报价函</w:t>
      </w:r>
    </w:p>
    <w:p w14:paraId="5E980053">
      <w:r>
        <w:rPr>
          <w:rFonts w:ascii="仿宋" w:hAnsi="仿宋" w:eastAsia="仿宋"/>
          <w:sz w:val="28"/>
        </w:rPr>
        <w:t>2. 法定代表人或授权代理人身份证明及授权委托书</w:t>
      </w:r>
    </w:p>
    <w:p w14:paraId="139183BF">
      <w:r>
        <w:rPr>
          <w:rFonts w:ascii="仿宋" w:hAnsi="仿宋" w:eastAsia="仿宋"/>
          <w:sz w:val="28"/>
        </w:rPr>
        <w:t>3. 营业执照</w:t>
      </w:r>
    </w:p>
    <w:p w14:paraId="15B2B196">
      <w:r>
        <w:rPr>
          <w:rFonts w:ascii="仿宋" w:hAnsi="仿宋" w:eastAsia="仿宋"/>
          <w:sz w:val="28"/>
        </w:rPr>
        <w:t>4. 业绩证明材料</w:t>
      </w:r>
    </w:p>
    <w:p w14:paraId="040808AA">
      <w:r>
        <w:rPr>
          <w:rFonts w:ascii="仿宋" w:hAnsi="仿宋" w:eastAsia="仿宋"/>
          <w:sz w:val="28"/>
        </w:rPr>
        <w:t>5. 科技项目任务书</w:t>
      </w:r>
    </w:p>
    <w:p w14:paraId="744DBABF">
      <w:r>
        <w:br w:type="page"/>
      </w:r>
    </w:p>
    <w:p w14:paraId="68AFBE7D">
      <w:pPr>
        <w:jc w:val="center"/>
      </w:pPr>
      <w:r>
        <w:rPr>
          <w:rFonts w:ascii="黑体" w:hAnsi="黑体" w:eastAsia="黑体"/>
          <w:b/>
          <w:sz w:val="28"/>
        </w:rPr>
        <w:t>附件1</w:t>
      </w:r>
    </w:p>
    <w:p w14:paraId="2E486D53">
      <w:pPr>
        <w:jc w:val="center"/>
      </w:pPr>
      <w:r>
        <w:rPr>
          <w:rFonts w:ascii="黑体" w:hAnsi="黑体" w:eastAsia="黑体"/>
          <w:b/>
          <w:sz w:val="32"/>
        </w:rPr>
        <w:t>比选报价函</w:t>
      </w:r>
    </w:p>
    <w:p w14:paraId="152313C9"/>
    <w:p w14:paraId="7F8D0E28">
      <w:pPr>
        <w:jc w:val="left"/>
      </w:pPr>
      <w:r>
        <w:rPr>
          <w:rFonts w:ascii="仿宋" w:hAnsi="仿宋" w:eastAsia="仿宋"/>
          <w:b w:val="0"/>
          <w:sz w:val="28"/>
        </w:rPr>
        <w:t>项目名称：枢纽车站高质量数据集验证及场景智能体技术开发研究与示范应用</w:t>
      </w:r>
    </w:p>
    <w:p w14:paraId="72CC52E3">
      <w:pPr>
        <w:jc w:val="left"/>
      </w:pPr>
      <w:r>
        <w:rPr>
          <w:rFonts w:ascii="仿宋" w:hAnsi="仿宋" w:eastAsia="仿宋"/>
          <w:b w:val="0"/>
          <w:sz w:val="28"/>
        </w:rPr>
        <w:t>致：重庆交通资源开发有限公司</w:t>
      </w:r>
    </w:p>
    <w:p w14:paraId="051A72C4">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pPr>
      <w:r>
        <w:rPr>
          <w:rFonts w:ascii="仿宋" w:hAnsi="仿宋" w:eastAsia="仿宋"/>
          <w:sz w:val="28"/>
        </w:rPr>
        <w:t>我方已仔细研究了枢纽车站高质量数据集验证及场景智能体技术开发研究与示范应用比选文件邀请函的全部内容，愿意以下述总价（或单价）承担本项目全部工作：</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5669"/>
      </w:tblGrid>
      <w:tr w14:paraId="086D5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14:paraId="171C42F1">
            <w:pPr>
              <w:spacing w:after="0" w:line="360" w:lineRule="auto"/>
              <w:jc w:val="left"/>
            </w:pPr>
            <w:r>
              <w:rPr>
                <w:rFonts w:ascii="仿宋" w:hAnsi="仿宋" w:eastAsia="仿宋"/>
                <w:b/>
                <w:sz w:val="21"/>
              </w:rPr>
              <w:t>项目名称</w:t>
            </w:r>
          </w:p>
        </w:tc>
        <w:tc>
          <w:tcPr>
            <w:tcW w:w="5669" w:type="dxa"/>
          </w:tcPr>
          <w:p w14:paraId="0C4657E9">
            <w:pPr>
              <w:spacing w:after="0" w:line="360" w:lineRule="auto"/>
              <w:jc w:val="left"/>
            </w:pPr>
            <w:r>
              <w:rPr>
                <w:rFonts w:ascii="仿宋" w:hAnsi="仿宋" w:eastAsia="仿宋"/>
                <w:b w:val="0"/>
                <w:sz w:val="21"/>
              </w:rPr>
              <w:t>枢纽车站高质量数据集验证及场景智能体技术开发研究与示范应用</w:t>
            </w:r>
          </w:p>
        </w:tc>
      </w:tr>
      <w:tr w14:paraId="44E5C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14:paraId="266839E9">
            <w:pPr>
              <w:spacing w:after="0" w:line="360" w:lineRule="auto"/>
              <w:jc w:val="left"/>
            </w:pPr>
            <w:r>
              <w:rPr>
                <w:rFonts w:ascii="仿宋" w:hAnsi="仿宋" w:eastAsia="仿宋"/>
                <w:b/>
                <w:sz w:val="21"/>
              </w:rPr>
              <w:t>报价总价（元）</w:t>
            </w:r>
          </w:p>
        </w:tc>
        <w:tc>
          <w:tcPr>
            <w:tcW w:w="5669" w:type="dxa"/>
          </w:tcPr>
          <w:p w14:paraId="0CCEF893">
            <w:pPr>
              <w:spacing w:after="0" w:line="360" w:lineRule="auto"/>
              <w:jc w:val="left"/>
            </w:pPr>
            <w:r>
              <w:rPr>
                <w:rFonts w:ascii="仿宋" w:hAnsi="仿宋" w:eastAsia="仿宋"/>
                <w:b w:val="0"/>
                <w:sz w:val="21"/>
              </w:rPr>
              <w:t>人民币：           元（大写：                    ）</w:t>
            </w:r>
          </w:p>
        </w:tc>
      </w:tr>
      <w:tr w14:paraId="1FD66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14:paraId="7FD1D57B">
            <w:pPr>
              <w:spacing w:after="0" w:line="360" w:lineRule="auto"/>
              <w:jc w:val="left"/>
            </w:pPr>
            <w:r>
              <w:rPr>
                <w:rFonts w:ascii="仿宋" w:hAnsi="仿宋" w:eastAsia="仿宋"/>
                <w:b/>
                <w:sz w:val="21"/>
              </w:rPr>
              <w:t>工期</w:t>
            </w:r>
          </w:p>
        </w:tc>
        <w:tc>
          <w:tcPr>
            <w:tcW w:w="5669" w:type="dxa"/>
          </w:tcPr>
          <w:p w14:paraId="29266D77">
            <w:pPr>
              <w:spacing w:after="0" w:line="360" w:lineRule="auto"/>
              <w:jc w:val="left"/>
            </w:pPr>
            <w:r>
              <w:rPr>
                <w:rFonts w:ascii="仿宋" w:hAnsi="仿宋" w:eastAsia="仿宋"/>
                <w:b w:val="0"/>
                <w:sz w:val="21"/>
              </w:rPr>
              <w:t>2026年7月至2026年10月，共计4个月</w:t>
            </w:r>
          </w:p>
        </w:tc>
      </w:tr>
    </w:tbl>
    <w:p w14:paraId="7E5DF4BD">
      <w:pPr>
        <w:jc w:val="left"/>
      </w:pPr>
      <w:r>
        <w:rPr>
          <w:rFonts w:ascii="仿宋" w:hAnsi="仿宋" w:eastAsia="仿宋"/>
          <w:b/>
          <w:sz w:val="28"/>
        </w:rPr>
        <w:t>一、我方承诺：</w:t>
      </w:r>
    </w:p>
    <w:p w14:paraId="409A86F3">
      <w:pPr>
        <w:jc w:val="left"/>
      </w:pPr>
      <w:r>
        <w:rPr>
          <w:rFonts w:ascii="仿宋" w:hAnsi="仿宋" w:eastAsia="仿宋"/>
          <w:b w:val="0"/>
          <w:sz w:val="28"/>
        </w:rPr>
        <w:t>1. 我方愿意按照比选文件邀请函中规定的条款和条件进行报价。</w:t>
      </w:r>
    </w:p>
    <w:p w14:paraId="553D3B46">
      <w:pPr>
        <w:jc w:val="left"/>
      </w:pPr>
      <w:r>
        <w:rPr>
          <w:rFonts w:ascii="仿宋" w:hAnsi="仿宋" w:eastAsia="仿宋"/>
          <w:b w:val="0"/>
          <w:sz w:val="28"/>
        </w:rPr>
        <w:t>2. 我方所提交的全部比选文件资料均为真实、有效。</w:t>
      </w:r>
    </w:p>
    <w:p w14:paraId="558043B2">
      <w:pPr>
        <w:jc w:val="left"/>
      </w:pPr>
      <w:r>
        <w:rPr>
          <w:rFonts w:ascii="仿宋" w:hAnsi="仿宋" w:eastAsia="仿宋"/>
          <w:b w:val="0"/>
          <w:sz w:val="28"/>
        </w:rPr>
        <w:t>3. 若我方中选，我方将在规定时间内签订合同，并严格履行合同义务。</w:t>
      </w:r>
    </w:p>
    <w:p w14:paraId="4CBC050F">
      <w:pPr>
        <w:jc w:val="left"/>
      </w:pPr>
      <w:r>
        <w:rPr>
          <w:rFonts w:ascii="仿宋" w:hAnsi="仿宋" w:eastAsia="仿宋"/>
          <w:b/>
          <w:sz w:val="28"/>
        </w:rPr>
        <w:t>二、报价说明：</w:t>
      </w:r>
    </w:p>
    <w:p w14:paraId="10A2E2F1">
      <w:pPr>
        <w:jc w:val="left"/>
      </w:pPr>
      <w:r>
        <w:rPr>
          <w:rFonts w:ascii="仿宋" w:hAnsi="仿宋" w:eastAsia="仿宋"/>
          <w:b w:val="0"/>
          <w:sz w:val="28"/>
        </w:rPr>
        <w:t>1. 本报价为完成本项目全部工作的总价包干报价，</w:t>
      </w:r>
      <w:r>
        <w:rPr>
          <w:rFonts w:hint="eastAsia" w:ascii="仿宋" w:hAnsi="仿宋" w:eastAsia="仿宋"/>
          <w:b w:val="0"/>
          <w:sz w:val="28"/>
        </w:rPr>
        <w:t>包含人工、技术、服务、设备、算力、测试、评审、管理、税费等一切费用</w:t>
      </w:r>
      <w:r>
        <w:rPr>
          <w:rFonts w:ascii="仿宋" w:hAnsi="仿宋" w:eastAsia="仿宋"/>
          <w:b w:val="0"/>
          <w:sz w:val="28"/>
        </w:rPr>
        <w:t>。</w:t>
      </w:r>
    </w:p>
    <w:p w14:paraId="0762F595">
      <w:pPr>
        <w:jc w:val="left"/>
      </w:pPr>
      <w:r>
        <w:rPr>
          <w:rFonts w:ascii="仿宋" w:hAnsi="仿宋" w:eastAsia="仿宋"/>
          <w:b w:val="0"/>
          <w:sz w:val="28"/>
        </w:rPr>
        <w:t>2. 我方已充分了解项目需求及现场条件，报价已充分考虑各种风险因素。</w:t>
      </w:r>
    </w:p>
    <w:p w14:paraId="1B1ED951">
      <w:pPr>
        <w:jc w:val="left"/>
      </w:pPr>
      <w:r>
        <w:rPr>
          <w:rFonts w:ascii="仿宋" w:hAnsi="仿宋" w:eastAsia="仿宋"/>
          <w:b w:val="0"/>
          <w:sz w:val="28"/>
        </w:rPr>
        <w:t>3. 我方承诺报价在比选有效期内有效。</w:t>
      </w:r>
    </w:p>
    <w:p w14:paraId="515538FD">
      <w:pPr>
        <w:jc w:val="left"/>
      </w:pPr>
      <w:r>
        <w:rPr>
          <w:rFonts w:ascii="仿宋" w:hAnsi="仿宋" w:eastAsia="仿宋"/>
          <w:b w:val="0"/>
          <w:sz w:val="28"/>
        </w:rPr>
        <w:t>4. 如我方中选，承诺在收到中选通知后     日内与甲方签订合同。</w:t>
      </w:r>
    </w:p>
    <w:p w14:paraId="5A7FEE5D"/>
    <w:p w14:paraId="3012B36F"/>
    <w:p w14:paraId="57811368">
      <w:pPr>
        <w:jc w:val="left"/>
      </w:pPr>
      <w:r>
        <w:rPr>
          <w:rFonts w:ascii="仿宋" w:hAnsi="仿宋" w:eastAsia="仿宋"/>
          <w:b w:val="0"/>
          <w:sz w:val="28"/>
        </w:rPr>
        <w:t xml:space="preserve">比选被邀请人（盖章）：                           </w:t>
      </w:r>
    </w:p>
    <w:p w14:paraId="144CAEC9">
      <w:pPr>
        <w:jc w:val="left"/>
      </w:pPr>
      <w:r>
        <w:rPr>
          <w:rFonts w:ascii="仿宋" w:hAnsi="仿宋" w:eastAsia="仿宋"/>
          <w:b w:val="0"/>
          <w:sz w:val="28"/>
        </w:rPr>
        <w:t xml:space="preserve">法定代表人或委托代理人（签字）：                   </w:t>
      </w:r>
    </w:p>
    <w:p w14:paraId="7884C7C5">
      <w:pPr>
        <w:jc w:val="left"/>
      </w:pPr>
      <w:r>
        <w:rPr>
          <w:rFonts w:ascii="仿宋" w:hAnsi="仿宋" w:eastAsia="仿宋"/>
          <w:b w:val="0"/>
          <w:sz w:val="28"/>
        </w:rPr>
        <w:t>日期：      年    月    日</w:t>
      </w:r>
    </w:p>
    <w:p w14:paraId="7F1E6952">
      <w:r>
        <w:br w:type="page"/>
      </w:r>
    </w:p>
    <w:p w14:paraId="4B9445F2">
      <w:pPr>
        <w:jc w:val="left"/>
        <w:rPr>
          <w:rFonts w:ascii="黑体" w:hAnsi="黑体" w:eastAsia="黑体"/>
          <w:b/>
          <w:sz w:val="28"/>
        </w:rPr>
      </w:pPr>
      <w:r>
        <w:rPr>
          <w:rFonts w:ascii="黑体" w:hAnsi="黑体" w:eastAsia="黑体"/>
          <w:b/>
          <w:sz w:val="28"/>
        </w:rPr>
        <w:t>附件2</w:t>
      </w:r>
    </w:p>
    <w:p w14:paraId="37A0AC6D">
      <w:pPr>
        <w:jc w:val="center"/>
      </w:pPr>
      <w:r>
        <w:rPr>
          <w:rFonts w:ascii="Times New Roman" w:hAnsi="Times New Roman" w:eastAsia="方正仿宋_GBK" w:cs="Times New Roman"/>
          <w:sz w:val="32"/>
          <w:szCs w:val="32"/>
        </w:rPr>
        <w:t>法定代表人授权委托书</w:t>
      </w:r>
    </w:p>
    <w:p w14:paraId="1B9AAE0F">
      <w:pPr>
        <w:keepNext w:val="0"/>
        <w:keepLines w:val="0"/>
        <w:pageBreakBefore w:val="0"/>
        <w:widowControl/>
        <w:kinsoku/>
        <w:wordWrap/>
        <w:overflowPunct/>
        <w:topLinePunct w:val="0"/>
        <w:autoSpaceDE/>
        <w:autoSpaceDN/>
        <w:bidi w:val="0"/>
        <w:adjustRightInd w:val="0"/>
        <w:snapToGrid w:val="0"/>
        <w:spacing w:beforeAutospacing="0" w:after="0" w:afterAutospacing="0" w:line="600" w:lineRule="exact"/>
        <w:jc w:val="left"/>
        <w:textAlignment w:val="bottom"/>
        <w:rPr>
          <w:rFonts w:ascii="Times New Roman" w:hAnsi="Times New Roman" w:eastAsia="方正仿宋_GBK" w:cs="Times New Roman"/>
          <w:bCs/>
          <w:kern w:val="0"/>
          <w:sz w:val="32"/>
          <w:szCs w:val="32"/>
        </w:rPr>
      </w:pPr>
      <w:r>
        <w:rPr>
          <w:rFonts w:ascii="Times New Roman" w:hAnsi="Times New Roman" w:eastAsia="方正仿宋_GBK" w:cs="Times New Roman"/>
          <w:bCs/>
          <w:kern w:val="0"/>
          <w:sz w:val="32"/>
          <w:szCs w:val="32"/>
        </w:rPr>
        <w:t xml:space="preserve">   本授权书声明：注册于</w:t>
      </w:r>
      <w:r>
        <w:rPr>
          <w:rFonts w:ascii="Times New Roman" w:hAnsi="Times New Roman" w:eastAsia="方正仿宋_GBK" w:cs="Times New Roman"/>
          <w:bCs/>
          <w:kern w:val="0"/>
          <w:sz w:val="32"/>
          <w:szCs w:val="32"/>
          <w:u w:val="single"/>
        </w:rPr>
        <w:t>                       （注册地址）</w:t>
      </w:r>
      <w:r>
        <w:rPr>
          <w:rFonts w:ascii="Times New Roman" w:hAnsi="Times New Roman" w:eastAsia="方正仿宋_GBK" w:cs="Times New Roman"/>
          <w:bCs/>
          <w:kern w:val="0"/>
          <w:sz w:val="32"/>
          <w:szCs w:val="32"/>
        </w:rPr>
        <w:t>的</w:t>
      </w:r>
      <w:r>
        <w:rPr>
          <w:rFonts w:ascii="Times New Roman" w:hAnsi="Times New Roman" w:eastAsia="方正仿宋_GBK" w:cs="Times New Roman"/>
          <w:bCs/>
          <w:kern w:val="0"/>
          <w:sz w:val="32"/>
          <w:szCs w:val="32"/>
          <w:u w:val="single"/>
        </w:rPr>
        <w:t>                    （公司名称）</w:t>
      </w:r>
      <w:r>
        <w:rPr>
          <w:rFonts w:ascii="Times New Roman" w:hAnsi="Times New Roman" w:eastAsia="方正仿宋_GBK" w:cs="Times New Roman"/>
          <w:bCs/>
          <w:kern w:val="0"/>
          <w:sz w:val="32"/>
          <w:szCs w:val="32"/>
        </w:rPr>
        <w:t>公司的在下面签字的</w:t>
      </w:r>
      <w:r>
        <w:rPr>
          <w:rFonts w:ascii="Times New Roman" w:hAnsi="Times New Roman" w:eastAsia="方正仿宋_GBK" w:cs="Times New Roman"/>
          <w:bCs/>
          <w:kern w:val="0"/>
          <w:sz w:val="32"/>
          <w:szCs w:val="32"/>
          <w:u w:val="single"/>
        </w:rPr>
        <w:t xml:space="preserve">         </w:t>
      </w:r>
      <w:r>
        <w:rPr>
          <w:rFonts w:ascii="Times New Roman" w:hAnsi="Times New Roman" w:eastAsia="方正仿宋_GBK" w:cs="Times New Roman"/>
          <w:bCs/>
          <w:kern w:val="0"/>
          <w:sz w:val="32"/>
          <w:szCs w:val="32"/>
        </w:rPr>
        <w:t>（法定代表人姓名、职务）代表本公司授权在下面签字的</w:t>
      </w:r>
      <w:r>
        <w:rPr>
          <w:rFonts w:ascii="Times New Roman" w:hAnsi="Times New Roman" w:eastAsia="方正仿宋_GBK" w:cs="Times New Roman"/>
          <w:bCs/>
          <w:i/>
          <w:iCs/>
          <w:kern w:val="0"/>
          <w:sz w:val="32"/>
          <w:szCs w:val="32"/>
          <w:u w:val="single"/>
        </w:rPr>
        <w:t xml:space="preserve">      </w:t>
      </w:r>
      <w:r>
        <w:rPr>
          <w:rFonts w:hint="default" w:ascii="Times New Roman" w:hAnsi="Times New Roman" w:eastAsia="方正仿宋_GBK" w:cs="Times New Roman"/>
          <w:bCs/>
          <w:i w:val="0"/>
          <w:iCs w:val="0"/>
          <w:kern w:val="0"/>
          <w:sz w:val="32"/>
          <w:szCs w:val="32"/>
          <w:u w:val="none"/>
          <w:lang w:eastAsia="zh-CN"/>
        </w:rPr>
        <w:t>（</w:t>
      </w:r>
      <w:r>
        <w:rPr>
          <w:rFonts w:ascii="Times New Roman" w:hAnsi="Times New Roman" w:eastAsia="方正仿宋_GBK" w:cs="Times New Roman"/>
          <w:bCs/>
          <w:kern w:val="0"/>
          <w:sz w:val="32"/>
          <w:szCs w:val="32"/>
        </w:rPr>
        <w:t>被授权人的姓名、职务）为本公司的合法代理人，就</w:t>
      </w:r>
      <w:r>
        <w:rPr>
          <w:rFonts w:ascii="Times New Roman" w:hAnsi="Times New Roman" w:eastAsia="方正仿宋_GBK" w:cs="Times New Roman"/>
          <w:bCs/>
          <w:kern w:val="0"/>
          <w:sz w:val="32"/>
          <w:szCs w:val="32"/>
          <w:u w:val="single"/>
        </w:rPr>
        <w:t xml:space="preserve">         </w:t>
      </w:r>
      <w:r>
        <w:rPr>
          <w:rFonts w:ascii="Times New Roman" w:hAnsi="Times New Roman" w:eastAsia="方正仿宋_GBK" w:cs="Times New Roman"/>
          <w:bCs/>
          <w:kern w:val="0"/>
          <w:sz w:val="32"/>
          <w:szCs w:val="32"/>
        </w:rPr>
        <w:t>项目的报价以及合同的谈判、签约、执行、完成等全权负责，以本公司名义处理一切与之有关的事务。</w:t>
      </w:r>
    </w:p>
    <w:p w14:paraId="56C49524">
      <w:pPr>
        <w:keepNext w:val="0"/>
        <w:keepLines w:val="0"/>
        <w:pageBreakBefore w:val="0"/>
        <w:widowControl/>
        <w:kinsoku/>
        <w:wordWrap/>
        <w:overflowPunct/>
        <w:topLinePunct w:val="0"/>
        <w:autoSpaceDE/>
        <w:autoSpaceDN/>
        <w:bidi w:val="0"/>
        <w:adjustRightInd w:val="0"/>
        <w:snapToGrid w:val="0"/>
        <w:spacing w:beforeAutospacing="0" w:after="0" w:afterAutospacing="0" w:line="600" w:lineRule="exact"/>
        <w:ind w:firstLine="640" w:firstLineChars="200"/>
        <w:jc w:val="left"/>
        <w:textAlignment w:val="bottom"/>
        <w:rPr>
          <w:rFonts w:ascii="Times New Roman" w:hAnsi="Times New Roman" w:eastAsia="方正仿宋_GBK" w:cs="Times New Roman"/>
          <w:bCs/>
          <w:kern w:val="0"/>
          <w:sz w:val="32"/>
          <w:szCs w:val="32"/>
        </w:rPr>
      </w:pPr>
      <w:r>
        <w:rPr>
          <w:rFonts w:ascii="Times New Roman" w:hAnsi="Times New Roman" w:eastAsia="方正仿宋_GBK" w:cs="Times New Roman"/>
          <w:bCs/>
          <w:kern w:val="0"/>
          <w:sz w:val="32"/>
          <w:szCs w:val="32"/>
        </w:rPr>
        <w:t>本授权书于    年   月   日签字生效，特此声明。</w:t>
      </w:r>
    </w:p>
    <w:p w14:paraId="6EE31D3D">
      <w:pPr>
        <w:keepNext w:val="0"/>
        <w:keepLines w:val="0"/>
        <w:pageBreakBefore w:val="0"/>
        <w:widowControl/>
        <w:kinsoku/>
        <w:wordWrap/>
        <w:overflowPunct/>
        <w:topLinePunct w:val="0"/>
        <w:autoSpaceDE/>
        <w:autoSpaceDN/>
        <w:bidi w:val="0"/>
        <w:adjustRightInd w:val="0"/>
        <w:snapToGrid w:val="0"/>
        <w:spacing w:beforeAutospacing="0" w:after="0" w:afterAutospacing="0" w:line="600" w:lineRule="exact"/>
        <w:jc w:val="left"/>
        <w:textAlignment w:val="bottom"/>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 xml:space="preserve">报价单位名称（盖章）：          </w:t>
      </w:r>
    </w:p>
    <w:p w14:paraId="50DABA87">
      <w:pPr>
        <w:keepNext w:val="0"/>
        <w:keepLines w:val="0"/>
        <w:pageBreakBefore w:val="0"/>
        <w:widowControl/>
        <w:kinsoku/>
        <w:wordWrap/>
        <w:overflowPunct/>
        <w:topLinePunct w:val="0"/>
        <w:autoSpaceDE/>
        <w:autoSpaceDN/>
        <w:bidi w:val="0"/>
        <w:adjustRightInd w:val="0"/>
        <w:snapToGrid w:val="0"/>
        <w:spacing w:beforeAutospacing="0" w:after="0" w:afterAutospacing="0" w:line="600" w:lineRule="exact"/>
        <w:jc w:val="left"/>
        <w:textAlignment w:val="bottom"/>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报价单位地址：</w:t>
      </w:r>
    </w:p>
    <w:p w14:paraId="42E2FC0E">
      <w:pPr>
        <w:keepNext w:val="0"/>
        <w:keepLines w:val="0"/>
        <w:pageBreakBefore w:val="0"/>
        <w:widowControl/>
        <w:kinsoku/>
        <w:wordWrap/>
        <w:overflowPunct/>
        <w:topLinePunct w:val="0"/>
        <w:autoSpaceDE/>
        <w:autoSpaceDN/>
        <w:bidi w:val="0"/>
        <w:adjustRightInd w:val="0"/>
        <w:snapToGrid w:val="0"/>
        <w:spacing w:beforeAutospacing="0" w:after="0" w:afterAutospacing="0" w:line="600" w:lineRule="exact"/>
        <w:jc w:val="left"/>
        <w:textAlignment w:val="bottom"/>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 xml:space="preserve">授权人（法定代表人）签字：                     </w:t>
      </w:r>
    </w:p>
    <w:p w14:paraId="4751C145">
      <w:pPr>
        <w:keepNext w:val="0"/>
        <w:keepLines w:val="0"/>
        <w:pageBreakBefore w:val="0"/>
        <w:widowControl/>
        <w:kinsoku/>
        <w:wordWrap/>
        <w:overflowPunct/>
        <w:topLinePunct w:val="0"/>
        <w:autoSpaceDE/>
        <w:autoSpaceDN/>
        <w:bidi w:val="0"/>
        <w:adjustRightInd w:val="0"/>
        <w:snapToGrid w:val="0"/>
        <w:spacing w:beforeAutospacing="0" w:after="0" w:afterAutospacing="0" w:line="600" w:lineRule="exact"/>
        <w:jc w:val="left"/>
        <w:textAlignment w:val="bottom"/>
        <w:rPr>
          <w:rFonts w:ascii="Times New Roman" w:hAnsi="Times New Roman" w:eastAsia="方正仿宋_GBK" w:cs="Times New Roman"/>
          <w:bCs/>
          <w:kern w:val="0"/>
          <w:sz w:val="32"/>
          <w:szCs w:val="32"/>
        </w:rPr>
      </w:pPr>
      <w:r>
        <w:rPr>
          <w:rFonts w:ascii="Times New Roman" w:hAnsi="Times New Roman" w:eastAsia="方正仿宋_GBK" w:cs="Times New Roman"/>
          <w:b/>
          <w:kern w:val="0"/>
          <w:sz w:val="32"/>
          <w:szCs w:val="32"/>
        </w:rPr>
        <mc:AlternateContent>
          <mc:Choice Requires="wps">
            <w:drawing>
              <wp:anchor distT="0" distB="0" distL="114300" distR="114300" simplePos="0" relativeHeight="251660288" behindDoc="0" locked="0" layoutInCell="1" allowOverlap="1">
                <wp:simplePos x="0" y="0"/>
                <wp:positionH relativeFrom="column">
                  <wp:posOffset>2581910</wp:posOffset>
                </wp:positionH>
                <wp:positionV relativeFrom="paragraph">
                  <wp:posOffset>556895</wp:posOffset>
                </wp:positionV>
                <wp:extent cx="2877185" cy="2278380"/>
                <wp:effectExtent l="4445" t="4445" r="13970" b="22225"/>
                <wp:wrapNone/>
                <wp:docPr id="2" name="文本框 2"/>
                <wp:cNvGraphicFramePr/>
                <a:graphic xmlns:a="http://schemas.openxmlformats.org/drawingml/2006/main">
                  <a:graphicData uri="http://schemas.microsoft.com/office/word/2010/wordprocessingShape">
                    <wps:wsp>
                      <wps:cNvSpPr txBox="1"/>
                      <wps:spPr>
                        <a:xfrm>
                          <a:off x="0" y="0"/>
                          <a:ext cx="2971800" cy="22783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C1A873C">
                            <w:pPr>
                              <w:rPr>
                                <w:rFonts w:ascii="仿宋_GB2312" w:hAnsi="仿宋_GB2312" w:eastAsia="仿宋_GB2312" w:cs="仿宋_GB2312"/>
                              </w:rPr>
                            </w:pPr>
                            <w:r>
                              <w:rPr>
                                <w:rFonts w:hint="eastAsia" w:ascii="仿宋_GB2312" w:hAnsi="仿宋_GB2312" w:eastAsia="仿宋_GB2312" w:cs="仿宋_GB2312"/>
                              </w:rPr>
                              <w:t>被授权人身份证复印件</w:t>
                            </w:r>
                            <w:r>
                              <w:rPr>
                                <w:rFonts w:hint="eastAsia" w:ascii="仿宋_GB2312" w:hAnsi="仿宋_GB2312" w:eastAsia="仿宋_GB2312" w:cs="仿宋_GB2312"/>
                                <w:lang w:eastAsia="zh-CN"/>
                              </w:rPr>
                              <w:t>（正反面）</w:t>
                            </w:r>
                          </w:p>
                          <w:p w14:paraId="594EAAAF">
                            <w:pPr>
                              <w:rPr>
                                <w:rFonts w:ascii="仿宋_GB2312" w:hAnsi="仿宋_GB2312" w:eastAsia="仿宋_GB2312" w:cs="仿宋_GB2312"/>
                              </w:rPr>
                            </w:pPr>
                          </w:p>
                          <w:p w14:paraId="69E582B3"/>
                        </w:txbxContent>
                      </wps:txbx>
                      <wps:bodyPr upright="1"/>
                    </wps:wsp>
                  </a:graphicData>
                </a:graphic>
              </wp:anchor>
            </w:drawing>
          </mc:Choice>
          <mc:Fallback>
            <w:pict>
              <v:shape id="_x0000_s1026" o:spid="_x0000_s1026" o:spt="202" type="#_x0000_t202" style="position:absolute;left:0pt;margin-left:203.3pt;margin-top:43.85pt;height:179.4pt;width:226.55pt;z-index:251660288;mso-width-relative:page;mso-height-relative:page;" fillcolor="#FFFFFF" filled="t" stroked="t" coordsize="21600,21600" o:gfxdata="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BOlzinZAAAACgEAAA8AAAAA&#10;AAAAAQAgAAAAIgAAAGRycy9kb3ducmV2LnhtbFBLAQIUABQAAAAIAIdO4kBbgvovEwIAAEUEAAAO&#10;AAAAAAAAAAEAIAAAACgBAABkcnMvZTJvRG9jLnhtbFBLBQYAAAAABgAGAFkBAACtBQAAAAA=&#10;">
                <v:fill on="t" focussize="0,0"/>
                <v:stroke color="#000000" joinstyle="miter"/>
                <v:imagedata o:title=""/>
                <o:lock v:ext="edit" aspectratio="f"/>
                <v:textbox>
                  <w:txbxContent>
                    <w:p w14:paraId="6C1A873C">
                      <w:pPr>
                        <w:rPr>
                          <w:rFonts w:ascii="仿宋_GB2312" w:hAnsi="仿宋_GB2312" w:eastAsia="仿宋_GB2312" w:cs="仿宋_GB2312"/>
                        </w:rPr>
                      </w:pPr>
                      <w:r>
                        <w:rPr>
                          <w:rFonts w:hint="eastAsia" w:ascii="仿宋_GB2312" w:hAnsi="仿宋_GB2312" w:eastAsia="仿宋_GB2312" w:cs="仿宋_GB2312"/>
                        </w:rPr>
                        <w:t>被授权人身份证复印件</w:t>
                      </w:r>
                      <w:r>
                        <w:rPr>
                          <w:rFonts w:hint="eastAsia" w:ascii="仿宋_GB2312" w:hAnsi="仿宋_GB2312" w:eastAsia="仿宋_GB2312" w:cs="仿宋_GB2312"/>
                          <w:lang w:eastAsia="zh-CN"/>
                        </w:rPr>
                        <w:t>（正反面）</w:t>
                      </w:r>
                    </w:p>
                    <w:p w14:paraId="594EAAAF">
                      <w:pPr>
                        <w:rPr>
                          <w:rFonts w:ascii="仿宋_GB2312" w:hAnsi="仿宋_GB2312" w:eastAsia="仿宋_GB2312" w:cs="仿宋_GB2312"/>
                        </w:rPr>
                      </w:pPr>
                    </w:p>
                    <w:p w14:paraId="69E582B3"/>
                  </w:txbxContent>
                </v:textbox>
              </v:shape>
            </w:pict>
          </mc:Fallback>
        </mc:AlternateContent>
      </w:r>
      <w:r>
        <w:rPr>
          <w:rFonts w:ascii="Times New Roman" w:hAnsi="Times New Roman" w:eastAsia="方正仿宋_GBK" w:cs="Times New Roman"/>
          <w:b/>
          <w:kern w:val="0"/>
          <w:sz w:val="32"/>
          <w:szCs w:val="32"/>
        </w:rPr>
        <mc:AlternateContent>
          <mc:Choice Requires="wps">
            <w:drawing>
              <wp:anchor distT="0" distB="0" distL="114300" distR="114300" simplePos="0" relativeHeight="251659264" behindDoc="0" locked="0" layoutInCell="1" allowOverlap="1">
                <wp:simplePos x="0" y="0"/>
                <wp:positionH relativeFrom="column">
                  <wp:posOffset>-447675</wp:posOffset>
                </wp:positionH>
                <wp:positionV relativeFrom="paragraph">
                  <wp:posOffset>537845</wp:posOffset>
                </wp:positionV>
                <wp:extent cx="2857500" cy="2278380"/>
                <wp:effectExtent l="4445" t="5080" r="14605" b="21590"/>
                <wp:wrapNone/>
                <wp:docPr id="3" name="文本框 3"/>
                <wp:cNvGraphicFramePr/>
                <a:graphic xmlns:a="http://schemas.openxmlformats.org/drawingml/2006/main">
                  <a:graphicData uri="http://schemas.microsoft.com/office/word/2010/wordprocessingShape">
                    <wps:wsp>
                      <wps:cNvSpPr txBox="1"/>
                      <wps:spPr>
                        <a:xfrm>
                          <a:off x="0" y="0"/>
                          <a:ext cx="2857500" cy="22783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A7CDA65">
                            <w:pPr>
                              <w:rPr>
                                <w:rFonts w:ascii="仿宋_GB2312" w:hAnsi="仿宋_GB2312" w:eastAsia="仿宋_GB2312" w:cs="仿宋_GB2312"/>
                              </w:rPr>
                            </w:pPr>
                            <w:r>
                              <w:rPr>
                                <w:rFonts w:hint="eastAsia" w:ascii="仿宋_GB2312" w:hAnsi="仿宋_GB2312" w:eastAsia="仿宋_GB2312" w:cs="仿宋_GB2312"/>
                              </w:rPr>
                              <w:t>授权人身份证复印件</w:t>
                            </w:r>
                            <w:r>
                              <w:rPr>
                                <w:rFonts w:hint="eastAsia" w:ascii="仿宋_GB2312" w:hAnsi="仿宋_GB2312" w:eastAsia="仿宋_GB2312" w:cs="仿宋_GB2312"/>
                                <w:lang w:eastAsia="zh-CN"/>
                              </w:rPr>
                              <w:t>（正反面）</w:t>
                            </w:r>
                          </w:p>
                        </w:txbxContent>
                      </wps:txbx>
                      <wps:bodyPr upright="1"/>
                    </wps:wsp>
                  </a:graphicData>
                </a:graphic>
              </wp:anchor>
            </w:drawing>
          </mc:Choice>
          <mc:Fallback>
            <w:pict>
              <v:shape id="_x0000_s1026" o:spid="_x0000_s1026" o:spt="202" type="#_x0000_t202" style="position:absolute;left:0pt;margin-left:-35.25pt;margin-top:42.35pt;height:179.4pt;width:225pt;z-index:251659264;mso-width-relative:page;mso-height-relative:page;" fillcolor="#FFFFFF" filled="t" stroked="t" coordsize="21600,21600" o:gfxdata="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FssxfZAAAACgEAAA8AAAAA&#10;AAAAAQAgAAAAIgAAAGRycy9kb3ducmV2LnhtbFBLAQIUABQAAAAIAIdO4kC45EpvEwIAAEUEAAAO&#10;AAAAAAAAAAEAIAAAACgBAABkcnMvZTJvRG9jLnhtbFBLBQYAAAAABgAGAFkBAACtBQAAAAA=&#10;">
                <v:fill on="t" focussize="0,0"/>
                <v:stroke color="#000000" joinstyle="miter"/>
                <v:imagedata o:title=""/>
                <o:lock v:ext="edit" aspectratio="f"/>
                <v:textbox>
                  <w:txbxContent>
                    <w:p w14:paraId="2A7CDA65">
                      <w:pPr>
                        <w:rPr>
                          <w:rFonts w:ascii="仿宋_GB2312" w:hAnsi="仿宋_GB2312" w:eastAsia="仿宋_GB2312" w:cs="仿宋_GB2312"/>
                        </w:rPr>
                      </w:pPr>
                      <w:r>
                        <w:rPr>
                          <w:rFonts w:hint="eastAsia" w:ascii="仿宋_GB2312" w:hAnsi="仿宋_GB2312" w:eastAsia="仿宋_GB2312" w:cs="仿宋_GB2312"/>
                        </w:rPr>
                        <w:t>授权人身份证复印件</w:t>
                      </w:r>
                      <w:r>
                        <w:rPr>
                          <w:rFonts w:hint="eastAsia" w:ascii="仿宋_GB2312" w:hAnsi="仿宋_GB2312" w:eastAsia="仿宋_GB2312" w:cs="仿宋_GB2312"/>
                          <w:lang w:eastAsia="zh-CN"/>
                        </w:rPr>
                        <w:t>（正反面）</w:t>
                      </w:r>
                    </w:p>
                  </w:txbxContent>
                </v:textbox>
              </v:shape>
            </w:pict>
          </mc:Fallback>
        </mc:AlternateContent>
      </w:r>
      <w:r>
        <w:rPr>
          <w:rFonts w:ascii="Times New Roman" w:hAnsi="Times New Roman" w:eastAsia="方正仿宋_GBK" w:cs="Times New Roman"/>
          <w:kern w:val="0"/>
          <w:sz w:val="32"/>
          <w:szCs w:val="32"/>
        </w:rPr>
        <w:t>被授权人（代理人）签字：   </w:t>
      </w:r>
    </w:p>
    <w:p w14:paraId="41CA3B1F">
      <w:pPr>
        <w:widowControl/>
        <w:snapToGrid w:val="0"/>
        <w:spacing w:before="100" w:beforeAutospacing="1" w:after="100" w:afterAutospacing="1" w:line="600" w:lineRule="exact"/>
        <w:ind w:firstLine="480"/>
        <w:jc w:val="left"/>
        <w:textAlignment w:val="bottom"/>
        <w:rPr>
          <w:rFonts w:ascii="Times New Roman" w:hAnsi="Times New Roman" w:eastAsia="方正仿宋_GBK" w:cs="Times New Roman"/>
          <w:b/>
          <w:kern w:val="0"/>
          <w:sz w:val="32"/>
          <w:szCs w:val="32"/>
        </w:rPr>
      </w:pPr>
    </w:p>
    <w:p w14:paraId="0FEC3D7E">
      <w:pPr>
        <w:widowControl/>
        <w:snapToGrid w:val="0"/>
        <w:spacing w:before="100" w:beforeAutospacing="1" w:after="100" w:afterAutospacing="1" w:line="600" w:lineRule="exact"/>
        <w:ind w:firstLine="480"/>
        <w:jc w:val="left"/>
        <w:textAlignment w:val="bottom"/>
        <w:rPr>
          <w:rFonts w:ascii="Times New Roman" w:hAnsi="Times New Roman" w:eastAsia="方正仿宋_GBK" w:cs="Times New Roman"/>
          <w:b/>
          <w:kern w:val="0"/>
          <w:sz w:val="32"/>
          <w:szCs w:val="32"/>
        </w:rPr>
      </w:pPr>
    </w:p>
    <w:p w14:paraId="78E9C966">
      <w:pPr>
        <w:widowControl/>
        <w:snapToGrid w:val="0"/>
        <w:spacing w:before="100" w:beforeAutospacing="1" w:after="100" w:afterAutospacing="1" w:line="600" w:lineRule="exact"/>
        <w:ind w:firstLine="480"/>
        <w:jc w:val="left"/>
        <w:textAlignment w:val="bottom"/>
        <w:rPr>
          <w:rFonts w:ascii="Times New Roman" w:hAnsi="Times New Roman" w:eastAsia="方正仿宋_GBK" w:cs="Times New Roman"/>
          <w:b/>
          <w:kern w:val="0"/>
          <w:sz w:val="32"/>
          <w:szCs w:val="32"/>
        </w:rPr>
      </w:pPr>
    </w:p>
    <w:p w14:paraId="62EE7CCC">
      <w:pPr>
        <w:widowControl/>
        <w:snapToGrid w:val="0"/>
        <w:spacing w:before="100" w:beforeAutospacing="1" w:after="100" w:afterAutospacing="1" w:line="600" w:lineRule="exact"/>
        <w:ind w:firstLine="480"/>
        <w:jc w:val="left"/>
        <w:textAlignment w:val="bottom"/>
        <w:rPr>
          <w:rFonts w:ascii="Times New Roman" w:hAnsi="Times New Roman" w:eastAsia="方正仿宋_GBK" w:cs="Times New Roman"/>
          <w:b/>
          <w:kern w:val="0"/>
          <w:sz w:val="32"/>
          <w:szCs w:val="32"/>
        </w:rPr>
      </w:pPr>
      <w:r>
        <w:rPr>
          <w:rFonts w:ascii="Times New Roman" w:hAnsi="Times New Roman" w:eastAsia="方正仿宋_GBK" w:cs="Times New Roman"/>
          <w:b/>
          <w:kern w:val="0"/>
          <w:sz w:val="32"/>
          <w:szCs w:val="32"/>
        </w:rPr>
        <w:t> </w:t>
      </w:r>
    </w:p>
    <w:p w14:paraId="77CF11A2">
      <w:pPr>
        <w:widowControl/>
        <w:spacing w:before="100" w:beforeAutospacing="1" w:after="100" w:afterAutospacing="1" w:line="600" w:lineRule="exact"/>
        <w:jc w:val="center"/>
        <w:rPr>
          <w:rFonts w:hint="eastAsia" w:ascii="Times New Roman" w:hAnsi="Times New Roman" w:eastAsia="方正仿宋_GBK" w:cs="Times New Roman"/>
          <w:b/>
          <w:kern w:val="0"/>
          <w:sz w:val="32"/>
          <w:szCs w:val="32"/>
          <w:lang w:eastAsia="zh-CN"/>
        </w:rPr>
      </w:pPr>
      <w:r>
        <w:rPr>
          <w:rFonts w:hint="eastAsia" w:cs="Times New Roman"/>
          <w:b/>
          <w:kern w:val="0"/>
          <w:sz w:val="32"/>
          <w:szCs w:val="32"/>
          <w:lang w:val="en-US" w:eastAsia="zh-CN"/>
        </w:rPr>
        <w:t>（注：</w:t>
      </w:r>
      <w:r>
        <w:rPr>
          <w:rFonts w:hint="eastAsia" w:ascii="Times New Roman" w:hAnsi="Times New Roman" w:eastAsia="方正仿宋_GBK" w:cs="Times New Roman"/>
          <w:b/>
          <w:kern w:val="0"/>
          <w:sz w:val="32"/>
          <w:szCs w:val="32"/>
        </w:rPr>
        <w:t>身份证复印件与本授权委托书不能分页，否则废标。</w:t>
      </w:r>
      <w:r>
        <w:rPr>
          <w:rFonts w:hint="eastAsia" w:cs="Times New Roman"/>
          <w:b/>
          <w:kern w:val="0"/>
          <w:sz w:val="32"/>
          <w:szCs w:val="32"/>
          <w:lang w:eastAsia="zh-CN"/>
        </w:rPr>
        <w:t>）</w:t>
      </w:r>
    </w:p>
    <w:p w14:paraId="7E3EDB9D">
      <w:r>
        <w:br w:type="page"/>
      </w:r>
    </w:p>
    <w:p w14:paraId="1350BE9A">
      <w:pPr>
        <w:jc w:val="center"/>
      </w:pPr>
      <w:r>
        <w:rPr>
          <w:rFonts w:ascii="黑体" w:hAnsi="黑体" w:eastAsia="黑体"/>
          <w:b/>
          <w:sz w:val="28"/>
        </w:rPr>
        <w:t>附件3</w:t>
      </w:r>
    </w:p>
    <w:p w14:paraId="3BD45F96">
      <w:pPr>
        <w:jc w:val="center"/>
      </w:pPr>
      <w:r>
        <w:rPr>
          <w:rFonts w:ascii="黑体" w:hAnsi="黑体" w:eastAsia="黑体"/>
          <w:b/>
          <w:sz w:val="32"/>
        </w:rPr>
        <w:t>营业执照</w:t>
      </w:r>
    </w:p>
    <w:p w14:paraId="2E007EEE"/>
    <w:p w14:paraId="2F0B052E">
      <w:pPr>
        <w:jc w:val="center"/>
      </w:pPr>
      <w:r>
        <w:rPr>
          <w:rFonts w:ascii="仿宋" w:hAnsi="仿宋" w:eastAsia="仿宋"/>
          <w:b w:val="0"/>
          <w:sz w:val="28"/>
        </w:rPr>
        <w:t>（比选被邀请人营业执照复印件，加盖比选被邀请人公章）</w:t>
      </w:r>
    </w:p>
    <w:p w14:paraId="06A1E873">
      <w:r>
        <w:br w:type="page"/>
      </w:r>
    </w:p>
    <w:p w14:paraId="39888E20">
      <w:pPr>
        <w:jc w:val="center"/>
      </w:pPr>
      <w:r>
        <w:rPr>
          <w:rFonts w:ascii="黑体" w:hAnsi="黑体" w:eastAsia="黑体"/>
          <w:b/>
          <w:sz w:val="28"/>
        </w:rPr>
        <w:t>附件4</w:t>
      </w:r>
    </w:p>
    <w:p w14:paraId="2093349A">
      <w:pPr>
        <w:jc w:val="center"/>
      </w:pPr>
      <w:r>
        <w:rPr>
          <w:rFonts w:ascii="黑体" w:hAnsi="黑体" w:eastAsia="黑体"/>
          <w:b/>
          <w:sz w:val="32"/>
        </w:rPr>
        <w:t>业绩证明材料</w:t>
      </w:r>
    </w:p>
    <w:p w14:paraId="025605F7"/>
    <w:p w14:paraId="0DF8C1B4">
      <w:pPr>
        <w:jc w:val="left"/>
      </w:pPr>
      <w:r>
        <w:rPr>
          <w:rFonts w:ascii="仿宋" w:hAnsi="仿宋" w:eastAsia="仿宋"/>
          <w:b w:val="0"/>
          <w:sz w:val="28"/>
        </w:rPr>
        <w:t>项目名称：枢纽车站高质量数据集验证及场景智能体技术开发研究与示范应用</w:t>
      </w:r>
    </w:p>
    <w:p w14:paraId="2A5DE1AF"/>
    <w:p w14:paraId="4145631B">
      <w:pPr>
        <w:jc w:val="center"/>
      </w:pPr>
      <w:r>
        <w:rPr>
          <w:rFonts w:ascii="仿宋" w:hAnsi="仿宋" w:eastAsia="仿宋"/>
          <w:b/>
          <w:sz w:val="28"/>
        </w:rPr>
        <w:t>比选被邀请人业绩情况表</w:t>
      </w:r>
    </w:p>
    <w:p w14:paraId="4BB66A44"/>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0"/>
        <w:gridCol w:w="1440"/>
        <w:gridCol w:w="1440"/>
        <w:gridCol w:w="1440"/>
        <w:gridCol w:w="1440"/>
        <w:gridCol w:w="1440"/>
      </w:tblGrid>
      <w:tr w14:paraId="1C95C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14:paraId="47F04651">
            <w:pPr>
              <w:spacing w:after="0" w:line="360" w:lineRule="auto"/>
              <w:jc w:val="left"/>
            </w:pPr>
            <w:r>
              <w:rPr>
                <w:rFonts w:ascii="仿宋" w:hAnsi="仿宋" w:eastAsia="仿宋"/>
                <w:b/>
                <w:sz w:val="20"/>
              </w:rPr>
              <w:t>序号</w:t>
            </w:r>
          </w:p>
        </w:tc>
        <w:tc>
          <w:tcPr>
            <w:tcW w:w="1440" w:type="dxa"/>
          </w:tcPr>
          <w:p w14:paraId="0FA2A5E2">
            <w:pPr>
              <w:spacing w:after="0" w:line="360" w:lineRule="auto"/>
              <w:jc w:val="left"/>
            </w:pPr>
            <w:r>
              <w:rPr>
                <w:rFonts w:ascii="仿宋" w:hAnsi="仿宋" w:eastAsia="仿宋"/>
                <w:b/>
                <w:sz w:val="20"/>
              </w:rPr>
              <w:t>项目名称</w:t>
            </w:r>
          </w:p>
        </w:tc>
        <w:tc>
          <w:tcPr>
            <w:tcW w:w="1440" w:type="dxa"/>
          </w:tcPr>
          <w:p w14:paraId="7F0AA1F7">
            <w:pPr>
              <w:spacing w:after="0" w:line="360" w:lineRule="auto"/>
              <w:jc w:val="left"/>
            </w:pPr>
            <w:r>
              <w:rPr>
                <w:rFonts w:ascii="仿宋" w:hAnsi="仿宋" w:eastAsia="仿宋"/>
                <w:b/>
                <w:sz w:val="20"/>
              </w:rPr>
              <w:t>合同金额</w:t>
            </w:r>
            <w:r>
              <w:rPr>
                <w:rFonts w:ascii="仿宋" w:hAnsi="仿宋" w:eastAsia="仿宋"/>
                <w:b/>
                <w:sz w:val="20"/>
              </w:rPr>
              <w:br w:type="textWrapping"/>
            </w:r>
            <w:r>
              <w:rPr>
                <w:rFonts w:ascii="仿宋" w:hAnsi="仿宋" w:eastAsia="仿宋"/>
                <w:b/>
                <w:sz w:val="20"/>
              </w:rPr>
              <w:t>（万元）</w:t>
            </w:r>
          </w:p>
        </w:tc>
        <w:tc>
          <w:tcPr>
            <w:tcW w:w="1440" w:type="dxa"/>
          </w:tcPr>
          <w:p w14:paraId="69BDF006">
            <w:pPr>
              <w:spacing w:after="0" w:line="360" w:lineRule="auto"/>
              <w:jc w:val="left"/>
            </w:pPr>
            <w:r>
              <w:rPr>
                <w:rFonts w:ascii="仿宋" w:hAnsi="仿宋" w:eastAsia="仿宋"/>
                <w:b/>
                <w:sz w:val="20"/>
              </w:rPr>
              <w:t>合同签订</w:t>
            </w:r>
            <w:r>
              <w:rPr>
                <w:rFonts w:ascii="仿宋" w:hAnsi="仿宋" w:eastAsia="仿宋"/>
                <w:b/>
                <w:sz w:val="20"/>
              </w:rPr>
              <w:br w:type="textWrapping"/>
            </w:r>
            <w:r>
              <w:rPr>
                <w:rFonts w:ascii="仿宋" w:hAnsi="仿宋" w:eastAsia="仿宋"/>
                <w:b/>
                <w:sz w:val="20"/>
              </w:rPr>
              <w:t>时间</w:t>
            </w:r>
          </w:p>
        </w:tc>
        <w:tc>
          <w:tcPr>
            <w:tcW w:w="1440" w:type="dxa"/>
          </w:tcPr>
          <w:p w14:paraId="657C4528">
            <w:pPr>
              <w:spacing w:after="0" w:line="360" w:lineRule="auto"/>
              <w:jc w:val="left"/>
            </w:pPr>
            <w:r>
              <w:rPr>
                <w:rFonts w:ascii="仿宋" w:hAnsi="仿宋" w:eastAsia="仿宋"/>
                <w:b/>
                <w:sz w:val="20"/>
              </w:rPr>
              <w:t>委托单位</w:t>
            </w:r>
          </w:p>
        </w:tc>
        <w:tc>
          <w:tcPr>
            <w:tcW w:w="1440" w:type="dxa"/>
          </w:tcPr>
          <w:p w14:paraId="586ECA85">
            <w:pPr>
              <w:spacing w:after="0" w:line="360" w:lineRule="auto"/>
              <w:jc w:val="left"/>
            </w:pPr>
            <w:r>
              <w:rPr>
                <w:rFonts w:ascii="仿宋" w:hAnsi="仿宋" w:eastAsia="仿宋"/>
                <w:b/>
                <w:sz w:val="20"/>
              </w:rPr>
              <w:t>备注</w:t>
            </w:r>
          </w:p>
        </w:tc>
      </w:tr>
      <w:tr w14:paraId="42ECE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14:paraId="019737A3">
            <w:pPr>
              <w:spacing w:after="0" w:line="360" w:lineRule="auto"/>
              <w:jc w:val="left"/>
            </w:pPr>
            <w:r>
              <w:rPr>
                <w:rFonts w:ascii="仿宋" w:hAnsi="仿宋" w:eastAsia="仿宋"/>
                <w:b w:val="0"/>
                <w:sz w:val="20"/>
              </w:rPr>
              <w:t>1</w:t>
            </w:r>
          </w:p>
        </w:tc>
        <w:tc>
          <w:tcPr>
            <w:tcW w:w="1440" w:type="dxa"/>
          </w:tcPr>
          <w:p w14:paraId="36113FBE">
            <w:pPr>
              <w:spacing w:after="0" w:line="360" w:lineRule="auto"/>
              <w:jc w:val="left"/>
            </w:pPr>
          </w:p>
        </w:tc>
        <w:tc>
          <w:tcPr>
            <w:tcW w:w="1440" w:type="dxa"/>
          </w:tcPr>
          <w:p w14:paraId="7252B0DA">
            <w:pPr>
              <w:spacing w:after="0" w:line="360" w:lineRule="auto"/>
              <w:jc w:val="left"/>
            </w:pPr>
          </w:p>
        </w:tc>
        <w:tc>
          <w:tcPr>
            <w:tcW w:w="1440" w:type="dxa"/>
          </w:tcPr>
          <w:p w14:paraId="265C7DA0">
            <w:pPr>
              <w:spacing w:after="0" w:line="360" w:lineRule="auto"/>
              <w:jc w:val="left"/>
            </w:pPr>
          </w:p>
        </w:tc>
        <w:tc>
          <w:tcPr>
            <w:tcW w:w="1440" w:type="dxa"/>
          </w:tcPr>
          <w:p w14:paraId="2A228EF9">
            <w:pPr>
              <w:spacing w:after="0" w:line="360" w:lineRule="auto"/>
              <w:jc w:val="left"/>
            </w:pPr>
          </w:p>
        </w:tc>
        <w:tc>
          <w:tcPr>
            <w:tcW w:w="1440" w:type="dxa"/>
          </w:tcPr>
          <w:p w14:paraId="61C78135">
            <w:pPr>
              <w:spacing w:after="0" w:line="360" w:lineRule="auto"/>
              <w:jc w:val="left"/>
            </w:pPr>
          </w:p>
        </w:tc>
      </w:tr>
      <w:tr w14:paraId="74779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14:paraId="0DC0233F">
            <w:pPr>
              <w:spacing w:after="0" w:line="360" w:lineRule="auto"/>
              <w:jc w:val="left"/>
            </w:pPr>
            <w:r>
              <w:rPr>
                <w:rFonts w:ascii="仿宋" w:hAnsi="仿宋" w:eastAsia="仿宋"/>
                <w:b w:val="0"/>
                <w:sz w:val="20"/>
              </w:rPr>
              <w:t>2</w:t>
            </w:r>
          </w:p>
        </w:tc>
        <w:tc>
          <w:tcPr>
            <w:tcW w:w="1440" w:type="dxa"/>
          </w:tcPr>
          <w:p w14:paraId="55ADAFEB">
            <w:pPr>
              <w:spacing w:after="0" w:line="360" w:lineRule="auto"/>
              <w:jc w:val="left"/>
            </w:pPr>
          </w:p>
        </w:tc>
        <w:tc>
          <w:tcPr>
            <w:tcW w:w="1440" w:type="dxa"/>
          </w:tcPr>
          <w:p w14:paraId="3EA8F02A">
            <w:pPr>
              <w:spacing w:after="0" w:line="360" w:lineRule="auto"/>
              <w:jc w:val="left"/>
            </w:pPr>
          </w:p>
        </w:tc>
        <w:tc>
          <w:tcPr>
            <w:tcW w:w="1440" w:type="dxa"/>
          </w:tcPr>
          <w:p w14:paraId="0A0A42F3">
            <w:pPr>
              <w:spacing w:after="0" w:line="360" w:lineRule="auto"/>
              <w:jc w:val="left"/>
            </w:pPr>
          </w:p>
        </w:tc>
        <w:tc>
          <w:tcPr>
            <w:tcW w:w="1440" w:type="dxa"/>
          </w:tcPr>
          <w:p w14:paraId="37FC1A59">
            <w:pPr>
              <w:spacing w:after="0" w:line="360" w:lineRule="auto"/>
              <w:jc w:val="left"/>
            </w:pPr>
          </w:p>
        </w:tc>
        <w:tc>
          <w:tcPr>
            <w:tcW w:w="1440" w:type="dxa"/>
          </w:tcPr>
          <w:p w14:paraId="5569E506">
            <w:pPr>
              <w:spacing w:after="0" w:line="360" w:lineRule="auto"/>
              <w:jc w:val="left"/>
            </w:pPr>
          </w:p>
        </w:tc>
      </w:tr>
      <w:tr w14:paraId="0FA92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14:paraId="7038FD27">
            <w:pPr>
              <w:spacing w:after="0" w:line="360" w:lineRule="auto"/>
              <w:jc w:val="left"/>
            </w:pPr>
            <w:r>
              <w:rPr>
                <w:rFonts w:ascii="仿宋" w:hAnsi="仿宋" w:eastAsia="仿宋"/>
                <w:b w:val="0"/>
                <w:sz w:val="20"/>
              </w:rPr>
              <w:t>3</w:t>
            </w:r>
          </w:p>
        </w:tc>
        <w:tc>
          <w:tcPr>
            <w:tcW w:w="1440" w:type="dxa"/>
          </w:tcPr>
          <w:p w14:paraId="1BCBBF93">
            <w:pPr>
              <w:spacing w:after="0" w:line="360" w:lineRule="auto"/>
              <w:jc w:val="left"/>
            </w:pPr>
          </w:p>
        </w:tc>
        <w:tc>
          <w:tcPr>
            <w:tcW w:w="1440" w:type="dxa"/>
          </w:tcPr>
          <w:p w14:paraId="5922378B">
            <w:pPr>
              <w:spacing w:after="0" w:line="360" w:lineRule="auto"/>
              <w:jc w:val="left"/>
            </w:pPr>
          </w:p>
        </w:tc>
        <w:tc>
          <w:tcPr>
            <w:tcW w:w="1440" w:type="dxa"/>
          </w:tcPr>
          <w:p w14:paraId="54F09A67">
            <w:pPr>
              <w:spacing w:after="0" w:line="360" w:lineRule="auto"/>
              <w:jc w:val="left"/>
            </w:pPr>
          </w:p>
        </w:tc>
        <w:tc>
          <w:tcPr>
            <w:tcW w:w="1440" w:type="dxa"/>
          </w:tcPr>
          <w:p w14:paraId="7FD69D16">
            <w:pPr>
              <w:spacing w:after="0" w:line="360" w:lineRule="auto"/>
              <w:jc w:val="left"/>
            </w:pPr>
          </w:p>
        </w:tc>
        <w:tc>
          <w:tcPr>
            <w:tcW w:w="1440" w:type="dxa"/>
          </w:tcPr>
          <w:p w14:paraId="277289D3">
            <w:pPr>
              <w:spacing w:after="0" w:line="360" w:lineRule="auto"/>
              <w:jc w:val="left"/>
            </w:pPr>
          </w:p>
        </w:tc>
      </w:tr>
      <w:tr w14:paraId="3A9D9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14:paraId="203BFB7B">
            <w:pPr>
              <w:spacing w:after="0" w:line="360" w:lineRule="auto"/>
              <w:jc w:val="left"/>
            </w:pPr>
            <w:r>
              <w:rPr>
                <w:rFonts w:ascii="仿宋" w:hAnsi="仿宋" w:eastAsia="仿宋"/>
                <w:b/>
                <w:sz w:val="20"/>
              </w:rPr>
              <w:t>备注</w:t>
            </w:r>
          </w:p>
        </w:tc>
        <w:tc>
          <w:tcPr>
            <w:tcW w:w="7200" w:type="dxa"/>
            <w:gridSpan w:val="5"/>
          </w:tcPr>
          <w:p w14:paraId="21517474">
            <w:pPr>
              <w:spacing w:after="0" w:line="360" w:lineRule="auto"/>
              <w:jc w:val="left"/>
            </w:pPr>
            <w:r>
              <w:rPr>
                <w:rFonts w:ascii="仿宋" w:hAnsi="仿宋" w:eastAsia="仿宋"/>
                <w:b w:val="0"/>
                <w:sz w:val="20"/>
              </w:rPr>
              <w:t>以上业绩均提供合同复印件、验收报告（盖公司鲜章）作为证明材料。</w:t>
            </w:r>
          </w:p>
        </w:tc>
      </w:tr>
    </w:tbl>
    <w:p w14:paraId="17596E6B"/>
    <w:p w14:paraId="0259E969">
      <w:pPr>
        <w:jc w:val="left"/>
      </w:pPr>
      <w:r>
        <w:rPr>
          <w:rFonts w:ascii="仿宋" w:hAnsi="仿宋" w:eastAsia="仿宋"/>
          <w:b w:val="0"/>
          <w:sz w:val="28"/>
        </w:rPr>
        <w:t xml:space="preserve">比选被邀请人（盖章）：                           </w:t>
      </w:r>
    </w:p>
    <w:p w14:paraId="578C7E68">
      <w:pPr>
        <w:jc w:val="left"/>
      </w:pPr>
      <w:r>
        <w:rPr>
          <w:rFonts w:ascii="仿宋" w:hAnsi="仿宋" w:eastAsia="仿宋"/>
          <w:b w:val="0"/>
          <w:sz w:val="28"/>
        </w:rPr>
        <w:t>日期：      年    月    日</w:t>
      </w:r>
    </w:p>
    <w:p w14:paraId="4CAEE5EE">
      <w:r>
        <w:br w:type="page"/>
      </w:r>
    </w:p>
    <w:p w14:paraId="63856A53">
      <w:pPr>
        <w:jc w:val="center"/>
      </w:pPr>
      <w:r>
        <w:rPr>
          <w:rFonts w:ascii="黑体" w:hAnsi="黑体" w:eastAsia="黑体"/>
          <w:b/>
          <w:sz w:val="28"/>
        </w:rPr>
        <w:t>附件5</w:t>
      </w:r>
    </w:p>
    <w:p w14:paraId="6523EC41"/>
    <w:p w14:paraId="35D11B03">
      <w:pPr>
        <w:jc w:val="left"/>
      </w:pPr>
      <w:r>
        <w:rPr>
          <w:rFonts w:ascii="仿宋" w:hAnsi="仿宋" w:eastAsia="仿宋"/>
          <w:b w:val="0"/>
          <w:sz w:val="28"/>
        </w:rPr>
        <w:t xml:space="preserve">任务书编号：              </w:t>
      </w:r>
    </w:p>
    <w:p w14:paraId="043E9A46"/>
    <w:p w14:paraId="13FBBC70"/>
    <w:p w14:paraId="4166FEB5">
      <w:pPr>
        <w:jc w:val="center"/>
      </w:pPr>
      <w:r>
        <w:rPr>
          <w:rFonts w:ascii="黑体" w:hAnsi="黑体" w:eastAsia="黑体"/>
          <w:b/>
          <w:sz w:val="52"/>
        </w:rPr>
        <w:t>科技项目任务书</w:t>
      </w:r>
    </w:p>
    <w:p w14:paraId="10C57181"/>
    <w:p w14:paraId="7B8631BE">
      <w:pPr>
        <w:jc w:val="center"/>
      </w:pPr>
      <w:r>
        <w:rPr>
          <w:rFonts w:ascii="黑体" w:hAnsi="黑体" w:eastAsia="黑体"/>
          <w:b/>
          <w:sz w:val="32"/>
        </w:rPr>
        <w:t>项目名称：枢纽车站高质量数据集验证及场景智能体</w:t>
      </w:r>
    </w:p>
    <w:p w14:paraId="69ED1659">
      <w:pPr>
        <w:jc w:val="center"/>
      </w:pPr>
      <w:r>
        <w:rPr>
          <w:rFonts w:ascii="黑体" w:hAnsi="黑体" w:eastAsia="黑体"/>
          <w:b/>
          <w:sz w:val="32"/>
        </w:rPr>
        <w:t>技术开发研究与示范应用</w:t>
      </w:r>
    </w:p>
    <w:p w14:paraId="13247005"/>
    <w:p w14:paraId="7B58AEF2"/>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5669"/>
      </w:tblGrid>
      <w:tr w14:paraId="3340E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14:paraId="27098692">
            <w:pPr>
              <w:spacing w:after="0" w:line="360" w:lineRule="auto"/>
              <w:jc w:val="left"/>
            </w:pPr>
            <w:r>
              <w:rPr>
                <w:rFonts w:ascii="仿宋" w:hAnsi="仿宋" w:eastAsia="仿宋"/>
                <w:b/>
                <w:sz w:val="21"/>
              </w:rPr>
              <w:t>项目承担单位</w:t>
            </w:r>
          </w:p>
        </w:tc>
        <w:tc>
          <w:tcPr>
            <w:tcW w:w="5669" w:type="dxa"/>
          </w:tcPr>
          <w:p w14:paraId="2B6D5A74">
            <w:pPr>
              <w:spacing w:after="0" w:line="360" w:lineRule="auto"/>
              <w:jc w:val="left"/>
            </w:pPr>
          </w:p>
        </w:tc>
      </w:tr>
      <w:tr w14:paraId="6955C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14:paraId="05CF06AA">
            <w:pPr>
              <w:spacing w:after="0" w:line="360" w:lineRule="auto"/>
              <w:jc w:val="left"/>
            </w:pPr>
            <w:r>
              <w:rPr>
                <w:rFonts w:ascii="仿宋" w:hAnsi="仿宋" w:eastAsia="仿宋"/>
                <w:b/>
                <w:sz w:val="21"/>
              </w:rPr>
              <w:t>项目负责人</w:t>
            </w:r>
          </w:p>
        </w:tc>
        <w:tc>
          <w:tcPr>
            <w:tcW w:w="5669" w:type="dxa"/>
          </w:tcPr>
          <w:p w14:paraId="3E75BD4F">
            <w:pPr>
              <w:spacing w:after="0" w:line="360" w:lineRule="auto"/>
              <w:jc w:val="left"/>
            </w:pPr>
          </w:p>
        </w:tc>
      </w:tr>
      <w:tr w14:paraId="52E4F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14:paraId="40CE834F">
            <w:pPr>
              <w:spacing w:after="0" w:line="360" w:lineRule="auto"/>
              <w:jc w:val="left"/>
            </w:pPr>
            <w:r>
              <w:rPr>
                <w:rFonts w:ascii="仿宋" w:hAnsi="仿宋" w:eastAsia="仿宋"/>
                <w:b/>
                <w:sz w:val="21"/>
              </w:rPr>
              <w:t>项目联系人</w:t>
            </w:r>
          </w:p>
        </w:tc>
        <w:tc>
          <w:tcPr>
            <w:tcW w:w="5669" w:type="dxa"/>
          </w:tcPr>
          <w:p w14:paraId="20749110">
            <w:pPr>
              <w:spacing w:after="0" w:line="360" w:lineRule="auto"/>
              <w:jc w:val="left"/>
            </w:pPr>
          </w:p>
        </w:tc>
      </w:tr>
      <w:tr w14:paraId="68069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14:paraId="72739F6E">
            <w:pPr>
              <w:spacing w:after="0" w:line="360" w:lineRule="auto"/>
              <w:jc w:val="left"/>
            </w:pPr>
            <w:r>
              <w:rPr>
                <w:rFonts w:ascii="仿宋" w:hAnsi="仿宋" w:eastAsia="仿宋"/>
                <w:b/>
                <w:sz w:val="21"/>
              </w:rPr>
              <w:t>项目起止时间</w:t>
            </w:r>
          </w:p>
        </w:tc>
        <w:tc>
          <w:tcPr>
            <w:tcW w:w="5669" w:type="dxa"/>
          </w:tcPr>
          <w:p w14:paraId="717ED0D2">
            <w:pPr>
              <w:spacing w:after="0" w:line="360" w:lineRule="auto"/>
              <w:jc w:val="left"/>
            </w:pPr>
            <w:r>
              <w:rPr>
                <w:rFonts w:ascii="仿宋" w:hAnsi="仿宋" w:eastAsia="仿宋"/>
                <w:b w:val="0"/>
                <w:sz w:val="21"/>
              </w:rPr>
              <w:t>2026年7月至2026年10月</w:t>
            </w:r>
          </w:p>
        </w:tc>
      </w:tr>
      <w:tr w14:paraId="06E5C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14:paraId="56DBCF84">
            <w:pPr>
              <w:spacing w:after="0" w:line="360" w:lineRule="auto"/>
              <w:jc w:val="left"/>
            </w:pPr>
            <w:r>
              <w:rPr>
                <w:rFonts w:ascii="仿宋" w:hAnsi="仿宋" w:eastAsia="仿宋"/>
                <w:b/>
                <w:sz w:val="21"/>
              </w:rPr>
              <w:t>经费预算（万元）</w:t>
            </w:r>
          </w:p>
        </w:tc>
        <w:tc>
          <w:tcPr>
            <w:tcW w:w="5669" w:type="dxa"/>
          </w:tcPr>
          <w:p w14:paraId="10BE504A">
            <w:pPr>
              <w:spacing w:after="0" w:line="360" w:lineRule="auto"/>
              <w:jc w:val="left"/>
            </w:pPr>
            <w:r>
              <w:rPr>
                <w:rFonts w:hint="eastAsia"/>
                <w:b w:val="0"/>
                <w:sz w:val="21"/>
                <w:lang w:val="en-US" w:eastAsia="zh-CN"/>
              </w:rPr>
              <w:t xml:space="preserve">  </w:t>
            </w:r>
            <w:r>
              <w:rPr>
                <w:rFonts w:ascii="仿宋" w:hAnsi="仿宋" w:eastAsia="仿宋"/>
                <w:b w:val="0"/>
                <w:sz w:val="21"/>
              </w:rPr>
              <w:t>万元</w:t>
            </w:r>
          </w:p>
        </w:tc>
      </w:tr>
    </w:tbl>
    <w:p w14:paraId="6E50C36A"/>
    <w:p w14:paraId="7FFD7924"/>
    <w:p w14:paraId="145FC7FA">
      <w:pPr>
        <w:jc w:val="center"/>
      </w:pPr>
      <w:r>
        <w:rPr>
          <w:rFonts w:ascii="黑体" w:hAnsi="黑体" w:eastAsia="黑体"/>
          <w:b/>
          <w:sz w:val="32"/>
        </w:rPr>
        <w:t>重庆市交通资源开发有限公司</w:t>
      </w:r>
    </w:p>
    <w:p w14:paraId="7DA72641">
      <w:pPr>
        <w:jc w:val="center"/>
      </w:pPr>
      <w:r>
        <w:rPr>
          <w:rFonts w:ascii="仿宋" w:hAnsi="仿宋" w:eastAsia="仿宋"/>
          <w:b w:val="0"/>
          <w:sz w:val="28"/>
        </w:rPr>
        <w:t>二〇二六年制</w:t>
      </w:r>
    </w:p>
    <w:p w14:paraId="592261AB"/>
    <w:p w14:paraId="5B60D348"/>
    <w:p w14:paraId="56FD259A">
      <w:pPr>
        <w:rPr>
          <w:rFonts w:ascii="黑体" w:hAnsi="黑体" w:eastAsia="黑体"/>
          <w:b/>
          <w:sz w:val="28"/>
        </w:rPr>
      </w:pPr>
      <w:r>
        <w:rPr>
          <w:rFonts w:ascii="黑体" w:hAnsi="黑体" w:eastAsia="黑体"/>
          <w:b/>
          <w:sz w:val="28"/>
        </w:rPr>
        <w:br w:type="page"/>
      </w:r>
    </w:p>
    <w:p w14:paraId="4FE681D7">
      <w:pPr>
        <w:spacing w:line="360" w:lineRule="auto"/>
        <w:jc w:val="left"/>
      </w:pPr>
      <w:r>
        <w:rPr>
          <w:rFonts w:ascii="黑体" w:hAnsi="黑体" w:eastAsia="黑体"/>
          <w:b/>
          <w:sz w:val="28"/>
        </w:rPr>
        <w:t>1.项目概况</w:t>
      </w:r>
    </w:p>
    <w:p w14:paraId="1917ECA3">
      <w:pPr>
        <w:spacing w:line="360" w:lineRule="auto"/>
        <w:jc w:val="left"/>
      </w:pPr>
      <w:r>
        <w:rPr>
          <w:rFonts w:ascii="楷体" w:hAnsi="楷体" w:eastAsia="楷体"/>
          <w:b/>
          <w:sz w:val="28"/>
        </w:rPr>
        <w:t>1.1 政策背景</w:t>
      </w:r>
    </w:p>
    <w:p w14:paraId="612D71D0">
      <w:pPr>
        <w:spacing w:line="360" w:lineRule="auto"/>
        <w:ind w:firstLine="420"/>
      </w:pPr>
      <w:r>
        <w:rPr>
          <w:rFonts w:ascii="仿宋" w:hAnsi="仿宋" w:eastAsia="仿宋"/>
          <w:sz w:val="28"/>
        </w:rPr>
        <w:t>为深入贯彻数字重庆建设总体部署，落实重庆市交委《重庆市"人工智能+交通运输"创新应用行动方案》(渝交科[2026]1号)和重庆交通开投集团《关于开展高质量数据集数据报送工作的通知》《"智慧公共出行"AI+综合场景建设工作方案》相关工作要求，贯彻集团数字化转型相关会议精神，加快推进交通领域AI+综合场景落地与高质量数据集建设，重庆交通资源开发有限公司依托重庆沙坪坝铁路综合枢纽项目，开展高质量数据AI智能化应用建设。</w:t>
      </w:r>
    </w:p>
    <w:p w14:paraId="11D463F8">
      <w:pPr>
        <w:spacing w:line="360" w:lineRule="auto"/>
        <w:ind w:firstLine="420"/>
      </w:pPr>
      <w:r>
        <w:rPr>
          <w:rFonts w:ascii="仿宋" w:hAnsi="仿宋" w:eastAsia="仿宋"/>
          <w:sz w:val="28"/>
        </w:rPr>
        <w:t>当前国家大力推进智慧交通、数字孪生、新型智慧城市建设，以大语言模型、计算机视觉、边缘计算、知识图谱为代表的AI技术已在交通枢纽规模化落地。传统AI系统以被动响应、单一功能、人工触发为主，新一代智能体技术可实现自主感知、自主决策、自主执行、自主迭代，成为枢纽智能化升级的核心方向。</w:t>
      </w:r>
    </w:p>
    <w:p w14:paraId="1003FE0A">
      <w:pPr>
        <w:spacing w:line="360" w:lineRule="auto"/>
        <w:jc w:val="left"/>
      </w:pPr>
      <w:r>
        <w:rPr>
          <w:rFonts w:ascii="楷体" w:hAnsi="楷体" w:eastAsia="楷体"/>
          <w:b/>
          <w:sz w:val="28"/>
        </w:rPr>
        <w:t>1.2 研究目的意义</w:t>
      </w:r>
    </w:p>
    <w:p w14:paraId="3F3A0AC7">
      <w:pPr>
        <w:spacing w:line="360" w:lineRule="auto"/>
        <w:ind w:firstLine="420"/>
      </w:pPr>
      <w:r>
        <w:rPr>
          <w:rFonts w:ascii="仿宋" w:hAnsi="仿宋" w:eastAsia="仿宋"/>
          <w:sz w:val="28"/>
        </w:rPr>
        <w:t>（1）政策落地与数据合规。落实数字重庆、交通开投集团AI+综合场景建设、高质量数据集建设要求，完成枢纽领域多源数据归集、治理、标注与应用，支撑集团1TB文本数据归集任务与城市公共交通高质量数据集构建。</w:t>
      </w:r>
    </w:p>
    <w:p w14:paraId="2EA76A95">
      <w:pPr>
        <w:spacing w:line="360" w:lineRule="auto"/>
        <w:ind w:firstLine="420"/>
      </w:pPr>
      <w:r>
        <w:rPr>
          <w:rFonts w:ascii="仿宋" w:hAnsi="仿宋" w:eastAsia="仿宋"/>
          <w:sz w:val="28"/>
        </w:rPr>
        <w:t>（2）枢纽运营模式升级。面向沙坪坝枢纽真实运营场景，构建17个专业化算法+枢纽专属场景智能体技术体系，覆盖车流调度、旅客服务、设备监控、数据统计、应急指挥、综合管理全流程，推动运营从"经验驱动"转向"数据驱动、智能决策、自主运行"。</w:t>
      </w:r>
    </w:p>
    <w:p w14:paraId="7A6767FF">
      <w:pPr>
        <w:spacing w:line="360" w:lineRule="auto"/>
        <w:ind w:firstLine="420"/>
      </w:pPr>
      <w:r>
        <w:rPr>
          <w:rFonts w:ascii="仿宋" w:hAnsi="仿宋" w:eastAsia="仿宋"/>
          <w:sz w:val="28"/>
        </w:rPr>
        <w:t>（3）提升运行效率与服务品质。通过AI智能体实现客流精准监测、车流智能调度、异常主动预警、应急快速处置，缩短旅客等候时间、降低区域拥堵率、提升设施周转效率，保障旅客安全、优化出行体验。</w:t>
      </w:r>
    </w:p>
    <w:p w14:paraId="4BC000A4">
      <w:pPr>
        <w:spacing w:line="360" w:lineRule="auto"/>
        <w:ind w:firstLine="420"/>
      </w:pPr>
      <w:r>
        <w:rPr>
          <w:rFonts w:ascii="仿宋" w:hAnsi="仿宋" w:eastAsia="仿宋"/>
          <w:sz w:val="28"/>
        </w:rPr>
        <w:t>（4）技术创新与示范推广。打造枢纽车站专用、可自主运行的场景智能体系统，形成"高质量数据集+集团垂域大模型+智能体"协同技术方案，为集团智慧公共出行、交通转换智服场景提供核心支撑。</w:t>
      </w:r>
    </w:p>
    <w:p w14:paraId="31CDDAA4">
      <w:pPr>
        <w:spacing w:line="360" w:lineRule="auto"/>
        <w:ind w:firstLine="420"/>
      </w:pPr>
      <w:r>
        <w:rPr>
          <w:rFonts w:ascii="仿宋" w:hAnsi="仿宋" w:eastAsia="仿宋"/>
          <w:sz w:val="28"/>
        </w:rPr>
        <w:t>（5）赋能城市与产业发展。强化站城融合效能，提升枢纽与城市交通协同治理水平，助力成渝地区双城经济圈建设，推动AI技术在交通领域工程化转化。</w:t>
      </w:r>
    </w:p>
    <w:p w14:paraId="4ACF5F2E">
      <w:pPr>
        <w:spacing w:line="360" w:lineRule="auto"/>
        <w:jc w:val="left"/>
      </w:pPr>
      <w:r>
        <w:rPr>
          <w:rFonts w:ascii="黑体" w:hAnsi="黑体" w:eastAsia="黑体"/>
          <w:b/>
          <w:sz w:val="28"/>
        </w:rPr>
        <w:t>2.主要研究内容</w:t>
      </w:r>
    </w:p>
    <w:p w14:paraId="713BD669">
      <w:pPr>
        <w:spacing w:line="360" w:lineRule="auto"/>
        <w:jc w:val="left"/>
      </w:pPr>
      <w:r>
        <w:rPr>
          <w:rFonts w:ascii="楷体" w:hAnsi="楷体" w:eastAsia="楷体"/>
          <w:b/>
          <w:sz w:val="28"/>
        </w:rPr>
        <w:t>任务1：17个专业化算法研发与算法优化</w:t>
      </w:r>
    </w:p>
    <w:p w14:paraId="4A2112D7">
      <w:pPr>
        <w:spacing w:line="360" w:lineRule="auto"/>
        <w:ind w:firstLine="420"/>
      </w:pPr>
      <w:r>
        <w:rPr>
          <w:rFonts w:ascii="仿宋" w:hAnsi="仿宋" w:eastAsia="仿宋"/>
          <w:sz w:val="28"/>
        </w:rPr>
        <w:t>基于高质量数据集，构建覆盖全场景的专用算法模型集群：</w:t>
      </w:r>
    </w:p>
    <w:p w14:paraId="50E48ACD">
      <w:pPr>
        <w:spacing w:line="360" w:lineRule="auto"/>
        <w:ind w:firstLine="420"/>
      </w:pPr>
      <w:r>
        <w:rPr>
          <w:rFonts w:ascii="仿宋" w:hAnsi="仿宋" w:eastAsia="仿宋"/>
          <w:sz w:val="28"/>
        </w:rPr>
        <w:t>（1）车辆调度与管理组（6个）：出租车接客时间预测模型、蓄车池排队调度模型、上客区车辆调度模型、大型枢纽场站出租车管理模型、车流控制放行模型、网约车通道感知模型。</w:t>
      </w:r>
    </w:p>
    <w:p w14:paraId="133EFBF0">
      <w:pPr>
        <w:spacing w:line="360" w:lineRule="auto"/>
        <w:ind w:firstLine="420"/>
      </w:pPr>
      <w:r>
        <w:rPr>
          <w:rFonts w:ascii="仿宋" w:hAnsi="仿宋" w:eastAsia="仿宋"/>
          <w:sz w:val="28"/>
        </w:rPr>
        <w:t>（2）人员感知与服务组（5个）：出租车旅客人数感知模型、枢纽旅客等候时长预测模型、网约车旅客人员感知模型、网约车乘客引导模型、呼车叫车模型。</w:t>
      </w:r>
    </w:p>
    <w:p w14:paraId="40C2FB08">
      <w:pPr>
        <w:spacing w:line="360" w:lineRule="auto"/>
        <w:ind w:firstLine="420"/>
      </w:pPr>
      <w:r>
        <w:rPr>
          <w:rFonts w:ascii="仿宋" w:hAnsi="仿宋" w:eastAsia="仿宋"/>
          <w:sz w:val="28"/>
        </w:rPr>
        <w:t>（3）数据与监控组（6个）：多源多维数据统计模型、设备告警规则模型、集散信息管理模型、集散综合监控模型、集散调度模型、一体化自适应导航模型。</w:t>
      </w:r>
    </w:p>
    <w:p w14:paraId="45BCD521">
      <w:pPr>
        <w:spacing w:line="360" w:lineRule="auto"/>
        <w:ind w:firstLine="420"/>
      </w:pPr>
      <w:r>
        <w:rPr>
          <w:rFonts w:ascii="仿宋" w:hAnsi="仿宋" w:eastAsia="仿宋"/>
          <w:sz w:val="28"/>
        </w:rPr>
        <w:t>所有模型均基于枢纽高质量数据集训练优化，确保输出贴合现场运营规则。</w:t>
      </w:r>
    </w:p>
    <w:p w14:paraId="322F4B3B">
      <w:pPr>
        <w:spacing w:line="360" w:lineRule="auto"/>
        <w:jc w:val="left"/>
      </w:pPr>
      <w:r>
        <w:rPr>
          <w:rFonts w:ascii="楷体" w:hAnsi="楷体" w:eastAsia="楷体"/>
          <w:b/>
          <w:sz w:val="28"/>
        </w:rPr>
        <w:t>任务2：枢纽车站场景智能体研发</w:t>
      </w:r>
    </w:p>
    <w:p w14:paraId="6720AFDD">
      <w:pPr>
        <w:spacing w:line="360" w:lineRule="auto"/>
        <w:ind w:firstLine="420"/>
      </w:pPr>
      <w:r>
        <w:rPr>
          <w:rFonts w:ascii="仿宋" w:hAnsi="仿宋" w:eastAsia="仿宋"/>
          <w:sz w:val="28"/>
        </w:rPr>
        <w:t>以集团交通行业垂域大模型为能力底座，构建枢纽场景智能体，形成"感知—理解—决策—执行—记忆—迭代"全能力体系。</w:t>
      </w:r>
    </w:p>
    <w:p w14:paraId="524690F2">
      <w:pPr>
        <w:spacing w:line="360" w:lineRule="auto"/>
        <w:ind w:firstLine="420"/>
      </w:pPr>
      <w:r>
        <w:rPr>
          <w:rFonts w:ascii="仿宋" w:hAnsi="仿宋" w:eastAsia="仿宋"/>
          <w:sz w:val="28"/>
        </w:rPr>
        <w:t>核心架构包括：感知层（对接全量数据，7×24小时实时感知枢纽状态）、决策层（基于集团垂域大模型与算法输出，自主分析、推理、形成调度方案）、执行层（自动下发指令至显示屏、APP、广播、调度系统）、记忆层（构建运营知识记忆库，持续优化策略）、交互层（支持自然语言对话、可视化操作）。</w:t>
      </w:r>
    </w:p>
    <w:p w14:paraId="0139FBD9">
      <w:pPr>
        <w:spacing w:line="360" w:lineRule="auto"/>
        <w:ind w:firstLine="420"/>
      </w:pPr>
      <w:r>
        <w:rPr>
          <w:rFonts w:ascii="仿宋" w:hAnsi="仿宋" w:eastAsia="仿宋"/>
          <w:sz w:val="28"/>
        </w:rPr>
        <w:t>智能体核心能力包括：自主调度、主动预警、多目标协同、自主迭代、全域协同。</w:t>
      </w:r>
    </w:p>
    <w:p w14:paraId="101805F2">
      <w:pPr>
        <w:spacing w:line="360" w:lineRule="auto"/>
        <w:jc w:val="left"/>
      </w:pPr>
      <w:r>
        <w:rPr>
          <w:rFonts w:ascii="楷体" w:hAnsi="楷体" w:eastAsia="楷体"/>
          <w:b/>
          <w:sz w:val="28"/>
        </w:rPr>
        <w:t>任务3：系统集成与部署</w:t>
      </w:r>
    </w:p>
    <w:p w14:paraId="536E08D0">
      <w:pPr>
        <w:spacing w:line="360" w:lineRule="auto"/>
        <w:ind w:firstLine="420"/>
      </w:pPr>
      <w:r>
        <w:rPr>
          <w:rFonts w:ascii="仿宋" w:hAnsi="仿宋" w:eastAsia="仿宋"/>
          <w:sz w:val="28"/>
        </w:rPr>
        <w:t>依托重庆交通开投智云统一底座及"疆算入渝"国产化算力，搭建云端训练与边缘实时推理协同环境，完成17个模型与智能体容器化封装，统一对外提供API接口，与枢纽现有监控、车辆管理、旅客服务系统对接，实现数据互通、指令下发、状态回传闭环，确保系统稳定、低时延、高可靠运行。</w:t>
      </w:r>
    </w:p>
    <w:p w14:paraId="520F8A71">
      <w:pPr>
        <w:spacing w:line="360" w:lineRule="auto"/>
        <w:jc w:val="left"/>
      </w:pPr>
      <w:r>
        <w:rPr>
          <w:rFonts w:ascii="楷体" w:hAnsi="楷体" w:eastAsia="楷体"/>
          <w:b/>
          <w:sz w:val="28"/>
        </w:rPr>
        <w:t>任务4：运营效果评估与模型迭代优化</w:t>
      </w:r>
    </w:p>
    <w:p w14:paraId="32526AC4">
      <w:pPr>
        <w:spacing w:line="360" w:lineRule="auto"/>
        <w:ind w:firstLine="420"/>
      </w:pPr>
      <w:r>
        <w:rPr>
          <w:rFonts w:ascii="仿宋" w:hAnsi="仿宋" w:eastAsia="仿宋"/>
          <w:sz w:val="28"/>
        </w:rPr>
        <w:t>建立"数据—模型—智能体—应用—反馈—迭代"闭环机制，持续采集真实运行数据，定期评估模型准确率、延迟、覆盖率、决策成功率，根据运营反馈优化算法与智能体策略，保障系统长期稳定高效运行。</w:t>
      </w:r>
    </w:p>
    <w:p w14:paraId="1928057C">
      <w:pPr>
        <w:spacing w:line="360" w:lineRule="auto"/>
        <w:jc w:val="left"/>
      </w:pPr>
      <w:r>
        <w:rPr>
          <w:rFonts w:ascii="黑体" w:hAnsi="黑体" w:eastAsia="黑体"/>
          <w:b/>
          <w:sz w:val="28"/>
        </w:rPr>
        <w:t>3.创新点</w:t>
      </w:r>
    </w:p>
    <w:p w14:paraId="2FCD56D7">
      <w:pPr>
        <w:spacing w:line="360" w:lineRule="auto"/>
        <w:ind w:firstLine="420"/>
        <w:jc w:val="left"/>
      </w:pPr>
      <w:r>
        <w:rPr>
          <w:rFonts w:ascii="仿宋" w:hAnsi="仿宋" w:eastAsia="仿宋"/>
          <w:b w:val="0"/>
          <w:sz w:val="28"/>
        </w:rPr>
        <w:t>（1）枢纽场景智能体创新：实现自主感知、决策、执行、迭代，区别于传统被动响应式AI系统。</w:t>
      </w:r>
    </w:p>
    <w:p w14:paraId="1E3D42B5">
      <w:pPr>
        <w:spacing w:line="360" w:lineRule="auto"/>
        <w:ind w:firstLine="420"/>
        <w:jc w:val="left"/>
      </w:pPr>
      <w:r>
        <w:rPr>
          <w:rFonts w:ascii="仿宋" w:hAnsi="仿宋" w:eastAsia="仿宋"/>
          <w:b w:val="0"/>
          <w:sz w:val="28"/>
        </w:rPr>
        <w:t>（2）高质量数据集+集团垂域大模型+智能体深度融合：技术路线领先，形成完整协同技术方案。</w:t>
      </w:r>
    </w:p>
    <w:p w14:paraId="775242B9">
      <w:pPr>
        <w:spacing w:line="360" w:lineRule="auto"/>
        <w:ind w:firstLine="420"/>
        <w:jc w:val="left"/>
      </w:pPr>
      <w:r>
        <w:rPr>
          <w:rFonts w:ascii="仿宋" w:hAnsi="仿宋" w:eastAsia="仿宋"/>
          <w:b w:val="0"/>
          <w:sz w:val="28"/>
        </w:rPr>
        <w:t>（3）国产化算力支撑：基于开投智云底座+疆算入渝，安全可控。</w:t>
      </w:r>
    </w:p>
    <w:p w14:paraId="478AF733">
      <w:pPr>
        <w:spacing w:line="360" w:lineRule="auto"/>
        <w:ind w:firstLine="420"/>
        <w:jc w:val="left"/>
      </w:pPr>
      <w:r>
        <w:rPr>
          <w:rFonts w:ascii="仿宋" w:hAnsi="仿宋" w:eastAsia="仿宋"/>
          <w:b w:val="0"/>
          <w:sz w:val="28"/>
        </w:rPr>
        <w:t>（4）多算法深度融合：时序预测、强化学习、路径规划一体化应用，覆盖枢纽运营全场景。</w:t>
      </w:r>
    </w:p>
    <w:p w14:paraId="4EEE2D84">
      <w:pPr>
        <w:spacing w:line="360" w:lineRule="auto"/>
        <w:ind w:firstLine="420"/>
        <w:jc w:val="left"/>
      </w:pPr>
      <w:r>
        <w:rPr>
          <w:rFonts w:ascii="仿宋" w:hAnsi="仿宋" w:eastAsia="仿宋"/>
          <w:b w:val="0"/>
          <w:sz w:val="28"/>
        </w:rPr>
        <w:t>（5）工程化落地体系：从数据治理到上线迭代形成完整流程，可复制可推广。</w:t>
      </w:r>
    </w:p>
    <w:p w14:paraId="734712B3">
      <w:pPr>
        <w:spacing w:line="360" w:lineRule="auto"/>
        <w:jc w:val="left"/>
      </w:pPr>
      <w:r>
        <w:rPr>
          <w:rFonts w:ascii="黑体" w:hAnsi="黑体" w:eastAsia="黑体"/>
          <w:b/>
          <w:sz w:val="28"/>
        </w:rPr>
        <w:t>4.工作计划</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4"/>
        <w:gridCol w:w="4421"/>
        <w:gridCol w:w="2771"/>
      </w:tblGrid>
      <w:tr w14:paraId="460D1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14:paraId="421918B4">
            <w:pPr>
              <w:spacing w:after="0" w:line="360" w:lineRule="auto"/>
              <w:jc w:val="left"/>
            </w:pPr>
            <w:r>
              <w:rPr>
                <w:rFonts w:ascii="仿宋" w:hAnsi="仿宋" w:eastAsia="仿宋"/>
                <w:b/>
                <w:sz w:val="20"/>
              </w:rPr>
              <w:t>阶段</w:t>
            </w:r>
          </w:p>
        </w:tc>
        <w:tc>
          <w:tcPr>
            <w:tcW w:w="4535" w:type="dxa"/>
          </w:tcPr>
          <w:p w14:paraId="7770E581">
            <w:pPr>
              <w:spacing w:after="0" w:line="360" w:lineRule="auto"/>
              <w:jc w:val="left"/>
            </w:pPr>
            <w:r>
              <w:rPr>
                <w:rFonts w:ascii="仿宋" w:hAnsi="仿宋" w:eastAsia="仿宋"/>
                <w:b/>
                <w:sz w:val="20"/>
              </w:rPr>
              <w:t>主要工作内容</w:t>
            </w:r>
          </w:p>
        </w:tc>
        <w:tc>
          <w:tcPr>
            <w:tcW w:w="2835" w:type="dxa"/>
          </w:tcPr>
          <w:p w14:paraId="3C70D31A">
            <w:pPr>
              <w:spacing w:after="0" w:line="360" w:lineRule="auto"/>
              <w:jc w:val="left"/>
            </w:pPr>
            <w:r>
              <w:rPr>
                <w:rFonts w:ascii="仿宋" w:hAnsi="仿宋" w:eastAsia="仿宋"/>
                <w:b/>
                <w:sz w:val="20"/>
              </w:rPr>
              <w:t>时间节点</w:t>
            </w:r>
          </w:p>
        </w:tc>
      </w:tr>
      <w:tr w14:paraId="32C0E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14:paraId="25303E9D">
            <w:pPr>
              <w:spacing w:after="0" w:line="360" w:lineRule="auto"/>
              <w:jc w:val="left"/>
            </w:pPr>
            <w:r>
              <w:rPr>
                <w:rFonts w:ascii="仿宋" w:hAnsi="仿宋" w:eastAsia="仿宋"/>
                <w:b w:val="0"/>
                <w:sz w:val="20"/>
              </w:rPr>
              <w:t>第一阶段</w:t>
            </w:r>
          </w:p>
        </w:tc>
        <w:tc>
          <w:tcPr>
            <w:tcW w:w="4535" w:type="dxa"/>
          </w:tcPr>
          <w:p w14:paraId="2021275C">
            <w:pPr>
              <w:spacing w:after="0" w:line="360" w:lineRule="auto"/>
              <w:jc w:val="left"/>
            </w:pPr>
            <w:r>
              <w:rPr>
                <w:rFonts w:ascii="仿宋" w:hAnsi="仿宋" w:eastAsia="仿宋"/>
                <w:b w:val="0"/>
                <w:sz w:val="20"/>
              </w:rPr>
              <w:t>多源数据治理与标准化，构建高质量样本库</w:t>
            </w:r>
          </w:p>
        </w:tc>
        <w:tc>
          <w:tcPr>
            <w:tcW w:w="2835" w:type="dxa"/>
          </w:tcPr>
          <w:p w14:paraId="23EAB53A">
            <w:pPr>
              <w:spacing w:after="0" w:line="360" w:lineRule="auto"/>
              <w:jc w:val="left"/>
            </w:pPr>
            <w:r>
              <w:rPr>
                <w:rFonts w:ascii="仿宋" w:hAnsi="仿宋" w:eastAsia="仿宋"/>
                <w:b w:val="0"/>
                <w:sz w:val="20"/>
              </w:rPr>
              <w:t>2026年7月</w:t>
            </w:r>
          </w:p>
        </w:tc>
      </w:tr>
      <w:tr w14:paraId="1C686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14:paraId="65D641DD">
            <w:pPr>
              <w:spacing w:after="0" w:line="360" w:lineRule="auto"/>
              <w:jc w:val="left"/>
            </w:pPr>
            <w:r>
              <w:rPr>
                <w:rFonts w:ascii="仿宋" w:hAnsi="仿宋" w:eastAsia="仿宋"/>
                <w:b w:val="0"/>
                <w:sz w:val="20"/>
              </w:rPr>
              <w:t>第二阶段</w:t>
            </w:r>
          </w:p>
        </w:tc>
        <w:tc>
          <w:tcPr>
            <w:tcW w:w="4535" w:type="dxa"/>
          </w:tcPr>
          <w:p w14:paraId="587E1E3A">
            <w:pPr>
              <w:spacing w:after="0" w:line="360" w:lineRule="auto"/>
              <w:jc w:val="left"/>
            </w:pPr>
            <w:r>
              <w:rPr>
                <w:rFonts w:ascii="仿宋" w:hAnsi="仿宋" w:eastAsia="仿宋"/>
                <w:b w:val="0"/>
                <w:sz w:val="20"/>
              </w:rPr>
              <w:t>17个专业化算法研发与场景智能体研发</w:t>
            </w:r>
          </w:p>
        </w:tc>
        <w:tc>
          <w:tcPr>
            <w:tcW w:w="2835" w:type="dxa"/>
          </w:tcPr>
          <w:p w14:paraId="5288716B">
            <w:pPr>
              <w:spacing w:after="0" w:line="360" w:lineRule="auto"/>
              <w:jc w:val="left"/>
            </w:pPr>
            <w:r>
              <w:rPr>
                <w:rFonts w:ascii="仿宋" w:hAnsi="仿宋" w:eastAsia="仿宋"/>
                <w:b w:val="0"/>
                <w:sz w:val="20"/>
              </w:rPr>
              <w:t>2026年8月</w:t>
            </w:r>
          </w:p>
        </w:tc>
      </w:tr>
      <w:tr w14:paraId="2E9D8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14:paraId="00671F84">
            <w:pPr>
              <w:spacing w:after="0" w:line="360" w:lineRule="auto"/>
              <w:jc w:val="left"/>
            </w:pPr>
            <w:r>
              <w:rPr>
                <w:rFonts w:ascii="仿宋" w:hAnsi="仿宋" w:eastAsia="仿宋"/>
                <w:b w:val="0"/>
                <w:sz w:val="20"/>
              </w:rPr>
              <w:t>第三阶段</w:t>
            </w:r>
          </w:p>
        </w:tc>
        <w:tc>
          <w:tcPr>
            <w:tcW w:w="4535" w:type="dxa"/>
          </w:tcPr>
          <w:p w14:paraId="424F7D88">
            <w:pPr>
              <w:spacing w:after="0" w:line="360" w:lineRule="auto"/>
              <w:jc w:val="left"/>
            </w:pPr>
            <w:r>
              <w:rPr>
                <w:rFonts w:ascii="仿宋" w:hAnsi="仿宋" w:eastAsia="仿宋"/>
                <w:b w:val="0"/>
                <w:sz w:val="20"/>
              </w:rPr>
              <w:t>系统集成与部署，测试验证</w:t>
            </w:r>
          </w:p>
        </w:tc>
        <w:tc>
          <w:tcPr>
            <w:tcW w:w="2835" w:type="dxa"/>
          </w:tcPr>
          <w:p w14:paraId="0A97B48E">
            <w:pPr>
              <w:spacing w:after="0" w:line="360" w:lineRule="auto"/>
              <w:jc w:val="left"/>
            </w:pPr>
            <w:r>
              <w:rPr>
                <w:rFonts w:ascii="仿宋" w:hAnsi="仿宋" w:eastAsia="仿宋"/>
                <w:b w:val="0"/>
                <w:sz w:val="20"/>
              </w:rPr>
              <w:t>2026年9月</w:t>
            </w:r>
          </w:p>
        </w:tc>
      </w:tr>
      <w:tr w14:paraId="0E89F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14:paraId="168A9749">
            <w:pPr>
              <w:spacing w:after="0" w:line="360" w:lineRule="auto"/>
              <w:jc w:val="left"/>
            </w:pPr>
            <w:r>
              <w:rPr>
                <w:rFonts w:ascii="仿宋" w:hAnsi="仿宋" w:eastAsia="仿宋"/>
                <w:b w:val="0"/>
                <w:sz w:val="20"/>
              </w:rPr>
              <w:t>第四阶段</w:t>
            </w:r>
          </w:p>
        </w:tc>
        <w:tc>
          <w:tcPr>
            <w:tcW w:w="4535" w:type="dxa"/>
          </w:tcPr>
          <w:p w14:paraId="4C2ED39B">
            <w:pPr>
              <w:spacing w:after="0" w:line="360" w:lineRule="auto"/>
              <w:jc w:val="left"/>
            </w:pPr>
            <w:r>
              <w:rPr>
                <w:rFonts w:ascii="仿宋" w:hAnsi="仿宋" w:eastAsia="仿宋"/>
                <w:b w:val="0"/>
                <w:sz w:val="20"/>
              </w:rPr>
              <w:t>运营效果评估与模型迭代优化，结题验收</w:t>
            </w:r>
          </w:p>
        </w:tc>
        <w:tc>
          <w:tcPr>
            <w:tcW w:w="2835" w:type="dxa"/>
          </w:tcPr>
          <w:p w14:paraId="59F3A417">
            <w:pPr>
              <w:spacing w:after="0" w:line="360" w:lineRule="auto"/>
              <w:jc w:val="left"/>
            </w:pPr>
            <w:r>
              <w:rPr>
                <w:rFonts w:ascii="仿宋" w:hAnsi="仿宋" w:eastAsia="仿宋"/>
                <w:b w:val="0"/>
                <w:sz w:val="20"/>
              </w:rPr>
              <w:t>2026年10月</w:t>
            </w:r>
          </w:p>
        </w:tc>
      </w:tr>
    </w:tbl>
    <w:p w14:paraId="5FB37240"/>
    <w:p w14:paraId="0168B7D0">
      <w:pPr>
        <w:spacing w:line="360" w:lineRule="auto"/>
        <w:jc w:val="left"/>
      </w:pPr>
      <w:r>
        <w:rPr>
          <w:rFonts w:ascii="黑体" w:hAnsi="黑体" w:eastAsia="黑体"/>
          <w:b/>
          <w:sz w:val="28"/>
        </w:rPr>
        <w:t>5.依托工程</w:t>
      </w:r>
    </w:p>
    <w:p w14:paraId="46919CFA">
      <w:pPr>
        <w:spacing w:line="360" w:lineRule="auto"/>
        <w:ind w:firstLine="420"/>
        <w:jc w:val="left"/>
      </w:pPr>
      <w:r>
        <w:rPr>
          <w:rFonts w:ascii="仿宋" w:hAnsi="仿宋" w:eastAsia="仿宋"/>
          <w:b w:val="0"/>
          <w:sz w:val="28"/>
        </w:rPr>
        <w:t>本项目依托重庆沙坪坝铁路综合枢纽项目。该项目是国铁集团与重庆市政府合作的示范项目、国内首例站城融合高铁上盖TOD开发项目，也是"四网融合"发展、土地集约利用的创新示范项目。项目于2013年4月开工建设，2018年1月通车投用，2020年12月盖上商业体"龙湖·金沙天街"建成开街。项目占地面积21.8万㎡，总建筑面积75万㎡，其中综合枢纽面积27万㎡，上盖物业开发面积48万㎡，轨道交通建筑面积3.1万㎡。</w:t>
      </w:r>
    </w:p>
    <w:p w14:paraId="361CB0EA">
      <w:pPr>
        <w:spacing w:line="360" w:lineRule="auto"/>
        <w:ind w:firstLine="420"/>
        <w:jc w:val="left"/>
      </w:pPr>
      <w:r>
        <w:rPr>
          <w:rFonts w:ascii="仿宋" w:hAnsi="仿宋" w:eastAsia="仿宋"/>
          <w:b w:val="0"/>
          <w:sz w:val="28"/>
        </w:rPr>
        <w:t>沙坪坝铁路综合枢纽率先引入"站城融合"设计理念，将高铁站改造为集高铁、轨道、公交、长途、出租、共享汽车、商业为一体的现代化城市综合交通枢纽，实现交通功能与城市公共服务功能有机衔接，为成渝地区双城经济圈建设提供有力支撑。</w:t>
      </w:r>
    </w:p>
    <w:p w14:paraId="067DDEB4">
      <w:pPr>
        <w:spacing w:line="360" w:lineRule="auto"/>
        <w:jc w:val="left"/>
      </w:pPr>
      <w:r>
        <w:rPr>
          <w:rFonts w:ascii="黑体" w:hAnsi="黑体" w:eastAsia="黑体"/>
          <w:b/>
          <w:sz w:val="28"/>
        </w:rPr>
        <w:t>6.研究成果及考核指标</w:t>
      </w:r>
    </w:p>
    <w:p w14:paraId="1DDA2C7A">
      <w:r>
        <w:t>本项目考核指标如下表所示：</w:t>
      </w:r>
    </w:p>
    <w:tbl>
      <w:tblPr>
        <w:tblStyle w:val="35"/>
        <w:tblW w:w="88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1598"/>
        <w:gridCol w:w="1140"/>
        <w:gridCol w:w="1768"/>
        <w:gridCol w:w="1082"/>
        <w:gridCol w:w="1074"/>
        <w:gridCol w:w="1266"/>
      </w:tblGrid>
      <w:tr w14:paraId="492BA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934" w:type="dxa"/>
            <w:vMerge w:val="restart"/>
            <w:vAlign w:val="center"/>
          </w:tcPr>
          <w:p w14:paraId="1B2B372A">
            <w:pPr>
              <w:jc w:val="center"/>
            </w:pPr>
            <w:r>
              <w:t>序号</w:t>
            </w:r>
          </w:p>
        </w:tc>
        <w:tc>
          <w:tcPr>
            <w:tcW w:w="2738" w:type="dxa"/>
            <w:gridSpan w:val="2"/>
            <w:vAlign w:val="center"/>
          </w:tcPr>
          <w:p w14:paraId="620792BE">
            <w:pPr>
              <w:jc w:val="center"/>
            </w:pPr>
            <w:r>
              <w:t>成果类型</w:t>
            </w:r>
          </w:p>
        </w:tc>
        <w:tc>
          <w:tcPr>
            <w:tcW w:w="2850" w:type="dxa"/>
            <w:gridSpan w:val="2"/>
            <w:vAlign w:val="center"/>
          </w:tcPr>
          <w:p w14:paraId="4D4C8A0E">
            <w:pPr>
              <w:jc w:val="center"/>
            </w:pPr>
            <w:r>
              <w:t>对应技术指标</w:t>
            </w:r>
          </w:p>
        </w:tc>
        <w:tc>
          <w:tcPr>
            <w:tcW w:w="1074" w:type="dxa"/>
            <w:vMerge w:val="restart"/>
            <w:vAlign w:val="center"/>
          </w:tcPr>
          <w:p w14:paraId="6317C988">
            <w:pPr>
              <w:jc w:val="center"/>
              <w:rPr>
                <w:rFonts w:hint="default" w:eastAsia="宋体"/>
                <w:lang w:val="en-US" w:eastAsia="zh-CN"/>
              </w:rPr>
            </w:pPr>
            <w:r>
              <w:rPr>
                <w:rFonts w:hint="eastAsia"/>
                <w:lang w:val="en-US" w:eastAsia="zh-CN"/>
              </w:rPr>
              <w:t>提交成果</w:t>
            </w:r>
          </w:p>
        </w:tc>
        <w:tc>
          <w:tcPr>
            <w:tcW w:w="1266" w:type="dxa"/>
            <w:vMerge w:val="restart"/>
            <w:vAlign w:val="center"/>
          </w:tcPr>
          <w:p w14:paraId="49AB7B2F">
            <w:pPr>
              <w:jc w:val="center"/>
            </w:pPr>
            <w:r>
              <w:t>备注</w:t>
            </w:r>
          </w:p>
        </w:tc>
      </w:tr>
      <w:tr w14:paraId="1994A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934" w:type="dxa"/>
            <w:vMerge w:val="continue"/>
            <w:vAlign w:val="center"/>
          </w:tcPr>
          <w:p w14:paraId="33B2EFFE">
            <w:pPr>
              <w:jc w:val="center"/>
            </w:pPr>
          </w:p>
        </w:tc>
        <w:tc>
          <w:tcPr>
            <w:tcW w:w="1598" w:type="dxa"/>
            <w:vAlign w:val="center"/>
          </w:tcPr>
          <w:p w14:paraId="7406A6ED">
            <w:pPr>
              <w:jc w:val="center"/>
            </w:pPr>
            <w:r>
              <w:t>大类</w:t>
            </w:r>
          </w:p>
        </w:tc>
        <w:tc>
          <w:tcPr>
            <w:tcW w:w="1140" w:type="dxa"/>
            <w:vAlign w:val="center"/>
          </w:tcPr>
          <w:p w14:paraId="25F33CB0">
            <w:pPr>
              <w:jc w:val="center"/>
            </w:pPr>
            <w:r>
              <w:t>小类</w:t>
            </w:r>
          </w:p>
        </w:tc>
        <w:tc>
          <w:tcPr>
            <w:tcW w:w="1768" w:type="dxa"/>
            <w:vAlign w:val="center"/>
          </w:tcPr>
          <w:p w14:paraId="23AE3777">
            <w:pPr>
              <w:jc w:val="center"/>
            </w:pPr>
            <w:r>
              <w:t>指标描述</w:t>
            </w:r>
          </w:p>
        </w:tc>
        <w:tc>
          <w:tcPr>
            <w:tcW w:w="1082" w:type="dxa"/>
            <w:vAlign w:val="center"/>
          </w:tcPr>
          <w:p w14:paraId="584DE7C7">
            <w:pPr>
              <w:jc w:val="center"/>
            </w:pPr>
            <w:r>
              <w:t>指标数量</w:t>
            </w:r>
          </w:p>
        </w:tc>
        <w:tc>
          <w:tcPr>
            <w:tcW w:w="1074" w:type="dxa"/>
            <w:vMerge w:val="continue"/>
            <w:vAlign w:val="center"/>
          </w:tcPr>
          <w:p w14:paraId="1ACE6674">
            <w:pPr>
              <w:jc w:val="center"/>
            </w:pPr>
          </w:p>
        </w:tc>
        <w:tc>
          <w:tcPr>
            <w:tcW w:w="1266" w:type="dxa"/>
            <w:vMerge w:val="continue"/>
            <w:vAlign w:val="center"/>
          </w:tcPr>
          <w:p w14:paraId="2B45530D">
            <w:pPr>
              <w:jc w:val="center"/>
            </w:pPr>
          </w:p>
        </w:tc>
      </w:tr>
      <w:tr w14:paraId="1AE83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vAlign w:val="center"/>
          </w:tcPr>
          <w:p w14:paraId="5222B661">
            <w:pPr>
              <w:jc w:val="center"/>
            </w:pPr>
            <w:r>
              <w:t>1</w:t>
            </w:r>
          </w:p>
        </w:tc>
        <w:tc>
          <w:tcPr>
            <w:tcW w:w="1598" w:type="dxa"/>
            <w:vAlign w:val="center"/>
          </w:tcPr>
          <w:p w14:paraId="5BCCC09F">
            <w:pPr>
              <w:jc w:val="center"/>
            </w:pPr>
            <w:r>
              <w:t>关键核心技术</w:t>
            </w:r>
          </w:p>
        </w:tc>
        <w:tc>
          <w:tcPr>
            <w:tcW w:w="1140" w:type="dxa"/>
            <w:vAlign w:val="center"/>
          </w:tcPr>
          <w:p w14:paraId="43952E60">
            <w:pPr>
              <w:jc w:val="center"/>
            </w:pPr>
            <w:r>
              <w:t>系统模型</w:t>
            </w:r>
          </w:p>
        </w:tc>
        <w:tc>
          <w:tcPr>
            <w:tcW w:w="1768" w:type="dxa"/>
            <w:vAlign w:val="center"/>
          </w:tcPr>
          <w:p w14:paraId="0D838E3C">
            <w:pPr>
              <w:jc w:val="center"/>
            </w:pPr>
            <w:r>
              <w:t>完成17个专业化算法开发与部署</w:t>
            </w:r>
          </w:p>
        </w:tc>
        <w:tc>
          <w:tcPr>
            <w:tcW w:w="1082" w:type="dxa"/>
            <w:vAlign w:val="center"/>
          </w:tcPr>
          <w:p w14:paraId="02B5C9C1">
            <w:pPr>
              <w:jc w:val="center"/>
            </w:pPr>
            <w:r>
              <w:t>17</w:t>
            </w:r>
          </w:p>
        </w:tc>
        <w:tc>
          <w:tcPr>
            <w:tcW w:w="1074" w:type="dxa"/>
            <w:vAlign w:val="center"/>
          </w:tcPr>
          <w:p w14:paraId="04242B19">
            <w:pPr>
              <w:jc w:val="center"/>
              <w:rPr>
                <w:rFonts w:hint="default" w:eastAsia="宋体"/>
                <w:lang w:val="en-US" w:eastAsia="zh-CN"/>
              </w:rPr>
            </w:pPr>
            <w:r>
              <w:rPr>
                <w:rFonts w:hint="eastAsia"/>
                <w:lang w:val="en-US" w:eastAsia="zh-CN"/>
              </w:rPr>
              <w:t>模型</w:t>
            </w:r>
          </w:p>
        </w:tc>
        <w:tc>
          <w:tcPr>
            <w:tcW w:w="1266" w:type="dxa"/>
            <w:vAlign w:val="center"/>
          </w:tcPr>
          <w:p w14:paraId="042BFCB6">
            <w:pPr>
              <w:jc w:val="center"/>
            </w:pPr>
            <w:r>
              <w:t>/</w:t>
            </w:r>
          </w:p>
        </w:tc>
      </w:tr>
      <w:tr w14:paraId="2F8C1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vAlign w:val="center"/>
          </w:tcPr>
          <w:p w14:paraId="65348CA5">
            <w:pPr>
              <w:jc w:val="center"/>
            </w:pPr>
            <w:r>
              <w:t>2</w:t>
            </w:r>
          </w:p>
        </w:tc>
        <w:tc>
          <w:tcPr>
            <w:tcW w:w="1598" w:type="dxa"/>
            <w:vAlign w:val="center"/>
          </w:tcPr>
          <w:p w14:paraId="48D4C229">
            <w:pPr>
              <w:jc w:val="center"/>
            </w:pPr>
            <w:r>
              <w:t>关键核心技术</w:t>
            </w:r>
          </w:p>
        </w:tc>
        <w:tc>
          <w:tcPr>
            <w:tcW w:w="1140" w:type="dxa"/>
            <w:vAlign w:val="center"/>
          </w:tcPr>
          <w:p w14:paraId="1CC19414">
            <w:pPr>
              <w:jc w:val="center"/>
            </w:pPr>
            <w:r>
              <w:t>系统模型</w:t>
            </w:r>
          </w:p>
        </w:tc>
        <w:tc>
          <w:tcPr>
            <w:tcW w:w="1768" w:type="dxa"/>
            <w:vAlign w:val="center"/>
          </w:tcPr>
          <w:p w14:paraId="70517EC2">
            <w:pPr>
              <w:jc w:val="center"/>
            </w:pPr>
            <w:r>
              <w:t>实时场景响应延迟≤1秒，非实时场景准确率≥85%</w:t>
            </w:r>
          </w:p>
        </w:tc>
        <w:tc>
          <w:tcPr>
            <w:tcW w:w="1082" w:type="dxa"/>
            <w:vAlign w:val="center"/>
          </w:tcPr>
          <w:p w14:paraId="70E7AF55">
            <w:pPr>
              <w:jc w:val="center"/>
            </w:pPr>
            <w:r>
              <w:t>2</w:t>
            </w:r>
          </w:p>
        </w:tc>
        <w:tc>
          <w:tcPr>
            <w:tcW w:w="1074" w:type="dxa"/>
            <w:vAlign w:val="center"/>
          </w:tcPr>
          <w:p w14:paraId="6DB4E13A">
            <w:pPr>
              <w:jc w:val="center"/>
            </w:pPr>
            <w:r>
              <w:rPr>
                <w:rFonts w:hint="eastAsia"/>
                <w:lang w:val="en-US" w:eastAsia="zh-CN"/>
              </w:rPr>
              <w:t>测试报告</w:t>
            </w:r>
          </w:p>
        </w:tc>
        <w:tc>
          <w:tcPr>
            <w:tcW w:w="1266" w:type="dxa"/>
            <w:vAlign w:val="center"/>
          </w:tcPr>
          <w:p w14:paraId="31E1C92E">
            <w:pPr>
              <w:jc w:val="center"/>
            </w:pPr>
            <w:r>
              <w:t>/</w:t>
            </w:r>
          </w:p>
        </w:tc>
      </w:tr>
      <w:tr w14:paraId="220F3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vAlign w:val="center"/>
          </w:tcPr>
          <w:p w14:paraId="2FC27B85">
            <w:pPr>
              <w:jc w:val="center"/>
            </w:pPr>
            <w:r>
              <w:t>3</w:t>
            </w:r>
          </w:p>
        </w:tc>
        <w:tc>
          <w:tcPr>
            <w:tcW w:w="1598" w:type="dxa"/>
            <w:vAlign w:val="center"/>
          </w:tcPr>
          <w:p w14:paraId="0C3F2F6F">
            <w:pPr>
              <w:jc w:val="center"/>
            </w:pPr>
            <w:r>
              <w:t>关键核心技术</w:t>
            </w:r>
          </w:p>
        </w:tc>
        <w:tc>
          <w:tcPr>
            <w:tcW w:w="1140" w:type="dxa"/>
            <w:vAlign w:val="center"/>
          </w:tcPr>
          <w:p w14:paraId="50AEEEFF">
            <w:pPr>
              <w:jc w:val="center"/>
            </w:pPr>
            <w:r>
              <w:t>系统模型</w:t>
            </w:r>
          </w:p>
        </w:tc>
        <w:tc>
          <w:tcPr>
            <w:tcW w:w="1768" w:type="dxa"/>
            <w:vAlign w:val="center"/>
          </w:tcPr>
          <w:p w14:paraId="65DC71BB">
            <w:pPr>
              <w:jc w:val="center"/>
            </w:pPr>
            <w:r>
              <w:t>数据标注精度≥95%，模型预测偏差率≤10%</w:t>
            </w:r>
          </w:p>
        </w:tc>
        <w:tc>
          <w:tcPr>
            <w:tcW w:w="1082" w:type="dxa"/>
            <w:vAlign w:val="center"/>
          </w:tcPr>
          <w:p w14:paraId="0F912031">
            <w:pPr>
              <w:jc w:val="center"/>
            </w:pPr>
            <w:r>
              <w:t>2</w:t>
            </w:r>
          </w:p>
        </w:tc>
        <w:tc>
          <w:tcPr>
            <w:tcW w:w="1074" w:type="dxa"/>
            <w:vAlign w:val="center"/>
          </w:tcPr>
          <w:p w14:paraId="42324D81">
            <w:pPr>
              <w:jc w:val="center"/>
            </w:pPr>
            <w:r>
              <w:rPr>
                <w:rFonts w:hint="eastAsia"/>
                <w:lang w:val="en-US" w:eastAsia="zh-CN"/>
              </w:rPr>
              <w:t>测试报告</w:t>
            </w:r>
          </w:p>
        </w:tc>
        <w:tc>
          <w:tcPr>
            <w:tcW w:w="1266" w:type="dxa"/>
            <w:vAlign w:val="center"/>
          </w:tcPr>
          <w:p w14:paraId="53F5D569">
            <w:pPr>
              <w:jc w:val="center"/>
            </w:pPr>
            <w:r>
              <w:t>/</w:t>
            </w:r>
          </w:p>
        </w:tc>
      </w:tr>
      <w:tr w14:paraId="5C845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vAlign w:val="center"/>
          </w:tcPr>
          <w:p w14:paraId="165B1804">
            <w:pPr>
              <w:jc w:val="center"/>
            </w:pPr>
            <w:r>
              <w:t>4</w:t>
            </w:r>
          </w:p>
        </w:tc>
        <w:tc>
          <w:tcPr>
            <w:tcW w:w="1598" w:type="dxa"/>
            <w:vAlign w:val="center"/>
          </w:tcPr>
          <w:p w14:paraId="676272DB">
            <w:pPr>
              <w:jc w:val="center"/>
            </w:pPr>
            <w:r>
              <w:t>关键核心技术</w:t>
            </w:r>
          </w:p>
        </w:tc>
        <w:tc>
          <w:tcPr>
            <w:tcW w:w="1140" w:type="dxa"/>
            <w:vAlign w:val="center"/>
          </w:tcPr>
          <w:p w14:paraId="43860838">
            <w:pPr>
              <w:jc w:val="center"/>
            </w:pPr>
            <w:r>
              <w:t>系统模型</w:t>
            </w:r>
          </w:p>
        </w:tc>
        <w:tc>
          <w:tcPr>
            <w:tcW w:w="1768" w:type="dxa"/>
            <w:vAlign w:val="center"/>
          </w:tcPr>
          <w:p w14:paraId="45425884">
            <w:pPr>
              <w:jc w:val="center"/>
            </w:pPr>
            <w:r>
              <w:t>建成枢纽车站场景智能体，具备自主感知、决策、执行、记忆、迭代能力</w:t>
            </w:r>
          </w:p>
        </w:tc>
        <w:tc>
          <w:tcPr>
            <w:tcW w:w="1082" w:type="dxa"/>
            <w:vAlign w:val="center"/>
          </w:tcPr>
          <w:p w14:paraId="5221403F">
            <w:pPr>
              <w:jc w:val="center"/>
            </w:pPr>
            <w:r>
              <w:t>1</w:t>
            </w:r>
          </w:p>
        </w:tc>
        <w:tc>
          <w:tcPr>
            <w:tcW w:w="1074" w:type="dxa"/>
            <w:vAlign w:val="center"/>
          </w:tcPr>
          <w:p w14:paraId="137A2D59">
            <w:pPr>
              <w:jc w:val="center"/>
            </w:pPr>
            <w:r>
              <w:rPr>
                <w:rFonts w:hint="eastAsia"/>
                <w:lang w:val="en-US" w:eastAsia="zh-CN"/>
              </w:rPr>
              <w:t>智能体</w:t>
            </w:r>
          </w:p>
        </w:tc>
        <w:tc>
          <w:tcPr>
            <w:tcW w:w="1266" w:type="dxa"/>
            <w:vAlign w:val="center"/>
          </w:tcPr>
          <w:p w14:paraId="309CEC52">
            <w:pPr>
              <w:jc w:val="center"/>
            </w:pPr>
            <w:r>
              <w:t>/</w:t>
            </w:r>
          </w:p>
        </w:tc>
      </w:tr>
      <w:tr w14:paraId="367A6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vAlign w:val="center"/>
          </w:tcPr>
          <w:p w14:paraId="3794CDEA">
            <w:pPr>
              <w:jc w:val="center"/>
            </w:pPr>
            <w:r>
              <w:t>5</w:t>
            </w:r>
          </w:p>
        </w:tc>
        <w:tc>
          <w:tcPr>
            <w:tcW w:w="1598" w:type="dxa"/>
            <w:vAlign w:val="center"/>
          </w:tcPr>
          <w:p w14:paraId="19A62B4D">
            <w:pPr>
              <w:jc w:val="center"/>
            </w:pPr>
            <w:r>
              <w:t>关键核心技术</w:t>
            </w:r>
          </w:p>
        </w:tc>
        <w:tc>
          <w:tcPr>
            <w:tcW w:w="1140" w:type="dxa"/>
            <w:vAlign w:val="center"/>
          </w:tcPr>
          <w:p w14:paraId="5432FA00">
            <w:pPr>
              <w:jc w:val="center"/>
            </w:pPr>
            <w:r>
              <w:t>系统模型</w:t>
            </w:r>
          </w:p>
        </w:tc>
        <w:tc>
          <w:tcPr>
            <w:tcW w:w="1768" w:type="dxa"/>
            <w:vAlign w:val="center"/>
          </w:tcPr>
          <w:p w14:paraId="1BBAA0B8">
            <w:pPr>
              <w:jc w:val="center"/>
            </w:pPr>
            <w:r>
              <w:t>智能体决策成功率≥90%，异常处置响应时间≤3秒</w:t>
            </w:r>
          </w:p>
        </w:tc>
        <w:tc>
          <w:tcPr>
            <w:tcW w:w="1082" w:type="dxa"/>
            <w:vAlign w:val="center"/>
          </w:tcPr>
          <w:p w14:paraId="32230190">
            <w:pPr>
              <w:jc w:val="center"/>
            </w:pPr>
            <w:r>
              <w:t>2</w:t>
            </w:r>
          </w:p>
        </w:tc>
        <w:tc>
          <w:tcPr>
            <w:tcW w:w="1074" w:type="dxa"/>
            <w:vAlign w:val="center"/>
          </w:tcPr>
          <w:p w14:paraId="2DD2B57B">
            <w:pPr>
              <w:jc w:val="center"/>
              <w:rPr>
                <w:rFonts w:hint="default" w:eastAsia="宋体"/>
                <w:lang w:val="en-US" w:eastAsia="zh-CN"/>
              </w:rPr>
            </w:pPr>
            <w:r>
              <w:rPr>
                <w:rFonts w:hint="eastAsia"/>
                <w:lang w:val="en-US" w:eastAsia="zh-CN"/>
              </w:rPr>
              <w:t>测试报告</w:t>
            </w:r>
          </w:p>
        </w:tc>
        <w:tc>
          <w:tcPr>
            <w:tcW w:w="1266" w:type="dxa"/>
            <w:vAlign w:val="center"/>
          </w:tcPr>
          <w:p w14:paraId="7769720D">
            <w:pPr>
              <w:jc w:val="center"/>
            </w:pPr>
            <w:r>
              <w:t>/</w:t>
            </w:r>
          </w:p>
        </w:tc>
      </w:tr>
      <w:tr w14:paraId="63F0E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vAlign w:val="center"/>
          </w:tcPr>
          <w:p w14:paraId="0B0E18B0">
            <w:pPr>
              <w:jc w:val="center"/>
            </w:pPr>
            <w:r>
              <w:t>6</w:t>
            </w:r>
          </w:p>
        </w:tc>
        <w:tc>
          <w:tcPr>
            <w:tcW w:w="1598" w:type="dxa"/>
            <w:vAlign w:val="center"/>
          </w:tcPr>
          <w:p w14:paraId="6E43E9E6">
            <w:pPr>
              <w:jc w:val="center"/>
            </w:pPr>
            <w:r>
              <w:t>关键核心技术</w:t>
            </w:r>
          </w:p>
        </w:tc>
        <w:tc>
          <w:tcPr>
            <w:tcW w:w="1140" w:type="dxa"/>
            <w:vAlign w:val="center"/>
          </w:tcPr>
          <w:p w14:paraId="270170B4">
            <w:pPr>
              <w:jc w:val="center"/>
            </w:pPr>
            <w:r>
              <w:t>系统模型</w:t>
            </w:r>
          </w:p>
        </w:tc>
        <w:tc>
          <w:tcPr>
            <w:tcW w:w="1768" w:type="dxa"/>
            <w:vAlign w:val="center"/>
          </w:tcPr>
          <w:p w14:paraId="147C3F65">
            <w:pPr>
              <w:jc w:val="center"/>
            </w:pPr>
            <w:r>
              <w:t>实现集团交通行业垂域大模型与智能体无缝对接</w:t>
            </w:r>
          </w:p>
        </w:tc>
        <w:tc>
          <w:tcPr>
            <w:tcW w:w="1082" w:type="dxa"/>
            <w:vAlign w:val="center"/>
          </w:tcPr>
          <w:p w14:paraId="7A23388F">
            <w:pPr>
              <w:jc w:val="center"/>
            </w:pPr>
            <w:r>
              <w:t>1</w:t>
            </w:r>
          </w:p>
        </w:tc>
        <w:tc>
          <w:tcPr>
            <w:tcW w:w="1074" w:type="dxa"/>
            <w:vAlign w:val="center"/>
          </w:tcPr>
          <w:p w14:paraId="4ADCFB47">
            <w:pPr>
              <w:jc w:val="center"/>
              <w:rPr>
                <w:rFonts w:hint="default" w:eastAsia="宋体"/>
                <w:lang w:val="en-US" w:eastAsia="zh-CN"/>
              </w:rPr>
            </w:pPr>
            <w:r>
              <w:rPr>
                <w:rFonts w:hint="eastAsia"/>
                <w:lang w:val="en-US" w:eastAsia="zh-CN"/>
              </w:rPr>
              <w:t>测试报告</w:t>
            </w:r>
          </w:p>
        </w:tc>
        <w:tc>
          <w:tcPr>
            <w:tcW w:w="1266" w:type="dxa"/>
            <w:vAlign w:val="center"/>
          </w:tcPr>
          <w:p w14:paraId="7B7C33C8">
            <w:pPr>
              <w:jc w:val="center"/>
            </w:pPr>
            <w:r>
              <w:t>/</w:t>
            </w:r>
          </w:p>
        </w:tc>
      </w:tr>
      <w:tr w14:paraId="54AB8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vAlign w:val="center"/>
          </w:tcPr>
          <w:p w14:paraId="28355F2E">
            <w:pPr>
              <w:jc w:val="center"/>
            </w:pPr>
            <w:r>
              <w:t>7</w:t>
            </w:r>
          </w:p>
        </w:tc>
        <w:tc>
          <w:tcPr>
            <w:tcW w:w="1598" w:type="dxa"/>
            <w:vAlign w:val="center"/>
          </w:tcPr>
          <w:p w14:paraId="58A665AE">
            <w:pPr>
              <w:jc w:val="center"/>
            </w:pPr>
            <w:r>
              <w:t>关键核心技术</w:t>
            </w:r>
          </w:p>
        </w:tc>
        <w:tc>
          <w:tcPr>
            <w:tcW w:w="1140" w:type="dxa"/>
            <w:vAlign w:val="center"/>
          </w:tcPr>
          <w:p w14:paraId="0DA87827">
            <w:pPr>
              <w:jc w:val="center"/>
            </w:pPr>
            <w:r>
              <w:t>系统模型</w:t>
            </w:r>
          </w:p>
        </w:tc>
        <w:tc>
          <w:tcPr>
            <w:tcW w:w="1768" w:type="dxa"/>
            <w:vAlign w:val="center"/>
          </w:tcPr>
          <w:p w14:paraId="7D6B04FC">
            <w:pPr>
              <w:jc w:val="center"/>
            </w:pPr>
            <w:r>
              <w:t>依托智云底座+疆算入渝算力，支持高并发调用≥1000次/分钟</w:t>
            </w:r>
          </w:p>
        </w:tc>
        <w:tc>
          <w:tcPr>
            <w:tcW w:w="1082" w:type="dxa"/>
            <w:vAlign w:val="center"/>
          </w:tcPr>
          <w:p w14:paraId="21EE296D">
            <w:pPr>
              <w:jc w:val="center"/>
            </w:pPr>
            <w:r>
              <w:t>1</w:t>
            </w:r>
          </w:p>
        </w:tc>
        <w:tc>
          <w:tcPr>
            <w:tcW w:w="1074" w:type="dxa"/>
            <w:vAlign w:val="center"/>
          </w:tcPr>
          <w:p w14:paraId="0C96D9B7">
            <w:pPr>
              <w:jc w:val="center"/>
            </w:pPr>
            <w:r>
              <w:rPr>
                <w:rFonts w:hint="eastAsia"/>
                <w:lang w:val="en-US" w:eastAsia="zh-CN"/>
              </w:rPr>
              <w:t>测试报告</w:t>
            </w:r>
          </w:p>
        </w:tc>
        <w:tc>
          <w:tcPr>
            <w:tcW w:w="1266" w:type="dxa"/>
            <w:vAlign w:val="center"/>
          </w:tcPr>
          <w:p w14:paraId="20A4BCFC">
            <w:pPr>
              <w:jc w:val="center"/>
            </w:pPr>
            <w:r>
              <w:t>/</w:t>
            </w:r>
          </w:p>
        </w:tc>
      </w:tr>
      <w:tr w14:paraId="06E91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vAlign w:val="center"/>
          </w:tcPr>
          <w:p w14:paraId="532EFD0E">
            <w:pPr>
              <w:jc w:val="center"/>
            </w:pPr>
            <w:r>
              <w:t>8</w:t>
            </w:r>
          </w:p>
        </w:tc>
        <w:tc>
          <w:tcPr>
            <w:tcW w:w="1598" w:type="dxa"/>
            <w:vAlign w:val="center"/>
          </w:tcPr>
          <w:p w14:paraId="38BD5DAE">
            <w:pPr>
              <w:jc w:val="center"/>
            </w:pPr>
            <w:r>
              <w:t>关键核心技术</w:t>
            </w:r>
          </w:p>
        </w:tc>
        <w:tc>
          <w:tcPr>
            <w:tcW w:w="1140" w:type="dxa"/>
            <w:vAlign w:val="center"/>
          </w:tcPr>
          <w:p w14:paraId="450BE92C">
            <w:pPr>
              <w:jc w:val="center"/>
            </w:pPr>
            <w:r>
              <w:t>应用价值</w:t>
            </w:r>
          </w:p>
        </w:tc>
        <w:tc>
          <w:tcPr>
            <w:tcW w:w="1768" w:type="dxa"/>
            <w:vAlign w:val="center"/>
          </w:tcPr>
          <w:p w14:paraId="47254FAD">
            <w:pPr>
              <w:jc w:val="center"/>
            </w:pPr>
            <w:r>
              <w:t>完成与枢纽现有系统稳定对接</w:t>
            </w:r>
          </w:p>
        </w:tc>
        <w:tc>
          <w:tcPr>
            <w:tcW w:w="1082" w:type="dxa"/>
            <w:vAlign w:val="center"/>
          </w:tcPr>
          <w:p w14:paraId="4B71ACAA">
            <w:pPr>
              <w:jc w:val="center"/>
            </w:pPr>
            <w:r>
              <w:t>1</w:t>
            </w:r>
          </w:p>
        </w:tc>
        <w:tc>
          <w:tcPr>
            <w:tcW w:w="1074" w:type="dxa"/>
            <w:vAlign w:val="center"/>
          </w:tcPr>
          <w:p w14:paraId="59087FF0">
            <w:pPr>
              <w:jc w:val="center"/>
            </w:pPr>
            <w:r>
              <w:rPr>
                <w:rFonts w:hint="eastAsia"/>
                <w:lang w:val="en-US" w:eastAsia="zh-CN"/>
              </w:rPr>
              <w:t>测试报告</w:t>
            </w:r>
          </w:p>
        </w:tc>
        <w:tc>
          <w:tcPr>
            <w:tcW w:w="1266" w:type="dxa"/>
            <w:vAlign w:val="center"/>
          </w:tcPr>
          <w:p w14:paraId="5F4ED03E">
            <w:pPr>
              <w:jc w:val="center"/>
            </w:pPr>
            <w:r>
              <w:t>/</w:t>
            </w:r>
          </w:p>
        </w:tc>
      </w:tr>
      <w:tr w14:paraId="09261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vAlign w:val="center"/>
          </w:tcPr>
          <w:p w14:paraId="719FC958">
            <w:pPr>
              <w:jc w:val="center"/>
            </w:pPr>
            <w:r>
              <w:t>9</w:t>
            </w:r>
          </w:p>
        </w:tc>
        <w:tc>
          <w:tcPr>
            <w:tcW w:w="1598" w:type="dxa"/>
            <w:vAlign w:val="center"/>
          </w:tcPr>
          <w:p w14:paraId="32890B4C">
            <w:pPr>
              <w:jc w:val="center"/>
            </w:pPr>
            <w:r>
              <w:t>经济社会效应</w:t>
            </w:r>
          </w:p>
        </w:tc>
        <w:tc>
          <w:tcPr>
            <w:tcW w:w="1140" w:type="dxa"/>
            <w:vAlign w:val="center"/>
          </w:tcPr>
          <w:p w14:paraId="45EC0F1D">
            <w:pPr>
              <w:jc w:val="center"/>
            </w:pPr>
            <w:r>
              <w:t>应用价值</w:t>
            </w:r>
          </w:p>
        </w:tc>
        <w:tc>
          <w:tcPr>
            <w:tcW w:w="1768" w:type="dxa"/>
            <w:vAlign w:val="center"/>
          </w:tcPr>
          <w:p w14:paraId="47255490">
            <w:pPr>
              <w:jc w:val="center"/>
            </w:pPr>
            <w:r>
              <w:t>旅客等候时长、车辆接客时长显著缩短，区域拥堵率、设备异常响应时间明显下降</w:t>
            </w:r>
          </w:p>
        </w:tc>
        <w:tc>
          <w:tcPr>
            <w:tcW w:w="1082" w:type="dxa"/>
            <w:vAlign w:val="center"/>
          </w:tcPr>
          <w:p w14:paraId="70D582AC">
            <w:pPr>
              <w:jc w:val="center"/>
            </w:pPr>
            <w:r>
              <w:t>4</w:t>
            </w:r>
          </w:p>
        </w:tc>
        <w:tc>
          <w:tcPr>
            <w:tcW w:w="1074" w:type="dxa"/>
            <w:vAlign w:val="center"/>
          </w:tcPr>
          <w:p w14:paraId="46B78C74">
            <w:pPr>
              <w:jc w:val="center"/>
            </w:pPr>
            <w:r>
              <w:rPr>
                <w:rFonts w:hint="eastAsia"/>
                <w:lang w:val="en-US" w:eastAsia="zh-CN"/>
              </w:rPr>
              <w:t>研究报告</w:t>
            </w:r>
          </w:p>
        </w:tc>
        <w:tc>
          <w:tcPr>
            <w:tcW w:w="1266" w:type="dxa"/>
            <w:vAlign w:val="center"/>
          </w:tcPr>
          <w:p w14:paraId="656D2267">
            <w:pPr>
              <w:jc w:val="center"/>
            </w:pPr>
            <w:r>
              <w:t>/</w:t>
            </w:r>
          </w:p>
        </w:tc>
      </w:tr>
      <w:tr w14:paraId="36326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vAlign w:val="center"/>
          </w:tcPr>
          <w:p w14:paraId="1A6B090B">
            <w:pPr>
              <w:jc w:val="center"/>
            </w:pPr>
            <w:r>
              <w:t>10</w:t>
            </w:r>
          </w:p>
        </w:tc>
        <w:tc>
          <w:tcPr>
            <w:tcW w:w="1598" w:type="dxa"/>
            <w:vAlign w:val="center"/>
          </w:tcPr>
          <w:p w14:paraId="48EF7CEB">
            <w:pPr>
              <w:jc w:val="center"/>
            </w:pPr>
            <w:r>
              <w:t>关键核心技术</w:t>
            </w:r>
          </w:p>
        </w:tc>
        <w:tc>
          <w:tcPr>
            <w:tcW w:w="1140" w:type="dxa"/>
            <w:vAlign w:val="center"/>
          </w:tcPr>
          <w:p w14:paraId="3B8F337E">
            <w:pPr>
              <w:jc w:val="center"/>
            </w:pPr>
            <w:r>
              <w:t>系统模型</w:t>
            </w:r>
          </w:p>
        </w:tc>
        <w:tc>
          <w:tcPr>
            <w:tcW w:w="1768" w:type="dxa"/>
            <w:vAlign w:val="center"/>
          </w:tcPr>
          <w:p w14:paraId="32F1449D">
            <w:pPr>
              <w:jc w:val="center"/>
            </w:pPr>
            <w:r>
              <w:t>形成完整实施方案、模型文档、智能体设计文档、展示材料并通过验收</w:t>
            </w:r>
          </w:p>
        </w:tc>
        <w:tc>
          <w:tcPr>
            <w:tcW w:w="1082" w:type="dxa"/>
            <w:vAlign w:val="center"/>
          </w:tcPr>
          <w:p w14:paraId="255C840C">
            <w:pPr>
              <w:jc w:val="center"/>
            </w:pPr>
            <w:r>
              <w:t>4</w:t>
            </w:r>
          </w:p>
        </w:tc>
        <w:tc>
          <w:tcPr>
            <w:tcW w:w="1074" w:type="dxa"/>
            <w:vAlign w:val="center"/>
          </w:tcPr>
          <w:p w14:paraId="4CA3C8E3">
            <w:pPr>
              <w:jc w:val="center"/>
            </w:pPr>
            <w:r>
              <w:rPr>
                <w:rFonts w:hint="eastAsia"/>
                <w:lang w:val="en-US" w:eastAsia="zh-CN"/>
              </w:rPr>
              <w:t>研究报告</w:t>
            </w:r>
          </w:p>
        </w:tc>
        <w:tc>
          <w:tcPr>
            <w:tcW w:w="1266" w:type="dxa"/>
            <w:vAlign w:val="center"/>
          </w:tcPr>
          <w:p w14:paraId="5A81440D">
            <w:pPr>
              <w:jc w:val="center"/>
            </w:pPr>
            <w:r>
              <w:t>/</w:t>
            </w:r>
          </w:p>
        </w:tc>
      </w:tr>
    </w:tbl>
    <w:p w14:paraId="5AF57F40"/>
    <w:p w14:paraId="4ED668A1">
      <w:pPr>
        <w:spacing w:line="360" w:lineRule="auto"/>
        <w:ind w:firstLine="420"/>
        <w:jc w:val="left"/>
      </w:pPr>
    </w:p>
    <w:p w14:paraId="736172D0">
      <w:pPr>
        <w:spacing w:line="360" w:lineRule="auto"/>
        <w:jc w:val="left"/>
      </w:pPr>
      <w:r>
        <w:rPr>
          <w:rFonts w:ascii="黑体" w:hAnsi="黑体" w:eastAsia="黑体"/>
          <w:b/>
          <w:sz w:val="28"/>
        </w:rPr>
        <w:t>7.经费预算表</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15"/>
        <w:gridCol w:w="2220"/>
        <w:gridCol w:w="3321"/>
      </w:tblGrid>
      <w:tr w14:paraId="7CD2C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Pr>
          <w:p w14:paraId="29EB6EBD">
            <w:pPr>
              <w:spacing w:after="0" w:line="360" w:lineRule="auto"/>
              <w:jc w:val="left"/>
            </w:pPr>
            <w:r>
              <w:rPr>
                <w:rFonts w:ascii="仿宋" w:hAnsi="仿宋" w:eastAsia="仿宋"/>
                <w:b/>
                <w:sz w:val="20"/>
              </w:rPr>
              <w:t>科目</w:t>
            </w:r>
          </w:p>
        </w:tc>
        <w:tc>
          <w:tcPr>
            <w:tcW w:w="2268" w:type="dxa"/>
          </w:tcPr>
          <w:p w14:paraId="14A8EC21">
            <w:pPr>
              <w:spacing w:after="0" w:line="360" w:lineRule="auto"/>
              <w:jc w:val="left"/>
            </w:pPr>
            <w:r>
              <w:rPr>
                <w:rFonts w:ascii="仿宋" w:hAnsi="仿宋" w:eastAsia="仿宋"/>
                <w:b/>
                <w:sz w:val="20"/>
              </w:rPr>
              <w:t>金额（万元）</w:t>
            </w:r>
          </w:p>
        </w:tc>
        <w:tc>
          <w:tcPr>
            <w:tcW w:w="3402" w:type="dxa"/>
          </w:tcPr>
          <w:p w14:paraId="54D759E5">
            <w:pPr>
              <w:spacing w:after="0" w:line="360" w:lineRule="auto"/>
              <w:jc w:val="left"/>
            </w:pPr>
            <w:r>
              <w:rPr>
                <w:rFonts w:ascii="仿宋" w:hAnsi="仿宋" w:eastAsia="仿宋"/>
                <w:b/>
                <w:sz w:val="20"/>
              </w:rPr>
              <w:t>备注</w:t>
            </w:r>
          </w:p>
        </w:tc>
      </w:tr>
      <w:tr w14:paraId="4F112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Pr>
          <w:p w14:paraId="1F8F3162">
            <w:pPr>
              <w:spacing w:after="0" w:line="360" w:lineRule="auto"/>
              <w:jc w:val="left"/>
            </w:pPr>
            <w:r>
              <w:rPr>
                <w:rFonts w:ascii="仿宋" w:hAnsi="仿宋" w:eastAsia="仿宋"/>
                <w:b w:val="0"/>
                <w:sz w:val="20"/>
              </w:rPr>
              <w:t>设备费</w:t>
            </w:r>
          </w:p>
        </w:tc>
        <w:tc>
          <w:tcPr>
            <w:tcW w:w="2268" w:type="dxa"/>
          </w:tcPr>
          <w:p w14:paraId="5C046ACD">
            <w:pPr>
              <w:spacing w:after="0" w:line="360" w:lineRule="auto"/>
              <w:jc w:val="left"/>
            </w:pPr>
          </w:p>
        </w:tc>
        <w:tc>
          <w:tcPr>
            <w:tcW w:w="3402" w:type="dxa"/>
          </w:tcPr>
          <w:p w14:paraId="69322C24">
            <w:pPr>
              <w:spacing w:after="0" w:line="360" w:lineRule="auto"/>
              <w:jc w:val="left"/>
            </w:pPr>
            <w:r>
              <w:rPr>
                <w:rFonts w:ascii="仿宋" w:hAnsi="仿宋" w:eastAsia="仿宋"/>
                <w:b w:val="0"/>
                <w:sz w:val="20"/>
              </w:rPr>
              <w:t>计算类仪器设备和软件工具等</w:t>
            </w:r>
          </w:p>
        </w:tc>
      </w:tr>
      <w:tr w14:paraId="0FCED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Pr>
          <w:p w14:paraId="616B3FCC">
            <w:pPr>
              <w:spacing w:after="0" w:line="360" w:lineRule="auto"/>
              <w:jc w:val="left"/>
            </w:pPr>
            <w:r>
              <w:rPr>
                <w:rFonts w:ascii="仿宋" w:hAnsi="仿宋" w:eastAsia="仿宋"/>
                <w:b w:val="0"/>
                <w:sz w:val="20"/>
              </w:rPr>
              <w:t>业务费</w:t>
            </w:r>
          </w:p>
        </w:tc>
        <w:tc>
          <w:tcPr>
            <w:tcW w:w="2268" w:type="dxa"/>
          </w:tcPr>
          <w:p w14:paraId="55B3D047">
            <w:pPr>
              <w:spacing w:after="0" w:line="360" w:lineRule="auto"/>
              <w:jc w:val="left"/>
            </w:pPr>
          </w:p>
        </w:tc>
        <w:tc>
          <w:tcPr>
            <w:tcW w:w="3402" w:type="dxa"/>
          </w:tcPr>
          <w:p w14:paraId="18403B5A">
            <w:pPr>
              <w:spacing w:after="0" w:line="360" w:lineRule="auto"/>
              <w:jc w:val="left"/>
            </w:pPr>
            <w:r>
              <w:rPr>
                <w:rFonts w:ascii="仿宋" w:hAnsi="仿宋" w:eastAsia="仿宋"/>
                <w:b w:val="0"/>
                <w:sz w:val="20"/>
              </w:rPr>
              <w:t>材料、测试化验、出版/文献、差旅等</w:t>
            </w:r>
          </w:p>
        </w:tc>
      </w:tr>
      <w:tr w14:paraId="70CF7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Pr>
          <w:p w14:paraId="6948C262">
            <w:pPr>
              <w:spacing w:after="0" w:line="360" w:lineRule="auto"/>
              <w:jc w:val="left"/>
            </w:pPr>
            <w:r>
              <w:rPr>
                <w:rFonts w:ascii="仿宋" w:hAnsi="仿宋" w:eastAsia="仿宋"/>
                <w:b w:val="0"/>
                <w:sz w:val="20"/>
              </w:rPr>
              <w:t>劳务费</w:t>
            </w:r>
          </w:p>
        </w:tc>
        <w:tc>
          <w:tcPr>
            <w:tcW w:w="2268" w:type="dxa"/>
          </w:tcPr>
          <w:p w14:paraId="5045F82B">
            <w:pPr>
              <w:spacing w:after="0" w:line="360" w:lineRule="auto"/>
              <w:jc w:val="left"/>
            </w:pPr>
          </w:p>
        </w:tc>
        <w:tc>
          <w:tcPr>
            <w:tcW w:w="3402" w:type="dxa"/>
          </w:tcPr>
          <w:p w14:paraId="4A0A6A1B">
            <w:pPr>
              <w:spacing w:after="0" w:line="360" w:lineRule="auto"/>
              <w:jc w:val="left"/>
            </w:pPr>
            <w:r>
              <w:rPr>
                <w:rFonts w:ascii="仿宋" w:hAnsi="仿宋" w:eastAsia="仿宋"/>
                <w:b w:val="0"/>
                <w:sz w:val="20"/>
              </w:rPr>
              <w:t>支付给参与项目的研究生等</w:t>
            </w:r>
          </w:p>
        </w:tc>
      </w:tr>
      <w:tr w14:paraId="07409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Pr>
          <w:p w14:paraId="77A94FD6">
            <w:pPr>
              <w:spacing w:after="0" w:line="360" w:lineRule="auto"/>
              <w:jc w:val="left"/>
            </w:pPr>
            <w:r>
              <w:rPr>
                <w:rFonts w:ascii="仿宋" w:hAnsi="仿宋" w:eastAsia="仿宋"/>
                <w:b w:val="0"/>
                <w:sz w:val="20"/>
              </w:rPr>
              <w:t>间接费用</w:t>
            </w:r>
          </w:p>
        </w:tc>
        <w:tc>
          <w:tcPr>
            <w:tcW w:w="2268" w:type="dxa"/>
          </w:tcPr>
          <w:p w14:paraId="403F3322">
            <w:pPr>
              <w:spacing w:after="0" w:line="360" w:lineRule="auto"/>
              <w:jc w:val="left"/>
            </w:pPr>
          </w:p>
        </w:tc>
        <w:tc>
          <w:tcPr>
            <w:tcW w:w="3402" w:type="dxa"/>
          </w:tcPr>
          <w:p w14:paraId="7461C19B">
            <w:pPr>
              <w:spacing w:after="0" w:line="360" w:lineRule="auto"/>
              <w:jc w:val="left"/>
            </w:pPr>
            <w:r>
              <w:rPr>
                <w:rFonts w:ascii="仿宋" w:hAnsi="仿宋" w:eastAsia="仿宋"/>
                <w:b w:val="0"/>
                <w:sz w:val="20"/>
              </w:rPr>
              <w:t>管理费、水电暖等</w:t>
            </w:r>
          </w:p>
        </w:tc>
      </w:tr>
      <w:tr w14:paraId="13B9F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Pr>
          <w:p w14:paraId="21BB6176">
            <w:pPr>
              <w:spacing w:after="0" w:line="360" w:lineRule="auto"/>
              <w:jc w:val="left"/>
            </w:pPr>
            <w:r>
              <w:rPr>
                <w:rFonts w:ascii="仿宋" w:hAnsi="仿宋" w:eastAsia="仿宋"/>
                <w:b w:val="0"/>
                <w:sz w:val="20"/>
              </w:rPr>
              <w:t>合计</w:t>
            </w:r>
          </w:p>
        </w:tc>
        <w:tc>
          <w:tcPr>
            <w:tcW w:w="2268" w:type="dxa"/>
          </w:tcPr>
          <w:p w14:paraId="2C69DB2B">
            <w:pPr>
              <w:spacing w:after="0" w:line="360" w:lineRule="auto"/>
              <w:jc w:val="left"/>
            </w:pPr>
            <w:r>
              <w:rPr>
                <w:rFonts w:ascii="仿宋" w:hAnsi="仿宋" w:eastAsia="仿宋"/>
                <w:b w:val="0"/>
                <w:sz w:val="20"/>
              </w:rPr>
              <w:t>25</w:t>
            </w:r>
          </w:p>
        </w:tc>
        <w:tc>
          <w:tcPr>
            <w:tcW w:w="3402" w:type="dxa"/>
          </w:tcPr>
          <w:p w14:paraId="0BFE0FC0">
            <w:pPr>
              <w:spacing w:after="0" w:line="360" w:lineRule="auto"/>
              <w:jc w:val="left"/>
            </w:pPr>
          </w:p>
        </w:tc>
      </w:tr>
    </w:tbl>
    <w:p w14:paraId="5EB28C06">
      <w:pPr>
        <w:spacing w:line="360" w:lineRule="auto"/>
        <w:jc w:val="left"/>
      </w:pPr>
      <w:r>
        <w:rPr>
          <w:rFonts w:ascii="仿宋" w:hAnsi="仿宋" w:eastAsia="仿宋"/>
          <w:b w:val="0"/>
          <w:sz w:val="20"/>
        </w:rPr>
        <w:t>注：</w:t>
      </w:r>
    </w:p>
    <w:p w14:paraId="29353F49">
      <w:pPr>
        <w:spacing w:line="360" w:lineRule="auto"/>
        <w:jc w:val="left"/>
      </w:pPr>
      <w:r>
        <w:rPr>
          <w:rFonts w:ascii="仿宋" w:hAnsi="仿宋" w:eastAsia="仿宋"/>
          <w:b w:val="0"/>
          <w:sz w:val="20"/>
        </w:rPr>
        <w:t>1.设备费：主要列支项目实施过程中购置或试制专用仪器设备，对现有仪器设备进行升级改造，以及租赁外单位仪器设备而发生的费用。计算类仪器设备和软件工具可在设备费科目列支；</w:t>
      </w:r>
    </w:p>
    <w:p w14:paraId="15C38210">
      <w:pPr>
        <w:spacing w:line="360" w:lineRule="auto"/>
        <w:jc w:val="left"/>
      </w:pPr>
      <w:r>
        <w:rPr>
          <w:rFonts w:ascii="仿宋" w:hAnsi="仿宋" w:eastAsia="仿宋"/>
          <w:b w:val="0"/>
          <w:sz w:val="20"/>
        </w:rPr>
        <w:t>2.业务费：主要列支项目实施过程中消耗的各种材料、辅助材料等低值易耗品的采购费用，发生的测试化验加工、燃料动力、出版/文献/信息传播/知识产权事务、会议/差旅等费用；</w:t>
      </w:r>
    </w:p>
    <w:p w14:paraId="6DE35AD8">
      <w:pPr>
        <w:spacing w:line="360" w:lineRule="auto"/>
        <w:jc w:val="left"/>
      </w:pPr>
      <w:r>
        <w:rPr>
          <w:rFonts w:ascii="仿宋" w:hAnsi="仿宋" w:eastAsia="仿宋"/>
          <w:b w:val="0"/>
          <w:sz w:val="20"/>
        </w:rPr>
        <w:t>3.劳务费：主要列支项目实施过程中支付给参与项目的研究生、博士后、访问学者以及项目聘用的研究人员、科研辅助人员等的劳务性费用。</w:t>
      </w:r>
    </w:p>
    <w:p w14:paraId="6AACB0A3">
      <w:pPr>
        <w:spacing w:line="360" w:lineRule="auto"/>
        <w:jc w:val="left"/>
      </w:pPr>
      <w:r>
        <w:rPr>
          <w:rFonts w:ascii="黑体" w:hAnsi="黑体" w:eastAsia="黑体"/>
          <w:b/>
          <w:sz w:val="28"/>
        </w:rPr>
        <w:t>8.研究人员表</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2"/>
        <w:gridCol w:w="1661"/>
        <w:gridCol w:w="1112"/>
        <w:gridCol w:w="2760"/>
        <w:gridCol w:w="2211"/>
      </w:tblGrid>
      <w:tr w14:paraId="68C80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76B17561">
            <w:pPr>
              <w:spacing w:after="0" w:line="360" w:lineRule="auto"/>
              <w:jc w:val="left"/>
            </w:pPr>
            <w:r>
              <w:rPr>
                <w:rFonts w:ascii="仿宋" w:hAnsi="仿宋" w:eastAsia="仿宋"/>
                <w:b/>
                <w:sz w:val="20"/>
              </w:rPr>
              <w:t>序号</w:t>
            </w:r>
          </w:p>
        </w:tc>
        <w:tc>
          <w:tcPr>
            <w:tcW w:w="1701" w:type="dxa"/>
          </w:tcPr>
          <w:p w14:paraId="27D362C0">
            <w:pPr>
              <w:spacing w:after="0" w:line="360" w:lineRule="auto"/>
              <w:jc w:val="left"/>
            </w:pPr>
            <w:r>
              <w:rPr>
                <w:rFonts w:ascii="仿宋" w:hAnsi="仿宋" w:eastAsia="仿宋"/>
                <w:b/>
                <w:sz w:val="20"/>
              </w:rPr>
              <w:t>姓名</w:t>
            </w:r>
          </w:p>
        </w:tc>
        <w:tc>
          <w:tcPr>
            <w:tcW w:w="1134" w:type="dxa"/>
          </w:tcPr>
          <w:p w14:paraId="05B964FD">
            <w:pPr>
              <w:spacing w:after="0" w:line="360" w:lineRule="auto"/>
              <w:jc w:val="left"/>
            </w:pPr>
            <w:r>
              <w:rPr>
                <w:rFonts w:ascii="仿宋" w:hAnsi="仿宋" w:eastAsia="仿宋"/>
                <w:b/>
                <w:sz w:val="20"/>
              </w:rPr>
              <w:t>年龄</w:t>
            </w:r>
          </w:p>
        </w:tc>
        <w:tc>
          <w:tcPr>
            <w:tcW w:w="2835" w:type="dxa"/>
          </w:tcPr>
          <w:p w14:paraId="47182738">
            <w:pPr>
              <w:spacing w:after="0" w:line="360" w:lineRule="auto"/>
              <w:jc w:val="left"/>
            </w:pPr>
            <w:r>
              <w:rPr>
                <w:rFonts w:ascii="仿宋" w:hAnsi="仿宋" w:eastAsia="仿宋"/>
                <w:b/>
                <w:sz w:val="20"/>
              </w:rPr>
              <w:t>职称/学历</w:t>
            </w:r>
          </w:p>
        </w:tc>
        <w:tc>
          <w:tcPr>
            <w:tcW w:w="2268" w:type="dxa"/>
          </w:tcPr>
          <w:p w14:paraId="788BD691">
            <w:pPr>
              <w:spacing w:after="0" w:line="360" w:lineRule="auto"/>
              <w:jc w:val="left"/>
            </w:pPr>
            <w:r>
              <w:rPr>
                <w:rFonts w:ascii="仿宋" w:hAnsi="仿宋" w:eastAsia="仿宋"/>
                <w:b/>
                <w:sz w:val="20"/>
              </w:rPr>
              <w:t>项目中承担的工作</w:t>
            </w:r>
          </w:p>
        </w:tc>
      </w:tr>
      <w:tr w14:paraId="5BC16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602008FB">
            <w:pPr>
              <w:spacing w:after="0" w:line="360" w:lineRule="auto"/>
              <w:jc w:val="left"/>
            </w:pPr>
            <w:r>
              <w:rPr>
                <w:rFonts w:ascii="仿宋" w:hAnsi="仿宋" w:eastAsia="仿宋"/>
                <w:b w:val="0"/>
                <w:sz w:val="20"/>
              </w:rPr>
              <w:t>1</w:t>
            </w:r>
          </w:p>
        </w:tc>
        <w:tc>
          <w:tcPr>
            <w:tcW w:w="1701" w:type="dxa"/>
          </w:tcPr>
          <w:p w14:paraId="76BE7579">
            <w:pPr>
              <w:spacing w:after="0" w:line="360" w:lineRule="auto"/>
              <w:jc w:val="left"/>
            </w:pPr>
          </w:p>
        </w:tc>
        <w:tc>
          <w:tcPr>
            <w:tcW w:w="1134" w:type="dxa"/>
          </w:tcPr>
          <w:p w14:paraId="17961E13">
            <w:pPr>
              <w:spacing w:after="0" w:line="360" w:lineRule="auto"/>
              <w:jc w:val="left"/>
            </w:pPr>
          </w:p>
        </w:tc>
        <w:tc>
          <w:tcPr>
            <w:tcW w:w="2835" w:type="dxa"/>
          </w:tcPr>
          <w:p w14:paraId="04FA39A6">
            <w:pPr>
              <w:spacing w:after="0" w:line="360" w:lineRule="auto"/>
              <w:jc w:val="left"/>
            </w:pPr>
          </w:p>
        </w:tc>
        <w:tc>
          <w:tcPr>
            <w:tcW w:w="2268" w:type="dxa"/>
          </w:tcPr>
          <w:p w14:paraId="3B5B0B7D">
            <w:pPr>
              <w:spacing w:after="0" w:line="360" w:lineRule="auto"/>
              <w:jc w:val="left"/>
            </w:pPr>
          </w:p>
        </w:tc>
      </w:tr>
      <w:tr w14:paraId="13041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645F8CA5">
            <w:pPr>
              <w:spacing w:after="0" w:line="360" w:lineRule="auto"/>
              <w:jc w:val="left"/>
            </w:pPr>
            <w:r>
              <w:rPr>
                <w:rFonts w:ascii="仿宋" w:hAnsi="仿宋" w:eastAsia="仿宋"/>
                <w:b w:val="0"/>
                <w:sz w:val="20"/>
              </w:rPr>
              <w:t>2</w:t>
            </w:r>
          </w:p>
        </w:tc>
        <w:tc>
          <w:tcPr>
            <w:tcW w:w="1701" w:type="dxa"/>
          </w:tcPr>
          <w:p w14:paraId="0C1B7139">
            <w:pPr>
              <w:spacing w:after="0" w:line="360" w:lineRule="auto"/>
              <w:jc w:val="left"/>
            </w:pPr>
          </w:p>
        </w:tc>
        <w:tc>
          <w:tcPr>
            <w:tcW w:w="1134" w:type="dxa"/>
          </w:tcPr>
          <w:p w14:paraId="3239EE1A">
            <w:pPr>
              <w:spacing w:after="0" w:line="360" w:lineRule="auto"/>
              <w:jc w:val="left"/>
            </w:pPr>
          </w:p>
        </w:tc>
        <w:tc>
          <w:tcPr>
            <w:tcW w:w="2835" w:type="dxa"/>
          </w:tcPr>
          <w:p w14:paraId="4D2A2C1E">
            <w:pPr>
              <w:spacing w:after="0" w:line="360" w:lineRule="auto"/>
              <w:jc w:val="left"/>
            </w:pPr>
          </w:p>
        </w:tc>
        <w:tc>
          <w:tcPr>
            <w:tcW w:w="2268" w:type="dxa"/>
          </w:tcPr>
          <w:p w14:paraId="2D04C5B0">
            <w:pPr>
              <w:spacing w:after="0" w:line="360" w:lineRule="auto"/>
              <w:jc w:val="left"/>
            </w:pPr>
          </w:p>
        </w:tc>
      </w:tr>
      <w:tr w14:paraId="4E999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09C00415">
            <w:pPr>
              <w:spacing w:after="0" w:line="360" w:lineRule="auto"/>
              <w:jc w:val="left"/>
            </w:pPr>
            <w:r>
              <w:rPr>
                <w:rFonts w:ascii="仿宋" w:hAnsi="仿宋" w:eastAsia="仿宋"/>
                <w:b w:val="0"/>
                <w:sz w:val="20"/>
              </w:rPr>
              <w:t>3</w:t>
            </w:r>
          </w:p>
        </w:tc>
        <w:tc>
          <w:tcPr>
            <w:tcW w:w="1701" w:type="dxa"/>
          </w:tcPr>
          <w:p w14:paraId="7FF87B35">
            <w:pPr>
              <w:spacing w:after="0" w:line="360" w:lineRule="auto"/>
              <w:jc w:val="left"/>
            </w:pPr>
          </w:p>
        </w:tc>
        <w:tc>
          <w:tcPr>
            <w:tcW w:w="1134" w:type="dxa"/>
          </w:tcPr>
          <w:p w14:paraId="62D910F8">
            <w:pPr>
              <w:spacing w:after="0" w:line="360" w:lineRule="auto"/>
              <w:jc w:val="left"/>
            </w:pPr>
          </w:p>
        </w:tc>
        <w:tc>
          <w:tcPr>
            <w:tcW w:w="2835" w:type="dxa"/>
          </w:tcPr>
          <w:p w14:paraId="07B9F652">
            <w:pPr>
              <w:spacing w:after="0" w:line="360" w:lineRule="auto"/>
              <w:jc w:val="left"/>
            </w:pPr>
          </w:p>
        </w:tc>
        <w:tc>
          <w:tcPr>
            <w:tcW w:w="2268" w:type="dxa"/>
          </w:tcPr>
          <w:p w14:paraId="3DE6D104">
            <w:pPr>
              <w:spacing w:after="0" w:line="360" w:lineRule="auto"/>
              <w:jc w:val="left"/>
            </w:pPr>
          </w:p>
        </w:tc>
      </w:tr>
      <w:tr w14:paraId="5474A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267776DE">
            <w:pPr>
              <w:spacing w:after="0" w:line="360" w:lineRule="auto"/>
              <w:jc w:val="left"/>
            </w:pPr>
            <w:r>
              <w:rPr>
                <w:rFonts w:ascii="仿宋" w:hAnsi="仿宋" w:eastAsia="仿宋"/>
                <w:b w:val="0"/>
                <w:sz w:val="20"/>
              </w:rPr>
              <w:t>4</w:t>
            </w:r>
          </w:p>
        </w:tc>
        <w:tc>
          <w:tcPr>
            <w:tcW w:w="1701" w:type="dxa"/>
          </w:tcPr>
          <w:p w14:paraId="4988D3D0">
            <w:pPr>
              <w:spacing w:after="0" w:line="360" w:lineRule="auto"/>
              <w:jc w:val="left"/>
            </w:pPr>
          </w:p>
        </w:tc>
        <w:tc>
          <w:tcPr>
            <w:tcW w:w="1134" w:type="dxa"/>
          </w:tcPr>
          <w:p w14:paraId="5D4E6213">
            <w:pPr>
              <w:spacing w:after="0" w:line="360" w:lineRule="auto"/>
              <w:jc w:val="left"/>
            </w:pPr>
          </w:p>
        </w:tc>
        <w:tc>
          <w:tcPr>
            <w:tcW w:w="2835" w:type="dxa"/>
          </w:tcPr>
          <w:p w14:paraId="3B4E386E">
            <w:pPr>
              <w:spacing w:after="0" w:line="360" w:lineRule="auto"/>
              <w:jc w:val="left"/>
            </w:pPr>
          </w:p>
        </w:tc>
        <w:tc>
          <w:tcPr>
            <w:tcW w:w="2268" w:type="dxa"/>
          </w:tcPr>
          <w:p w14:paraId="55FE8E7F">
            <w:pPr>
              <w:spacing w:after="0" w:line="360" w:lineRule="auto"/>
              <w:jc w:val="left"/>
            </w:pPr>
          </w:p>
        </w:tc>
      </w:tr>
      <w:tr w14:paraId="09DB4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070A7524">
            <w:pPr>
              <w:spacing w:after="0" w:line="360" w:lineRule="auto"/>
              <w:jc w:val="left"/>
            </w:pPr>
            <w:r>
              <w:rPr>
                <w:rFonts w:ascii="仿宋" w:hAnsi="仿宋" w:eastAsia="仿宋"/>
                <w:b/>
                <w:sz w:val="20"/>
              </w:rPr>
              <w:t>合计</w:t>
            </w:r>
          </w:p>
        </w:tc>
        <w:tc>
          <w:tcPr>
            <w:tcW w:w="1701" w:type="dxa"/>
          </w:tcPr>
          <w:p w14:paraId="0DF3713F">
            <w:pPr>
              <w:spacing w:after="0" w:line="360" w:lineRule="auto"/>
              <w:jc w:val="left"/>
            </w:pPr>
          </w:p>
        </w:tc>
        <w:tc>
          <w:tcPr>
            <w:tcW w:w="1134" w:type="dxa"/>
          </w:tcPr>
          <w:p w14:paraId="6B7FB0CB">
            <w:pPr>
              <w:spacing w:after="0" w:line="360" w:lineRule="auto"/>
              <w:jc w:val="left"/>
            </w:pPr>
          </w:p>
        </w:tc>
        <w:tc>
          <w:tcPr>
            <w:tcW w:w="2835" w:type="dxa"/>
          </w:tcPr>
          <w:p w14:paraId="5AFD4903">
            <w:pPr>
              <w:spacing w:after="0" w:line="360" w:lineRule="auto"/>
              <w:jc w:val="left"/>
            </w:pPr>
          </w:p>
        </w:tc>
        <w:tc>
          <w:tcPr>
            <w:tcW w:w="2268" w:type="dxa"/>
          </w:tcPr>
          <w:p w14:paraId="59581C2F">
            <w:pPr>
              <w:spacing w:after="0" w:line="360" w:lineRule="auto"/>
              <w:jc w:val="left"/>
            </w:pPr>
          </w:p>
        </w:tc>
      </w:tr>
    </w:tbl>
    <w:p w14:paraId="675B7693"/>
    <w:p w14:paraId="21847CD0">
      <w:pPr>
        <w:spacing w:line="360" w:lineRule="auto"/>
        <w:jc w:val="left"/>
      </w:pPr>
      <w:r>
        <w:rPr>
          <w:rFonts w:ascii="仿宋" w:hAnsi="仿宋" w:eastAsia="仿宋"/>
          <w:b w:val="0"/>
          <w:sz w:val="20"/>
        </w:rPr>
        <w:t>注：此表不够请自行添加</w:t>
      </w:r>
    </w:p>
    <w:p w14:paraId="1B4181E8">
      <w:pPr>
        <w:rPr>
          <w:rFonts w:hint="eastAsia" w:ascii="Times New Roman" w:hAnsi="Times New Roman" w:cs="Times New Roman"/>
          <w:bCs/>
          <w:lang w:val="en-US" w:eastAsia="zh-CN"/>
        </w:rPr>
      </w:pPr>
      <w:bookmarkStart w:id="0" w:name="_Toc21591"/>
      <w:r>
        <w:rPr>
          <w:rFonts w:hint="eastAsia" w:ascii="Times New Roman" w:hAnsi="Times New Roman" w:cs="Times New Roman"/>
          <w:bCs/>
          <w:lang w:val="en-US" w:eastAsia="zh-CN"/>
        </w:rPr>
        <w:br w:type="page"/>
      </w:r>
    </w:p>
    <w:p w14:paraId="6A93B8F8">
      <w:pPr>
        <w:pStyle w:val="4"/>
        <w:ind w:firstLine="560"/>
        <w:rPr>
          <w:rFonts w:ascii="黑体" w:hAnsi="黑体" w:eastAsia="黑体" w:cs="黑体"/>
          <w:sz w:val="32"/>
          <w:szCs w:val="32"/>
        </w:rPr>
      </w:pPr>
      <w:r>
        <w:rPr>
          <w:rFonts w:hint="eastAsia" w:ascii="Times New Roman" w:hAnsi="Times New Roman" w:cs="Times New Roman"/>
          <w:bCs/>
          <w:lang w:val="en-US" w:eastAsia="zh-CN"/>
        </w:rPr>
        <w:t>9.</w:t>
      </w:r>
      <w:r>
        <w:rPr>
          <w:rFonts w:hint="eastAsia" w:ascii="Times New Roman" w:hAnsi="Times New Roman" w:cs="Times New Roman"/>
          <w:bCs/>
        </w:rPr>
        <w:t>任务书签订</w:t>
      </w:r>
      <w:bookmarkEnd w:id="0"/>
    </w:p>
    <w:tbl>
      <w:tblPr>
        <w:tblStyle w:val="34"/>
        <w:tblW w:w="91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47"/>
        <w:gridCol w:w="5353"/>
      </w:tblGrid>
      <w:tr w14:paraId="6FD40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3747" w:type="dxa"/>
            <w:noWrap w:val="0"/>
            <w:vAlign w:val="center"/>
          </w:tcPr>
          <w:p w14:paraId="7A3C0C35">
            <w:pPr>
              <w:spacing w:line="600" w:lineRule="exact"/>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科技项目名称</w:t>
            </w:r>
          </w:p>
        </w:tc>
        <w:tc>
          <w:tcPr>
            <w:tcW w:w="5353" w:type="dxa"/>
            <w:noWrap w:val="0"/>
            <w:vAlign w:val="center"/>
          </w:tcPr>
          <w:p w14:paraId="1D3C315E">
            <w:pPr>
              <w:pStyle w:val="5"/>
              <w:spacing w:before="312" w:beforeLines="100" w:after="240" w:line="400" w:lineRule="exact"/>
              <w:jc w:val="center"/>
              <w:rPr>
                <w:rFonts w:hint="eastAsia" w:ascii="仿宋" w:hAnsi="仿宋" w:eastAsia="仿宋" w:cs="仿宋"/>
                <w:b w:val="0"/>
                <w:sz w:val="30"/>
                <w:szCs w:val="30"/>
              </w:rPr>
            </w:pPr>
          </w:p>
        </w:tc>
      </w:tr>
      <w:tr w14:paraId="11C58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3747" w:type="dxa"/>
            <w:noWrap w:val="0"/>
            <w:vAlign w:val="center"/>
          </w:tcPr>
          <w:p w14:paraId="79A33D7E">
            <w:pPr>
              <w:spacing w:line="600" w:lineRule="exact"/>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承担单位科技项目负责人</w:t>
            </w:r>
          </w:p>
        </w:tc>
        <w:tc>
          <w:tcPr>
            <w:tcW w:w="5353" w:type="dxa"/>
            <w:noWrap w:val="0"/>
            <w:vAlign w:val="center"/>
          </w:tcPr>
          <w:p w14:paraId="2DD965E9">
            <w:pPr>
              <w:spacing w:line="600" w:lineRule="exact"/>
              <w:jc w:val="center"/>
              <w:rPr>
                <w:rFonts w:hint="eastAsia" w:ascii="仿宋" w:hAnsi="仿宋" w:eastAsia="仿宋" w:cs="仿宋"/>
                <w:bCs/>
                <w:sz w:val="28"/>
                <w:szCs w:val="28"/>
              </w:rPr>
            </w:pPr>
          </w:p>
        </w:tc>
      </w:tr>
      <w:tr w14:paraId="69ABB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3747" w:type="dxa"/>
            <w:noWrap w:val="0"/>
            <w:vAlign w:val="center"/>
          </w:tcPr>
          <w:p w14:paraId="2A7C0C47">
            <w:pPr>
              <w:spacing w:line="600" w:lineRule="exact"/>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承担单位联系人</w:t>
            </w:r>
          </w:p>
        </w:tc>
        <w:tc>
          <w:tcPr>
            <w:tcW w:w="5353" w:type="dxa"/>
            <w:noWrap w:val="0"/>
            <w:vAlign w:val="center"/>
          </w:tcPr>
          <w:p w14:paraId="0D3321DD">
            <w:pPr>
              <w:spacing w:line="600" w:lineRule="exact"/>
              <w:jc w:val="center"/>
              <w:rPr>
                <w:rFonts w:hint="eastAsia" w:ascii="仿宋" w:hAnsi="仿宋" w:eastAsia="仿宋" w:cs="仿宋"/>
                <w:bCs/>
                <w:sz w:val="28"/>
                <w:szCs w:val="28"/>
              </w:rPr>
            </w:pPr>
          </w:p>
        </w:tc>
      </w:tr>
      <w:tr w14:paraId="5B86A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3747" w:type="dxa"/>
            <w:noWrap w:val="0"/>
            <w:vAlign w:val="center"/>
          </w:tcPr>
          <w:p w14:paraId="5C60841B">
            <w:pPr>
              <w:spacing w:line="600" w:lineRule="exact"/>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签订日期</w:t>
            </w:r>
          </w:p>
        </w:tc>
        <w:tc>
          <w:tcPr>
            <w:tcW w:w="5353" w:type="dxa"/>
            <w:noWrap w:val="0"/>
            <w:vAlign w:val="center"/>
          </w:tcPr>
          <w:p w14:paraId="3D61AAAE">
            <w:pPr>
              <w:spacing w:line="600" w:lineRule="exact"/>
              <w:jc w:val="center"/>
              <w:rPr>
                <w:rFonts w:hint="eastAsia" w:ascii="仿宋" w:hAnsi="仿宋" w:eastAsia="仿宋" w:cs="仿宋"/>
                <w:b/>
                <w:bCs/>
                <w:sz w:val="28"/>
                <w:szCs w:val="28"/>
              </w:rPr>
            </w:pPr>
          </w:p>
        </w:tc>
      </w:tr>
      <w:tr w14:paraId="5CA66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3747" w:type="dxa"/>
            <w:noWrap w:val="0"/>
            <w:vAlign w:val="center"/>
          </w:tcPr>
          <w:p w14:paraId="53F49D2F">
            <w:pPr>
              <w:spacing w:line="600" w:lineRule="exact"/>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委托单位项目负责部门</w:t>
            </w:r>
          </w:p>
        </w:tc>
        <w:tc>
          <w:tcPr>
            <w:tcW w:w="5353" w:type="dxa"/>
            <w:noWrap w:val="0"/>
            <w:vAlign w:val="center"/>
          </w:tcPr>
          <w:p w14:paraId="562AC1C2">
            <w:pPr>
              <w:spacing w:line="600" w:lineRule="exact"/>
              <w:jc w:val="center"/>
              <w:rPr>
                <w:rFonts w:hint="eastAsia" w:ascii="仿宋" w:hAnsi="仿宋" w:eastAsia="仿宋" w:cs="仿宋"/>
                <w:b/>
                <w:bCs/>
                <w:sz w:val="28"/>
                <w:szCs w:val="28"/>
              </w:rPr>
            </w:pPr>
          </w:p>
        </w:tc>
      </w:tr>
      <w:tr w14:paraId="24A56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3747" w:type="dxa"/>
            <w:noWrap w:val="0"/>
            <w:vAlign w:val="center"/>
          </w:tcPr>
          <w:p w14:paraId="49F0314B">
            <w:pPr>
              <w:spacing w:line="600" w:lineRule="exact"/>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委托单位项目联系人</w:t>
            </w:r>
          </w:p>
        </w:tc>
        <w:tc>
          <w:tcPr>
            <w:tcW w:w="5353" w:type="dxa"/>
            <w:noWrap w:val="0"/>
            <w:vAlign w:val="center"/>
          </w:tcPr>
          <w:p w14:paraId="45918F03">
            <w:pPr>
              <w:spacing w:line="600" w:lineRule="exact"/>
              <w:jc w:val="center"/>
              <w:rPr>
                <w:rFonts w:hint="eastAsia" w:ascii="仿宋" w:hAnsi="仿宋" w:eastAsia="仿宋" w:cs="仿宋"/>
                <w:b/>
                <w:bCs/>
                <w:sz w:val="28"/>
                <w:szCs w:val="28"/>
              </w:rPr>
            </w:pPr>
          </w:p>
        </w:tc>
      </w:tr>
      <w:tr w14:paraId="7AD52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3747" w:type="dxa"/>
            <w:noWrap w:val="0"/>
            <w:vAlign w:val="center"/>
          </w:tcPr>
          <w:p w14:paraId="17CC1C3E">
            <w:pPr>
              <w:spacing w:line="600" w:lineRule="exact"/>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委托单位科技项目主管部门</w:t>
            </w:r>
          </w:p>
        </w:tc>
        <w:tc>
          <w:tcPr>
            <w:tcW w:w="5353" w:type="dxa"/>
            <w:noWrap w:val="0"/>
            <w:vAlign w:val="center"/>
          </w:tcPr>
          <w:p w14:paraId="640F3E17">
            <w:pPr>
              <w:spacing w:line="600" w:lineRule="exact"/>
              <w:jc w:val="center"/>
              <w:rPr>
                <w:rFonts w:hint="eastAsia" w:ascii="仿宋" w:hAnsi="仿宋" w:eastAsia="仿宋" w:cs="仿宋"/>
                <w:b/>
                <w:bCs/>
                <w:sz w:val="28"/>
                <w:szCs w:val="28"/>
              </w:rPr>
            </w:pPr>
          </w:p>
        </w:tc>
      </w:tr>
      <w:tr w14:paraId="64263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3747" w:type="dxa"/>
            <w:noWrap w:val="0"/>
            <w:vAlign w:val="center"/>
          </w:tcPr>
          <w:p w14:paraId="3FC3F5DE">
            <w:pPr>
              <w:spacing w:line="600" w:lineRule="exact"/>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委托单位科技工作分管领导</w:t>
            </w:r>
          </w:p>
        </w:tc>
        <w:tc>
          <w:tcPr>
            <w:tcW w:w="5353" w:type="dxa"/>
            <w:noWrap w:val="0"/>
            <w:vAlign w:val="center"/>
          </w:tcPr>
          <w:p w14:paraId="41F49A78">
            <w:pPr>
              <w:spacing w:line="600" w:lineRule="exact"/>
              <w:jc w:val="center"/>
              <w:rPr>
                <w:rFonts w:hint="eastAsia" w:ascii="仿宋" w:hAnsi="仿宋" w:eastAsia="仿宋" w:cs="仿宋"/>
                <w:b/>
                <w:bCs/>
                <w:sz w:val="28"/>
                <w:szCs w:val="28"/>
              </w:rPr>
            </w:pPr>
          </w:p>
        </w:tc>
      </w:tr>
      <w:tr w14:paraId="05DC8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3747" w:type="dxa"/>
            <w:noWrap w:val="0"/>
            <w:vAlign w:val="center"/>
          </w:tcPr>
          <w:p w14:paraId="5D7C2A81">
            <w:pPr>
              <w:spacing w:line="600" w:lineRule="exact"/>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签订日期</w:t>
            </w:r>
          </w:p>
        </w:tc>
        <w:tc>
          <w:tcPr>
            <w:tcW w:w="5353" w:type="dxa"/>
            <w:noWrap w:val="0"/>
            <w:vAlign w:val="center"/>
          </w:tcPr>
          <w:p w14:paraId="0B63DFF8">
            <w:pPr>
              <w:spacing w:line="600" w:lineRule="exact"/>
              <w:jc w:val="center"/>
              <w:rPr>
                <w:rFonts w:hint="eastAsia" w:ascii="仿宋" w:hAnsi="仿宋" w:eastAsia="仿宋" w:cs="仿宋"/>
                <w:b/>
                <w:bCs/>
                <w:sz w:val="28"/>
                <w:szCs w:val="28"/>
              </w:rPr>
            </w:pPr>
          </w:p>
        </w:tc>
      </w:tr>
    </w:tbl>
    <w:p w14:paraId="520EB657"/>
    <w:p w14:paraId="7068C94A"/>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ＭＳ 明朝">
    <w:altName w:val="Yu Gothic"/>
    <w:panose1 w:val="00000000000000000000"/>
    <w:charset w:val="80"/>
    <w:family w:val="roman"/>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ＭＳ 明朝">
    <w:altName w:val="宋体"/>
    <w:panose1 w:val="00000000000000000000"/>
    <w:charset w:val="86"/>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方正仿宋_GBK">
    <w:panose1 w:val="02000000000000000000"/>
    <w:charset w:val="86"/>
    <w:family w:val="script"/>
    <w:pitch w:val="default"/>
    <w:sig w:usb0="A00002BF" w:usb1="38CF7CFA" w:usb2="00082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1"/>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9"/>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4"/>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01DB04CB"/>
    <w:rsid w:val="06720E88"/>
    <w:rsid w:val="09EA6C70"/>
    <w:rsid w:val="10D40292"/>
    <w:rsid w:val="4A7B40E6"/>
    <w:rsid w:val="4BB27ABB"/>
    <w:rsid w:val="66CD2D02"/>
    <w:rsid w:val="757F35F8"/>
    <w:rsid w:val="7A9B2F5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14:defaultImageDpi w14:val="300"/>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next w:val="2"/>
    <w:qFormat/>
    <w:uiPriority w:val="0"/>
    <w:pPr>
      <w:spacing w:after="200" w:line="276" w:lineRule="auto"/>
    </w:pPr>
    <w:rPr>
      <w:rFonts w:ascii="仿宋" w:hAnsi="仿宋" w:eastAsia="仿宋" w:cstheme="minorBidi"/>
      <w:sz w:val="21"/>
      <w:szCs w:val="22"/>
      <w:lang w:val="en-US" w:eastAsia="en-US" w:bidi="ar-SA"/>
    </w:rPr>
  </w:style>
  <w:style w:type="paragraph" w:styleId="4">
    <w:name w:val="heading 1"/>
    <w:basedOn w:val="1"/>
    <w:next w:val="1"/>
    <w:link w:val="140"/>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5">
    <w:name w:val="heading 2"/>
    <w:basedOn w:val="1"/>
    <w:next w:val="1"/>
    <w:link w:val="141"/>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2">
    <w:name w:val="heading 3"/>
    <w:basedOn w:val="1"/>
    <w:next w:val="1"/>
    <w:link w:val="142"/>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2"/>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3"/>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4"/>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5"/>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6"/>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7"/>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4">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3">
    <w:name w:val="macro"/>
    <w:link w:val="149"/>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annotation text"/>
    <w:basedOn w:val="1"/>
    <w:semiHidden/>
    <w:unhideWhenUsed/>
    <w:qFormat/>
    <w:uiPriority w:val="99"/>
    <w:pPr>
      <w:jc w:val="left"/>
    </w:pPr>
  </w:style>
  <w:style w:type="paragraph" w:styleId="18">
    <w:name w:val="Body Text 3"/>
    <w:basedOn w:val="1"/>
    <w:link w:val="148"/>
    <w:unhideWhenUsed/>
    <w:qFormat/>
    <w:uiPriority w:val="99"/>
    <w:pPr>
      <w:spacing w:after="120"/>
    </w:pPr>
    <w:rPr>
      <w:sz w:val="16"/>
      <w:szCs w:val="16"/>
    </w:rPr>
  </w:style>
  <w:style w:type="paragraph" w:styleId="19">
    <w:name w:val="List Bullet 3"/>
    <w:basedOn w:val="1"/>
    <w:unhideWhenUsed/>
    <w:qFormat/>
    <w:uiPriority w:val="99"/>
    <w:pPr>
      <w:numPr>
        <w:ilvl w:val="0"/>
        <w:numId w:val="4"/>
      </w:numPr>
      <w:contextualSpacing/>
    </w:pPr>
  </w:style>
  <w:style w:type="paragraph" w:styleId="20">
    <w:name w:val="Body Text"/>
    <w:basedOn w:val="1"/>
    <w:next w:val="1"/>
    <w:link w:val="146"/>
    <w:unhideWhenUsed/>
    <w:qFormat/>
    <w:uiPriority w:val="99"/>
    <w:pPr>
      <w:spacing w:after="120"/>
    </w:pPr>
  </w:style>
  <w:style w:type="paragraph" w:styleId="21">
    <w:name w:val="List Number 3"/>
    <w:basedOn w:val="1"/>
    <w:unhideWhenUsed/>
    <w:qFormat/>
    <w:uiPriority w:val="99"/>
    <w:pPr>
      <w:numPr>
        <w:ilvl w:val="0"/>
        <w:numId w:val="5"/>
      </w:numPr>
      <w:contextualSpacing/>
    </w:pPr>
  </w:style>
  <w:style w:type="paragraph" w:styleId="22">
    <w:name w:val="List 2"/>
    <w:basedOn w:val="1"/>
    <w:unhideWhenUsed/>
    <w:qFormat/>
    <w:uiPriority w:val="99"/>
    <w:pPr>
      <w:ind w:left="720" w:hanging="360"/>
      <w:contextualSpacing/>
    </w:pPr>
  </w:style>
  <w:style w:type="paragraph" w:styleId="23">
    <w:name w:val="List Continue"/>
    <w:basedOn w:val="1"/>
    <w:unhideWhenUsed/>
    <w:qFormat/>
    <w:uiPriority w:val="99"/>
    <w:pPr>
      <w:spacing w:after="120"/>
      <w:ind w:left="360"/>
      <w:contextualSpacing/>
    </w:pPr>
  </w:style>
  <w:style w:type="paragraph" w:styleId="24">
    <w:name w:val="List Bullet 2"/>
    <w:basedOn w:val="1"/>
    <w:unhideWhenUsed/>
    <w:qFormat/>
    <w:uiPriority w:val="99"/>
    <w:pPr>
      <w:numPr>
        <w:ilvl w:val="0"/>
        <w:numId w:val="6"/>
      </w:numPr>
      <w:contextualSpacing/>
    </w:pPr>
  </w:style>
  <w:style w:type="paragraph" w:styleId="25">
    <w:name w:val="footer"/>
    <w:basedOn w:val="1"/>
    <w:link w:val="138"/>
    <w:unhideWhenUsed/>
    <w:qFormat/>
    <w:uiPriority w:val="99"/>
    <w:pPr>
      <w:tabs>
        <w:tab w:val="center" w:pos="4680"/>
        <w:tab w:val="right" w:pos="9360"/>
      </w:tabs>
      <w:spacing w:after="0" w:line="240" w:lineRule="auto"/>
    </w:pPr>
  </w:style>
  <w:style w:type="paragraph" w:styleId="26">
    <w:name w:val="header"/>
    <w:basedOn w:val="1"/>
    <w:link w:val="137"/>
    <w:unhideWhenUsed/>
    <w:qFormat/>
    <w:uiPriority w:val="99"/>
    <w:pPr>
      <w:tabs>
        <w:tab w:val="center" w:pos="4680"/>
        <w:tab w:val="right" w:pos="9360"/>
      </w:tabs>
      <w:spacing w:after="0" w:line="240" w:lineRule="auto"/>
    </w:pPr>
  </w:style>
  <w:style w:type="paragraph" w:styleId="27">
    <w:name w:val="Subtitle"/>
    <w:basedOn w:val="1"/>
    <w:next w:val="1"/>
    <w:link w:val="144"/>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8">
    <w:name w:val="List"/>
    <w:basedOn w:val="1"/>
    <w:unhideWhenUsed/>
    <w:qFormat/>
    <w:uiPriority w:val="99"/>
    <w:pPr>
      <w:ind w:left="360" w:hanging="360"/>
      <w:contextualSpacing/>
    </w:pPr>
  </w:style>
  <w:style w:type="paragraph" w:styleId="29">
    <w:name w:val="Body Text 2"/>
    <w:basedOn w:val="1"/>
    <w:link w:val="147"/>
    <w:unhideWhenUsed/>
    <w:qFormat/>
    <w:uiPriority w:val="99"/>
    <w:pPr>
      <w:spacing w:after="120" w:line="480" w:lineRule="auto"/>
    </w:pPr>
  </w:style>
  <w:style w:type="paragraph" w:styleId="30">
    <w:name w:val="List Continue 2"/>
    <w:basedOn w:val="1"/>
    <w:unhideWhenUsed/>
    <w:qFormat/>
    <w:uiPriority w:val="99"/>
    <w:pPr>
      <w:spacing w:after="120"/>
      <w:ind w:left="720"/>
      <w:contextualSpacing/>
    </w:pPr>
  </w:style>
  <w:style w:type="paragraph" w:styleId="31">
    <w:name w:val="List Continue 3"/>
    <w:basedOn w:val="1"/>
    <w:unhideWhenUsed/>
    <w:qFormat/>
    <w:uiPriority w:val="99"/>
    <w:pPr>
      <w:spacing w:after="120"/>
      <w:ind w:left="1080"/>
      <w:contextualSpacing/>
    </w:pPr>
  </w:style>
  <w:style w:type="paragraph" w:styleId="32">
    <w:name w:val="Title"/>
    <w:basedOn w:val="1"/>
    <w:next w:val="1"/>
    <w:link w:val="143"/>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paragraph" w:styleId="33">
    <w:name w:val="Body Text First Indent"/>
    <w:basedOn w:val="20"/>
    <w:unhideWhenUsed/>
    <w:qFormat/>
    <w:uiPriority w:val="99"/>
    <w:pPr>
      <w:ind w:firstLine="420" w:firstLineChars="100"/>
    </w:pPr>
  </w:style>
  <w:style w:type="table" w:styleId="35">
    <w:name w:val="Table Grid"/>
    <w:basedOn w:val="3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6">
    <w:name w:val="Light Shading"/>
    <w:basedOn w:val="34"/>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7">
    <w:name w:val="Light Shading Accent 1"/>
    <w:basedOn w:val="34"/>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8">
    <w:name w:val="Light Shading Accent 2"/>
    <w:basedOn w:val="34"/>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9">
    <w:name w:val="Light Shading Accent 3"/>
    <w:basedOn w:val="34"/>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0">
    <w:name w:val="Light Shading Accent 4"/>
    <w:basedOn w:val="34"/>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1">
    <w:name w:val="Light Shading Accent 5"/>
    <w:basedOn w:val="34"/>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2">
    <w:name w:val="Light Shading Accent 6"/>
    <w:basedOn w:val="34"/>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3">
    <w:name w:val="Light List"/>
    <w:basedOn w:val="34"/>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4">
    <w:name w:val="Light List Accent 1"/>
    <w:basedOn w:val="34"/>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5">
    <w:name w:val="Light List Accent 2"/>
    <w:basedOn w:val="34"/>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6">
    <w:name w:val="Light List Accent 3"/>
    <w:basedOn w:val="34"/>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7">
    <w:name w:val="Light List Accent 4"/>
    <w:basedOn w:val="34"/>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8">
    <w:name w:val="Light List Accent 5"/>
    <w:basedOn w:val="34"/>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9">
    <w:name w:val="Light List Accent 6"/>
    <w:basedOn w:val="34"/>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50">
    <w:name w:val="Light Grid"/>
    <w:basedOn w:val="34"/>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51">
    <w:name w:val="Light Grid Accent 1"/>
    <w:basedOn w:val="34"/>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2">
    <w:name w:val="Light Grid Accent 2"/>
    <w:basedOn w:val="34"/>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3">
    <w:name w:val="Light Grid Accent 3"/>
    <w:basedOn w:val="34"/>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4">
    <w:name w:val="Light Grid Accent 4"/>
    <w:basedOn w:val="34"/>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5">
    <w:name w:val="Light Grid Accent 5"/>
    <w:basedOn w:val="34"/>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6">
    <w:name w:val="Light Grid Accent 6"/>
    <w:basedOn w:val="34"/>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7">
    <w:name w:val="Medium Shading 1"/>
    <w:basedOn w:val="34"/>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8">
    <w:name w:val="Medium Shading 1 Accent 1"/>
    <w:basedOn w:val="34"/>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9">
    <w:name w:val="Medium Shading 1 Accent 2"/>
    <w:basedOn w:val="34"/>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60">
    <w:name w:val="Medium Shading 1 Accent 3"/>
    <w:basedOn w:val="34"/>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61">
    <w:name w:val="Medium Shading 1 Accent 4"/>
    <w:basedOn w:val="34"/>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2">
    <w:name w:val="Medium Shading 1 Accent 5"/>
    <w:basedOn w:val="34"/>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3">
    <w:name w:val="Medium Shading 1 Accent 6"/>
    <w:basedOn w:val="34"/>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4">
    <w:name w:val="Medium Shading 2"/>
    <w:basedOn w:val="34"/>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1"/>
    <w:basedOn w:val="34"/>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2"/>
    <w:basedOn w:val="34"/>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3"/>
    <w:basedOn w:val="34"/>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4"/>
    <w:basedOn w:val="34"/>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Shading 2 Accent 5"/>
    <w:basedOn w:val="34"/>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0">
    <w:name w:val="Medium Shading 2 Accent 6"/>
    <w:basedOn w:val="34"/>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1">
    <w:name w:val="Medium List 1"/>
    <w:basedOn w:val="34"/>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2">
    <w:name w:val="Medium List 1 Accent 1"/>
    <w:basedOn w:val="34"/>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3">
    <w:name w:val="Medium List 1 Accent 2"/>
    <w:basedOn w:val="34"/>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4">
    <w:name w:val="Medium List 1 Accent 3"/>
    <w:basedOn w:val="34"/>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5">
    <w:name w:val="Medium List 1 Accent 4"/>
    <w:basedOn w:val="34"/>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6">
    <w:name w:val="Medium List 1 Accent 5"/>
    <w:basedOn w:val="34"/>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7">
    <w:name w:val="Medium List 1 Accent 6"/>
    <w:basedOn w:val="34"/>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8">
    <w:name w:val="Medium List 2"/>
    <w:basedOn w:val="34"/>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1"/>
    <w:basedOn w:val="34"/>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2"/>
    <w:basedOn w:val="34"/>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3"/>
    <w:basedOn w:val="34"/>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4"/>
    <w:basedOn w:val="34"/>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List 2 Accent 5"/>
    <w:basedOn w:val="34"/>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4">
    <w:name w:val="Medium List 2 Accent 6"/>
    <w:basedOn w:val="34"/>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5">
    <w:name w:val="Medium Grid 1"/>
    <w:basedOn w:val="34"/>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6">
    <w:name w:val="Medium Grid 1 Accent 1"/>
    <w:basedOn w:val="34"/>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7">
    <w:name w:val="Medium Grid 1 Accent 2"/>
    <w:basedOn w:val="34"/>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8">
    <w:name w:val="Medium Grid 1 Accent 3"/>
    <w:basedOn w:val="34"/>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9">
    <w:name w:val="Medium Grid 1 Accent 4"/>
    <w:basedOn w:val="34"/>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90">
    <w:name w:val="Medium Grid 1 Accent 5"/>
    <w:basedOn w:val="34"/>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1">
    <w:name w:val="Medium Grid 1 Accent 6"/>
    <w:basedOn w:val="34"/>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2">
    <w:name w:val="Medium Grid 2"/>
    <w:basedOn w:val="34"/>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3">
    <w:name w:val="Medium Grid 2 Accent 1"/>
    <w:basedOn w:val="34"/>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4">
    <w:name w:val="Medium Grid 2 Accent 2"/>
    <w:basedOn w:val="34"/>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5">
    <w:name w:val="Medium Grid 2 Accent 3"/>
    <w:basedOn w:val="34"/>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6">
    <w:name w:val="Medium Grid 2 Accent 4"/>
    <w:basedOn w:val="34"/>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7">
    <w:name w:val="Medium Grid 2 Accent 5"/>
    <w:basedOn w:val="34"/>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8">
    <w:name w:val="Medium Grid 2 Accent 6"/>
    <w:basedOn w:val="34"/>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9">
    <w:name w:val="Medium Grid 3"/>
    <w:basedOn w:val="34"/>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00">
    <w:name w:val="Medium Grid 3 Accent 1"/>
    <w:basedOn w:val="34"/>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01">
    <w:name w:val="Medium Grid 3 Accent 2"/>
    <w:basedOn w:val="34"/>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2">
    <w:name w:val="Medium Grid 3 Accent 3"/>
    <w:basedOn w:val="34"/>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3">
    <w:name w:val="Medium Grid 3 Accent 4"/>
    <w:basedOn w:val="34"/>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4">
    <w:name w:val="Medium Grid 3 Accent 5"/>
    <w:basedOn w:val="34"/>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5">
    <w:name w:val="Medium Grid 3 Accent 6"/>
    <w:basedOn w:val="34"/>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6">
    <w:name w:val="Dark List"/>
    <w:basedOn w:val="34"/>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7">
    <w:name w:val="Dark List Accent 1"/>
    <w:basedOn w:val="34"/>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8">
    <w:name w:val="Dark List Accent 2"/>
    <w:basedOn w:val="34"/>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9">
    <w:name w:val="Dark List Accent 3"/>
    <w:basedOn w:val="34"/>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0">
    <w:name w:val="Dark List Accent 4"/>
    <w:basedOn w:val="34"/>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1">
    <w:name w:val="Dark List Accent 5"/>
    <w:basedOn w:val="34"/>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2">
    <w:name w:val="Dark List Accent 6"/>
    <w:basedOn w:val="34"/>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3">
    <w:name w:val="Colorful Shading"/>
    <w:basedOn w:val="34"/>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1"/>
    <w:basedOn w:val="34"/>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5">
    <w:name w:val="Colorful Shading Accent 2"/>
    <w:basedOn w:val="34"/>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3"/>
    <w:basedOn w:val="34"/>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7">
    <w:name w:val="Colorful Shading Accent 4"/>
    <w:basedOn w:val="34"/>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Shading Accent 5"/>
    <w:basedOn w:val="34"/>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9">
    <w:name w:val="Colorful Shading Accent 6"/>
    <w:basedOn w:val="34"/>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0">
    <w:name w:val="Colorful List"/>
    <w:basedOn w:val="34"/>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21">
    <w:name w:val="Colorful List Accent 1"/>
    <w:basedOn w:val="34"/>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2">
    <w:name w:val="Colorful List Accent 2"/>
    <w:basedOn w:val="34"/>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3">
    <w:name w:val="Colorful List Accent 3"/>
    <w:basedOn w:val="34"/>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4">
    <w:name w:val="Colorful List Accent 4"/>
    <w:basedOn w:val="34"/>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5">
    <w:name w:val="Colorful List Accent 5"/>
    <w:basedOn w:val="34"/>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6">
    <w:name w:val="Colorful List Accent 6"/>
    <w:basedOn w:val="34"/>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7">
    <w:name w:val="Colorful Grid"/>
    <w:basedOn w:val="34"/>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8">
    <w:name w:val="Colorful Grid Accent 1"/>
    <w:basedOn w:val="34"/>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9">
    <w:name w:val="Colorful Grid Accent 2"/>
    <w:basedOn w:val="34"/>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0">
    <w:name w:val="Colorful Grid Accent 3"/>
    <w:basedOn w:val="34"/>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31">
    <w:name w:val="Colorful Grid Accent 4"/>
    <w:basedOn w:val="34"/>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2">
    <w:name w:val="Colorful Grid Accent 5"/>
    <w:basedOn w:val="34"/>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3">
    <w:name w:val="Colorful Grid Accent 6"/>
    <w:basedOn w:val="34"/>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5">
    <w:name w:val="Strong"/>
    <w:basedOn w:val="134"/>
    <w:qFormat/>
    <w:uiPriority w:val="22"/>
    <w:rPr>
      <w:b/>
      <w:bCs/>
    </w:rPr>
  </w:style>
  <w:style w:type="character" w:styleId="136">
    <w:name w:val="Emphasis"/>
    <w:basedOn w:val="134"/>
    <w:qFormat/>
    <w:uiPriority w:val="20"/>
    <w:rPr>
      <w:i/>
      <w:iCs/>
    </w:rPr>
  </w:style>
  <w:style w:type="character" w:customStyle="1" w:styleId="137">
    <w:name w:val="Header Char"/>
    <w:basedOn w:val="134"/>
    <w:link w:val="26"/>
    <w:qFormat/>
    <w:uiPriority w:val="99"/>
  </w:style>
  <w:style w:type="character" w:customStyle="1" w:styleId="138">
    <w:name w:val="Footer Char"/>
    <w:basedOn w:val="134"/>
    <w:link w:val="25"/>
    <w:qFormat/>
    <w:uiPriority w:val="99"/>
  </w:style>
  <w:style w:type="paragraph" w:styleId="139">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40">
    <w:name w:val="Heading 1 Char"/>
    <w:basedOn w:val="134"/>
    <w:link w:val="4"/>
    <w:qFormat/>
    <w:uiPriority w:val="9"/>
    <w:rPr>
      <w:rFonts w:asciiTheme="majorHAnsi" w:hAnsiTheme="majorHAnsi" w:eastAsiaTheme="majorEastAsia" w:cstheme="majorBidi"/>
      <w:b/>
      <w:bCs/>
      <w:color w:val="376092" w:themeColor="accent1" w:themeShade="BF"/>
      <w:sz w:val="28"/>
      <w:szCs w:val="28"/>
    </w:rPr>
  </w:style>
  <w:style w:type="character" w:customStyle="1" w:styleId="141">
    <w:name w:val="Heading 2 Char"/>
    <w:basedOn w:val="134"/>
    <w:link w:val="5"/>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2">
    <w:name w:val="Heading 3 Char"/>
    <w:basedOn w:val="134"/>
    <w:link w:val="2"/>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3">
    <w:name w:val="Title Char"/>
    <w:basedOn w:val="134"/>
    <w:link w:val="32"/>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4">
    <w:name w:val="Subtitle Char"/>
    <w:basedOn w:val="134"/>
    <w:link w:val="27"/>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5">
    <w:name w:val="List Paragraph"/>
    <w:basedOn w:val="1"/>
    <w:qFormat/>
    <w:uiPriority w:val="34"/>
    <w:pPr>
      <w:ind w:left="720"/>
      <w:contextualSpacing/>
    </w:pPr>
  </w:style>
  <w:style w:type="character" w:customStyle="1" w:styleId="146">
    <w:name w:val="Body Text Char"/>
    <w:basedOn w:val="134"/>
    <w:link w:val="20"/>
    <w:qFormat/>
    <w:uiPriority w:val="99"/>
  </w:style>
  <w:style w:type="character" w:customStyle="1" w:styleId="147">
    <w:name w:val="Body Text 2 Char"/>
    <w:basedOn w:val="134"/>
    <w:link w:val="29"/>
    <w:qFormat/>
    <w:uiPriority w:val="99"/>
  </w:style>
  <w:style w:type="character" w:customStyle="1" w:styleId="148">
    <w:name w:val="Body Text 3 Char"/>
    <w:basedOn w:val="134"/>
    <w:link w:val="18"/>
    <w:qFormat/>
    <w:uiPriority w:val="99"/>
    <w:rPr>
      <w:sz w:val="16"/>
      <w:szCs w:val="16"/>
    </w:rPr>
  </w:style>
  <w:style w:type="character" w:customStyle="1" w:styleId="149">
    <w:name w:val="Macro Text Char"/>
    <w:basedOn w:val="134"/>
    <w:link w:val="3"/>
    <w:qFormat/>
    <w:uiPriority w:val="99"/>
    <w:rPr>
      <w:rFonts w:ascii="Courier" w:hAnsi="Courier"/>
      <w:sz w:val="20"/>
      <w:szCs w:val="20"/>
    </w:rPr>
  </w:style>
  <w:style w:type="paragraph" w:styleId="150">
    <w:name w:val="Quote"/>
    <w:basedOn w:val="1"/>
    <w:next w:val="1"/>
    <w:link w:val="151"/>
    <w:qFormat/>
    <w:uiPriority w:val="29"/>
    <w:rPr>
      <w:i/>
      <w:iCs/>
      <w:color w:val="000000" w:themeColor="text1"/>
      <w14:textFill>
        <w14:solidFill>
          <w14:schemeClr w14:val="tx1"/>
        </w14:solidFill>
      </w14:textFill>
    </w:rPr>
  </w:style>
  <w:style w:type="character" w:customStyle="1" w:styleId="151">
    <w:name w:val="Quote Char"/>
    <w:basedOn w:val="134"/>
    <w:link w:val="150"/>
    <w:qFormat/>
    <w:uiPriority w:val="29"/>
    <w:rPr>
      <w:i/>
      <w:iCs/>
      <w:color w:val="000000" w:themeColor="text1"/>
      <w14:textFill>
        <w14:solidFill>
          <w14:schemeClr w14:val="tx1"/>
        </w14:solidFill>
      </w14:textFill>
    </w:rPr>
  </w:style>
  <w:style w:type="character" w:customStyle="1" w:styleId="152">
    <w:name w:val="Heading 4 Char"/>
    <w:basedOn w:val="134"/>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3">
    <w:name w:val="Heading 5 Char"/>
    <w:basedOn w:val="134"/>
    <w:link w:val="7"/>
    <w:semiHidden/>
    <w:qFormat/>
    <w:uiPriority w:val="9"/>
    <w:rPr>
      <w:rFonts w:asciiTheme="majorHAnsi" w:hAnsiTheme="majorHAnsi" w:eastAsiaTheme="majorEastAsia" w:cstheme="majorBidi"/>
      <w:color w:val="254061" w:themeColor="accent1" w:themeShade="80"/>
    </w:rPr>
  </w:style>
  <w:style w:type="character" w:customStyle="1" w:styleId="154">
    <w:name w:val="Heading 6 Char"/>
    <w:basedOn w:val="134"/>
    <w:link w:val="8"/>
    <w:semiHidden/>
    <w:qFormat/>
    <w:uiPriority w:val="9"/>
    <w:rPr>
      <w:rFonts w:asciiTheme="majorHAnsi" w:hAnsiTheme="majorHAnsi" w:eastAsiaTheme="majorEastAsia" w:cstheme="majorBidi"/>
      <w:i/>
      <w:iCs/>
      <w:color w:val="254061" w:themeColor="accent1" w:themeShade="80"/>
    </w:rPr>
  </w:style>
  <w:style w:type="character" w:customStyle="1" w:styleId="155">
    <w:name w:val="Heading 7 Char"/>
    <w:basedOn w:val="134"/>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6">
    <w:name w:val="Heading 8 Char"/>
    <w:basedOn w:val="134"/>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7">
    <w:name w:val="Heading 9 Char"/>
    <w:basedOn w:val="134"/>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8">
    <w:name w:val="Intense Quote"/>
    <w:basedOn w:val="1"/>
    <w:next w:val="1"/>
    <w:link w:val="159"/>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9">
    <w:name w:val="Intense Quote Char"/>
    <w:basedOn w:val="134"/>
    <w:link w:val="158"/>
    <w:qFormat/>
    <w:uiPriority w:val="30"/>
    <w:rPr>
      <w:b/>
      <w:bCs/>
      <w:i/>
      <w:iCs/>
      <w:color w:val="4F81BD" w:themeColor="accent1"/>
      <w14:textFill>
        <w14:solidFill>
          <w14:schemeClr w14:val="accent1"/>
        </w14:solidFill>
      </w14:textFill>
    </w:rPr>
  </w:style>
  <w:style w:type="character" w:customStyle="1" w:styleId="160">
    <w:name w:val="Subtle Emphasis"/>
    <w:basedOn w:val="134"/>
    <w:qFormat/>
    <w:uiPriority w:val="19"/>
    <w:rPr>
      <w:i/>
      <w:iCs/>
      <w:color w:val="808080" w:themeColor="text1" w:themeTint="80"/>
      <w14:textFill>
        <w14:solidFill>
          <w14:schemeClr w14:val="tx1">
            <w14:lumMod w14:val="50000"/>
            <w14:lumOff w14:val="50000"/>
          </w14:schemeClr>
        </w14:solidFill>
      </w14:textFill>
    </w:rPr>
  </w:style>
  <w:style w:type="character" w:customStyle="1" w:styleId="161">
    <w:name w:val="Intense Emphasis"/>
    <w:basedOn w:val="134"/>
    <w:qFormat/>
    <w:uiPriority w:val="21"/>
    <w:rPr>
      <w:b/>
      <w:bCs/>
      <w:i/>
      <w:iCs/>
      <w:color w:val="4F81BD" w:themeColor="accent1"/>
      <w14:textFill>
        <w14:solidFill>
          <w14:schemeClr w14:val="accent1"/>
        </w14:solidFill>
      </w14:textFill>
    </w:rPr>
  </w:style>
  <w:style w:type="character" w:customStyle="1" w:styleId="162">
    <w:name w:val="Subtle Reference"/>
    <w:basedOn w:val="134"/>
    <w:qFormat/>
    <w:uiPriority w:val="31"/>
    <w:rPr>
      <w:smallCaps/>
      <w:color w:val="C0504D" w:themeColor="accent2"/>
      <w:u w:val="single"/>
      <w14:textFill>
        <w14:solidFill>
          <w14:schemeClr w14:val="accent2"/>
        </w14:solidFill>
      </w14:textFill>
    </w:rPr>
  </w:style>
  <w:style w:type="character" w:customStyle="1" w:styleId="163">
    <w:name w:val="Intense Reference"/>
    <w:basedOn w:val="134"/>
    <w:qFormat/>
    <w:uiPriority w:val="32"/>
    <w:rPr>
      <w:b/>
      <w:bCs/>
      <w:smallCaps/>
      <w:color w:val="C0504D" w:themeColor="accent2"/>
      <w:spacing w:val="5"/>
      <w:u w:val="single"/>
      <w14:textFill>
        <w14:solidFill>
          <w14:schemeClr w14:val="accent2"/>
        </w14:solidFill>
      </w14:textFill>
    </w:rPr>
  </w:style>
  <w:style w:type="character" w:customStyle="1" w:styleId="164">
    <w:name w:val="Book Title"/>
    <w:basedOn w:val="134"/>
    <w:qFormat/>
    <w:uiPriority w:val="33"/>
    <w:rPr>
      <w:b/>
      <w:bCs/>
      <w:smallCaps/>
      <w:spacing w:val="5"/>
    </w:rPr>
  </w:style>
  <w:style w:type="paragraph" w:customStyle="1" w:styleId="165">
    <w:name w:val="TOC Heading"/>
    <w:basedOn w:val="4"/>
    <w:next w:val="1"/>
    <w:semiHidden/>
    <w:unhideWhenUsed/>
    <w:qFormat/>
    <w:uiPriority w:val="39"/>
    <w:pPr>
      <w:outlineLvl w:val="9"/>
    </w:pPr>
  </w:style>
  <w:style w:type="paragraph" w:customStyle="1" w:styleId="166">
    <w:name w:val="Footer"/>
    <w:basedOn w:val="1"/>
    <w:qFormat/>
    <w:uiPriority w:val="0"/>
    <w:pPr>
      <w:tabs>
        <w:tab w:val="center" w:pos="4153"/>
        <w:tab w:val="right" w:pos="8306"/>
      </w:tabs>
      <w:snapToGrid w:val="0"/>
      <w:jc w:val="left"/>
      <w:textAlignment w:val="baseline"/>
    </w:pPr>
    <w:rPr>
      <w:kern w:val="2"/>
      <w:sz w:val="18"/>
      <w:szCs w:val="18"/>
      <w:lang w:val="en-US" w:eastAsia="zh-CN" w:bidi="ar-SA"/>
    </w:rPr>
  </w:style>
  <w:style w:type="character" w:customStyle="1" w:styleId="167">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184</Words>
  <Characters>187</Characters>
  <Lines>0</Lines>
  <Paragraphs>0</Paragraphs>
  <TotalTime>0</TotalTime>
  <ScaleCrop>false</ScaleCrop>
  <LinksUpToDate>false</LinksUpToDate>
  <CharactersWithSpaces>213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素歌</cp:lastModifiedBy>
  <dcterms:modified xsi:type="dcterms:W3CDTF">2026-07-16T07:46:43Z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IGC">
    <vt:lpwstr>{"Label":"1","ContentProducer":"001191110102MACQD9K64018705","ProduceID":"7628831204833427746-data_volume/files/所有对话/主对话/枢纽车站高质量数据集比选文件邀请函（严格版）.docx","ReservedCode1":"","ContentPropagator":"001191110102MACQD9K64028705","PropagateID":"4141213681192556#1782444402694","ReservedCode2":""}</vt:lpwstr>
  </property>
  <property fmtid="{D5CDD505-2E9C-101B-9397-08002B2CF9AE}" pid="3" name="KSOTemplateDocerSaveRecord">
    <vt:lpwstr>eyJoZGlkIjoiMTg0NjJmYTEyZTJhYjhjMmYwZWEzMmU4MDY1ZmE5MDEiLCJ1c2VySWQiOiI3Mzg2OTg4OTkifQ==</vt:lpwstr>
  </property>
  <property fmtid="{D5CDD505-2E9C-101B-9397-08002B2CF9AE}" pid="4" name="KSOProductBuildVer">
    <vt:lpwstr>2052-12.1.0.26895</vt:lpwstr>
  </property>
  <property fmtid="{D5CDD505-2E9C-101B-9397-08002B2CF9AE}" pid="5" name="ICV">
    <vt:lpwstr>70B20A7B3F964638BC5E84B1C2179A37_13</vt:lpwstr>
  </property>
</Properties>
</file>