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8C9DD">
      <w:pPr>
        <w:spacing w:line="600" w:lineRule="exact"/>
        <w:jc w:val="center"/>
        <w:rPr>
          <w:rFonts w:hint="eastAsia" w:eastAsia="方正仿宋_GBK"/>
          <w:b/>
          <w:bCs/>
          <w:color w:val="auto"/>
          <w:sz w:val="32"/>
          <w:szCs w:val="32"/>
          <w:u w:val="single"/>
          <w:lang w:eastAsia="zh-CN"/>
        </w:rPr>
      </w:pPr>
      <w:bookmarkStart w:id="8" w:name="_GoBack"/>
      <w:bookmarkEnd w:id="8"/>
      <w:r>
        <w:rPr>
          <w:rFonts w:hint="eastAsia" w:eastAsia="方正仿宋_GBK"/>
          <w:b/>
          <w:bCs/>
          <w:color w:val="auto"/>
          <w:sz w:val="32"/>
          <w:szCs w:val="32"/>
          <w:u w:val="single"/>
          <w:lang w:eastAsia="zh-CN"/>
        </w:rPr>
        <w:t>重庆交通资源开发有限公司</w:t>
      </w:r>
    </w:p>
    <w:p w14:paraId="66E20871">
      <w:pPr>
        <w:spacing w:line="600" w:lineRule="exact"/>
        <w:jc w:val="center"/>
        <w:rPr>
          <w:rFonts w:hint="eastAsia" w:eastAsia="方正仿宋_GBK"/>
          <w:b/>
          <w:bCs/>
          <w:color w:val="auto"/>
          <w:sz w:val="32"/>
          <w:szCs w:val="32"/>
          <w:u w:val="single"/>
          <w:lang w:val="en-US" w:eastAsia="zh-CN"/>
        </w:rPr>
      </w:pPr>
      <w:r>
        <w:rPr>
          <w:rFonts w:hint="eastAsia" w:eastAsia="方正仿宋_GBK"/>
          <w:b/>
          <w:bCs/>
          <w:color w:val="auto"/>
          <w:sz w:val="32"/>
          <w:szCs w:val="32"/>
          <w:u w:val="single"/>
          <w:lang w:val="en-US" w:eastAsia="zh-CN"/>
        </w:rPr>
        <w:t>关于招标限价编制阶段工程监测方案编制服务</w:t>
      </w:r>
    </w:p>
    <w:p w14:paraId="6245E6F9">
      <w:pPr>
        <w:spacing w:line="600" w:lineRule="exact"/>
        <w:jc w:val="center"/>
        <w:rPr>
          <w:rFonts w:hint="eastAsia" w:eastAsia="方正仿宋_GBK"/>
          <w:b/>
          <w:bCs/>
          <w:color w:val="auto"/>
          <w:sz w:val="32"/>
          <w:szCs w:val="32"/>
          <w:u w:val="single"/>
          <w:lang w:eastAsia="zh-CN"/>
        </w:rPr>
      </w:pPr>
      <w:r>
        <w:rPr>
          <w:rFonts w:hint="eastAsia" w:eastAsia="方正仿宋_GBK"/>
          <w:b/>
          <w:bCs/>
          <w:color w:val="auto"/>
          <w:sz w:val="32"/>
          <w:szCs w:val="32"/>
          <w:u w:val="single"/>
          <w:lang w:eastAsia="zh-CN"/>
        </w:rPr>
        <w:t>比选邀请函</w:t>
      </w:r>
    </w:p>
    <w:p w14:paraId="12E3D2C2">
      <w:pPr>
        <w:spacing w:line="520" w:lineRule="exact"/>
        <w:rPr>
          <w:rFonts w:ascii="仿宋_GB2312" w:hAnsi="仿宋_GB2312" w:eastAsia="仿宋_GB2312" w:cs="仿宋_GB2312"/>
          <w:color w:val="auto"/>
          <w:sz w:val="28"/>
          <w:szCs w:val="28"/>
        </w:rPr>
      </w:pPr>
      <w:r>
        <w:rPr>
          <w:rFonts w:hint="eastAsia" w:ascii="方正仿宋_GBK" w:hAnsi="仿宋_GB2312" w:eastAsia="方正仿宋_GBK"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lang w:val="en-US" w:eastAsia="zh-CN"/>
        </w:rPr>
        <w:t>公司</w:t>
      </w:r>
      <w:r>
        <w:rPr>
          <w:rFonts w:hint="eastAsia" w:ascii="仿宋_GB2312" w:hAnsi="仿宋_GB2312" w:eastAsia="仿宋_GB2312" w:cs="仿宋_GB2312"/>
          <w:color w:val="auto"/>
          <w:sz w:val="28"/>
          <w:szCs w:val="28"/>
        </w:rPr>
        <w:t>：</w:t>
      </w:r>
    </w:p>
    <w:p w14:paraId="26EB60EB">
      <w:pPr>
        <w:spacing w:line="520" w:lineRule="exact"/>
        <w:ind w:firstLine="560" w:firstLineChars="200"/>
        <w:jc w:val="lef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我司拟开展</w:t>
      </w:r>
      <w:r>
        <w:rPr>
          <w:rFonts w:hint="eastAsia" w:eastAsia="方正仿宋_GBK"/>
          <w:b/>
          <w:bCs/>
          <w:color w:val="auto"/>
          <w:sz w:val="30"/>
          <w:szCs w:val="30"/>
          <w:u w:val="single"/>
          <w:lang w:val="en-US" w:eastAsia="zh-CN"/>
        </w:rPr>
        <w:t>招标限价编制阶段工程监测方案编制服务</w:t>
      </w:r>
      <w:r>
        <w:rPr>
          <w:rFonts w:hint="eastAsia" w:ascii="方正仿宋_GBK" w:hAnsi="仿宋_GB2312" w:eastAsia="方正仿宋_GBK" w:cs="仿宋_GB2312"/>
          <w:color w:val="auto"/>
          <w:sz w:val="30"/>
          <w:szCs w:val="30"/>
        </w:rPr>
        <w:t>工作，本次</w:t>
      </w:r>
      <w:r>
        <w:rPr>
          <w:rFonts w:hint="eastAsia" w:eastAsia="方正仿宋_GBK"/>
          <w:b/>
          <w:bCs/>
          <w:color w:val="auto"/>
          <w:sz w:val="30"/>
          <w:szCs w:val="30"/>
          <w:u w:val="single"/>
          <w:lang w:val="en-US" w:eastAsia="zh-CN"/>
        </w:rPr>
        <w:t>招标限价编制阶段工程监测方案编制服务</w:t>
      </w:r>
      <w:r>
        <w:rPr>
          <w:rFonts w:hint="eastAsia" w:ascii="方正仿宋_GBK" w:hAnsi="仿宋_GB2312" w:eastAsia="方正仿宋_GBK" w:cs="仿宋_GB2312"/>
          <w:color w:val="auto"/>
          <w:sz w:val="28"/>
          <w:szCs w:val="28"/>
        </w:rPr>
        <w:t>工作</w:t>
      </w:r>
      <w:r>
        <w:rPr>
          <w:rFonts w:ascii="方正仿宋_GBK" w:hAnsi="仿宋_GB2312" w:eastAsia="方正仿宋_GBK" w:cs="仿宋_GB2312"/>
          <w:color w:val="auto"/>
          <w:sz w:val="28"/>
          <w:szCs w:val="28"/>
        </w:rPr>
        <w:t>实施单位的确定将采</w:t>
      </w:r>
      <w:r>
        <w:rPr>
          <w:rFonts w:hint="eastAsia" w:ascii="方正仿宋_GBK" w:hAnsi="仿宋_GB2312" w:eastAsia="方正仿宋_GBK" w:cs="仿宋_GB2312"/>
          <w:color w:val="auto"/>
          <w:sz w:val="28"/>
          <w:szCs w:val="28"/>
        </w:rPr>
        <w:t>用比选方式进行。具体项目情况如下：</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6293"/>
      </w:tblGrid>
      <w:tr w14:paraId="4BD1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22" w:type="dxa"/>
            <w:gridSpan w:val="2"/>
            <w:vAlign w:val="center"/>
          </w:tcPr>
          <w:p w14:paraId="32779377">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rPr>
              <w:t>一、项目概况</w:t>
            </w:r>
          </w:p>
        </w:tc>
      </w:tr>
      <w:tr w14:paraId="4C21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2702E23D">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rPr>
              <w:t>项目名称</w:t>
            </w:r>
          </w:p>
        </w:tc>
        <w:tc>
          <w:tcPr>
            <w:tcW w:w="6293" w:type="dxa"/>
            <w:vAlign w:val="center"/>
          </w:tcPr>
          <w:p w14:paraId="529747D0">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lang w:val="en-US" w:eastAsia="zh-CN"/>
              </w:rPr>
              <w:t>招标限价编制阶段工程监测方案编制服务</w:t>
            </w:r>
          </w:p>
        </w:tc>
      </w:tr>
      <w:tr w14:paraId="1C7F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4D8FE3D8">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rPr>
              <w:t>项目投资</w:t>
            </w:r>
          </w:p>
        </w:tc>
        <w:tc>
          <w:tcPr>
            <w:tcW w:w="6293" w:type="dxa"/>
            <w:vAlign w:val="center"/>
          </w:tcPr>
          <w:p w14:paraId="1D84AA22">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lang w:val="en-US" w:eastAsia="zh-CN"/>
              </w:rPr>
              <w:t>本项目</w:t>
            </w:r>
            <w:r>
              <w:rPr>
                <w:rFonts w:hint="eastAsia" w:ascii="方正仿宋_GBK" w:hAnsi="仿宋_GB2312" w:eastAsia="方正仿宋_GBK" w:cs="仿宋_GB2312"/>
                <w:i w:val="0"/>
                <w:iCs w:val="0"/>
                <w:caps w:val="0"/>
                <w:color w:val="auto"/>
                <w:spacing w:val="0"/>
                <w:sz w:val="28"/>
                <w:szCs w:val="28"/>
                <w:highlight w:val="none"/>
                <w:shd w:val="clear"/>
              </w:rPr>
              <w:t>估算总费用约176500元，单个项目最高限价分别为：大竹林项目为34300元、鸳鸯项目为34300元、七星岗项目为37300元、重光项目36300元、溉澜溪项目34300元。以合同期内实际委托数量为准。</w:t>
            </w:r>
          </w:p>
        </w:tc>
      </w:tr>
      <w:tr w14:paraId="32B9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0B4E711C">
            <w:pPr>
              <w:spacing w:line="520" w:lineRule="exact"/>
              <w:jc w:val="left"/>
              <w:rPr>
                <w:rFonts w:hint="default"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rPr>
              <w:t>项目具体概况</w:t>
            </w:r>
          </w:p>
        </w:tc>
        <w:tc>
          <w:tcPr>
            <w:tcW w:w="6293" w:type="dxa"/>
            <w:vAlign w:val="center"/>
          </w:tcPr>
          <w:p w14:paraId="0D25C0D8">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lang w:val="en-US" w:eastAsia="zh-CN"/>
              </w:rPr>
              <w:t>项目概况详见附件，</w:t>
            </w:r>
            <w:r>
              <w:rPr>
                <w:rFonts w:hint="eastAsia" w:ascii="方正仿宋_GBK" w:hAnsi="仿宋_GB2312" w:eastAsia="方正仿宋_GBK" w:cs="仿宋_GB2312"/>
                <w:color w:val="auto"/>
                <w:sz w:val="28"/>
                <w:szCs w:val="28"/>
                <w:highlight w:val="none"/>
              </w:rPr>
              <w:t>遴选建构筑物监测方案编制服务单位，保障方案编制合规性、科学性，为监测招标最高限价编制提供依据，规范采购流程、提高效率。</w:t>
            </w:r>
          </w:p>
        </w:tc>
      </w:tr>
      <w:tr w14:paraId="1659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5CE3F349">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rPr>
              <w:t>服务工期</w:t>
            </w:r>
          </w:p>
        </w:tc>
        <w:tc>
          <w:tcPr>
            <w:tcW w:w="6293" w:type="dxa"/>
            <w:vAlign w:val="center"/>
          </w:tcPr>
          <w:p w14:paraId="14C9818F">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lang w:val="en-US" w:eastAsia="zh-CN"/>
              </w:rPr>
              <w:t>合同期自合同签订之日起，至甲方书面确定需实施完成的工作项目完成</w:t>
            </w:r>
            <w:r>
              <w:rPr>
                <w:rFonts w:hint="eastAsia" w:ascii="方正仿宋_GBK" w:hAnsi="仿宋_GB2312" w:eastAsia="方正仿宋_GBK" w:cs="仿宋_GB2312"/>
                <w:color w:val="auto"/>
                <w:sz w:val="28"/>
                <w:szCs w:val="28"/>
                <w:highlight w:val="none"/>
              </w:rPr>
              <w:t>止。</w:t>
            </w:r>
          </w:p>
        </w:tc>
      </w:tr>
      <w:tr w14:paraId="7ED4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22" w:type="dxa"/>
            <w:gridSpan w:val="2"/>
            <w:vAlign w:val="center"/>
          </w:tcPr>
          <w:p w14:paraId="3FD9F2E8">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rPr>
              <w:t>二、比选被邀请人须知</w:t>
            </w:r>
          </w:p>
        </w:tc>
      </w:tr>
      <w:tr w14:paraId="34B9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225FBA1C">
            <w:pPr>
              <w:spacing w:line="520" w:lineRule="exact"/>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rPr>
              <w:t>比选范围及内容</w:t>
            </w:r>
          </w:p>
        </w:tc>
        <w:tc>
          <w:tcPr>
            <w:tcW w:w="6293" w:type="dxa"/>
            <w:vAlign w:val="center"/>
          </w:tcPr>
          <w:p w14:paraId="3923EF2B">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rPr>
              <w:t>依据国家、行业、地方相关建构筑物监测规范标准。</w:t>
            </w:r>
            <w:r>
              <w:rPr>
                <w:rFonts w:hint="eastAsia" w:ascii="方正仿宋_GBK" w:hAnsi="仿宋_GB2312" w:eastAsia="方正仿宋_GBK" w:cs="仿宋_GB2312"/>
                <w:color w:val="auto"/>
                <w:sz w:val="28"/>
                <w:szCs w:val="28"/>
                <w:highlight w:val="none"/>
                <w:lang w:val="en-US" w:eastAsia="zh-CN"/>
              </w:rPr>
              <w:t>对各项目</w:t>
            </w:r>
            <w:r>
              <w:rPr>
                <w:rFonts w:hint="eastAsia" w:ascii="方正仿宋_GBK" w:hAnsi="仿宋_GB2312" w:eastAsia="方正仿宋_GBK" w:cs="仿宋_GB2312"/>
                <w:color w:val="auto"/>
                <w:sz w:val="28"/>
                <w:szCs w:val="28"/>
                <w:highlight w:val="none"/>
              </w:rPr>
              <w:t>监测方案编制服务单位遴选。</w:t>
            </w:r>
          </w:p>
          <w:p w14:paraId="6EAB0601">
            <w:pPr>
              <w:spacing w:line="520" w:lineRule="exact"/>
              <w:ind w:firstLine="560" w:firstLineChars="200"/>
              <w:jc w:val="left"/>
              <w:rPr>
                <w:rFonts w:hint="eastAsia" w:ascii="方正仿宋_GBK" w:hAnsi="仿宋_GB2312" w:eastAsia="方正仿宋_GBK" w:cs="仿宋_GB2312"/>
                <w:color w:val="auto"/>
                <w:sz w:val="28"/>
                <w:szCs w:val="28"/>
                <w:highlight w:val="none"/>
              </w:rPr>
            </w:pPr>
            <w:r>
              <w:rPr>
                <w:rFonts w:hint="eastAsia" w:ascii="方正仿宋_GBK" w:hAnsi="仿宋_GB2312" w:eastAsia="方正仿宋_GBK" w:cs="仿宋_GB2312"/>
                <w:color w:val="auto"/>
                <w:sz w:val="28"/>
                <w:szCs w:val="28"/>
                <w:highlight w:val="none"/>
                <w:lang w:val="en-US" w:eastAsia="zh-CN"/>
              </w:rPr>
              <w:t>服务单位应于收到编制任务书后30天内提交通过评审的监测方案，乙方应向甲方提供两份相同内容的监测方案，服务单位根据甲方要求和相关规范，同步提供监测工程量及监测费用估算表。保证监测方案的科学性、合理性和实用性并通过审查。在招标答疑阶段，提供书面答疑服务，并对监测实施单位编制的监测方案提供审查意见。</w:t>
            </w:r>
          </w:p>
          <w:p w14:paraId="2FA46E62">
            <w:pPr>
              <w:spacing w:line="520" w:lineRule="exact"/>
              <w:ind w:firstLine="560" w:firstLineChars="200"/>
              <w:jc w:val="left"/>
              <w:rPr>
                <w:rFonts w:hint="eastAsia" w:ascii="方正仿宋_GBK" w:hAnsi="仿宋_GB2312" w:eastAsia="方正仿宋_GBK" w:cs="仿宋_GB2312"/>
                <w:color w:val="auto"/>
                <w:sz w:val="28"/>
                <w:szCs w:val="28"/>
                <w:highlight w:val="none"/>
              </w:rPr>
            </w:pPr>
          </w:p>
        </w:tc>
      </w:tr>
      <w:tr w14:paraId="46AE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19E55CFD">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比选被邀请人资格要求</w:t>
            </w:r>
          </w:p>
        </w:tc>
        <w:tc>
          <w:tcPr>
            <w:tcW w:w="6293" w:type="dxa"/>
            <w:vAlign w:val="center"/>
          </w:tcPr>
          <w:p w14:paraId="1AE21A1F">
            <w:pPr>
              <w:spacing w:line="520" w:lineRule="exact"/>
              <w:ind w:firstLine="560" w:firstLineChars="200"/>
              <w:jc w:val="left"/>
              <w:rPr>
                <w:rFonts w:hint="eastAsia" w:ascii="方正仿宋_GBK" w:hAnsi="仿宋_GB2312" w:eastAsia="方正仿宋_GBK" w:cs="仿宋_GB2312"/>
                <w:strike w:val="0"/>
                <w:dstrike w:val="0"/>
                <w:color w:val="auto"/>
                <w:sz w:val="28"/>
                <w:szCs w:val="28"/>
                <w:highlight w:val="none"/>
                <w:lang w:val="en-US" w:eastAsia="zh-CN"/>
              </w:rPr>
            </w:pPr>
            <w:r>
              <w:rPr>
                <w:rFonts w:hint="eastAsia" w:ascii="方正仿宋_GBK" w:hAnsi="仿宋_GB2312" w:eastAsia="方正仿宋_GBK" w:cs="仿宋_GB2312"/>
                <w:strike w:val="0"/>
                <w:dstrike w:val="0"/>
                <w:color w:val="auto"/>
                <w:sz w:val="28"/>
                <w:szCs w:val="28"/>
                <w:highlight w:val="none"/>
                <w:lang w:val="en-US" w:eastAsia="zh-CN"/>
              </w:rPr>
              <w:t xml:space="preserve"> 1. 具有独立法人资格，持有有效营业执照，（提供营业执照复印件并加盖投标人鲜章）</w:t>
            </w:r>
          </w:p>
          <w:p w14:paraId="0E2420A0">
            <w:pPr>
              <w:spacing w:line="520" w:lineRule="exact"/>
              <w:ind w:firstLine="560" w:firstLineChars="200"/>
              <w:jc w:val="left"/>
              <w:rPr>
                <w:rFonts w:hint="eastAsia" w:ascii="方正仿宋_GBK" w:hAnsi="仿宋_GB2312" w:eastAsia="方正仿宋_GBK" w:cs="仿宋_GB2312"/>
                <w:strike w:val="0"/>
                <w:dstrike w:val="0"/>
                <w:color w:val="auto"/>
                <w:sz w:val="28"/>
                <w:szCs w:val="28"/>
                <w:highlight w:val="none"/>
                <w:lang w:val="en-US" w:eastAsia="zh-CN"/>
              </w:rPr>
            </w:pPr>
            <w:r>
              <w:rPr>
                <w:rFonts w:hint="eastAsia" w:ascii="方正仿宋_GBK" w:hAnsi="仿宋_GB2312" w:eastAsia="方正仿宋_GBK" w:cs="仿宋_GB2312"/>
                <w:strike w:val="0"/>
                <w:dstrike w:val="0"/>
                <w:color w:val="auto"/>
                <w:sz w:val="28"/>
                <w:szCs w:val="28"/>
                <w:highlight w:val="none"/>
                <w:lang w:val="en-US" w:eastAsia="zh-CN"/>
              </w:rPr>
              <w:t xml:space="preserve"> 2. 书面承诺：中选后不参与对应工程施工期的监测投标工作；</w:t>
            </w:r>
          </w:p>
          <w:p w14:paraId="7B2FF658">
            <w:pPr>
              <w:spacing w:line="520" w:lineRule="exact"/>
              <w:ind w:firstLine="560" w:firstLineChars="200"/>
              <w:jc w:val="left"/>
              <w:rPr>
                <w:rFonts w:hint="eastAsia" w:ascii="方正仿宋_GBK" w:hAnsi="仿宋_GB2312" w:eastAsia="方正仿宋_GBK" w:cs="仿宋_GB2312"/>
                <w:strike w:val="0"/>
                <w:dstrike w:val="0"/>
                <w:color w:val="auto"/>
                <w:sz w:val="28"/>
                <w:szCs w:val="28"/>
                <w:highlight w:val="none"/>
                <w:lang w:val="en-US" w:eastAsia="zh-CN"/>
              </w:rPr>
            </w:pPr>
            <w:r>
              <w:rPr>
                <w:rFonts w:hint="eastAsia" w:ascii="方正仿宋_GBK" w:hAnsi="仿宋_GB2312" w:eastAsia="方正仿宋_GBK" w:cs="仿宋_GB2312"/>
                <w:strike w:val="0"/>
                <w:dstrike w:val="0"/>
                <w:color w:val="auto"/>
                <w:sz w:val="28"/>
                <w:szCs w:val="28"/>
                <w:highlight w:val="none"/>
                <w:lang w:val="en-US" w:eastAsia="zh-CN"/>
              </w:rPr>
              <w:t>3.资质要求:具备工程勘察综合甲级资质和甲级测绘资质（测绘资质含工程测量项目），以上内容均需提供复印件并加盖投标单位鲜章。</w:t>
            </w:r>
          </w:p>
          <w:p w14:paraId="7641963C">
            <w:pPr>
              <w:spacing w:line="520" w:lineRule="exact"/>
              <w:ind w:firstLine="560" w:firstLineChars="200"/>
              <w:jc w:val="left"/>
              <w:rPr>
                <w:rFonts w:hint="default" w:ascii="方正仿宋_GBK" w:hAnsi="仿宋_GB2312" w:eastAsia="方正仿宋_GBK" w:cs="仿宋_GB2312"/>
                <w:strike w:val="0"/>
                <w:dstrike w:val="0"/>
                <w:color w:val="auto"/>
                <w:sz w:val="28"/>
                <w:szCs w:val="28"/>
                <w:highlight w:val="none"/>
                <w:lang w:val="en-US" w:eastAsia="zh-CN"/>
              </w:rPr>
            </w:pPr>
            <w:r>
              <w:rPr>
                <w:rFonts w:hint="eastAsia" w:ascii="方正仿宋_GBK" w:hAnsi="仿宋_GB2312" w:eastAsia="方正仿宋_GBK" w:cs="仿宋_GB2312"/>
                <w:strike w:val="0"/>
                <w:dstrike w:val="0"/>
                <w:color w:val="auto"/>
                <w:sz w:val="28"/>
                <w:szCs w:val="28"/>
                <w:highlight w:val="none"/>
                <w:lang w:val="en-US" w:eastAsia="zh-CN"/>
              </w:rPr>
              <w:t>4.财务要求：2025年的年度财务状况不亏损。提供会计师事务所或审计机构出具的合法有效的财务审计报告及财务报表，财务报表须至少包括现金流量表、资产负债表、利润表。以上内容均需加盖投标人单位公章鲜章。</w:t>
            </w:r>
          </w:p>
          <w:p w14:paraId="3BA2E2DD">
            <w:pPr>
              <w:spacing w:line="520" w:lineRule="exact"/>
              <w:ind w:firstLine="560" w:firstLineChars="200"/>
              <w:jc w:val="left"/>
              <w:rPr>
                <w:rFonts w:hint="eastAsia" w:ascii="方正仿宋_GBK" w:hAnsi="仿宋_GB2312" w:eastAsia="方正仿宋_GBK" w:cs="仿宋_GB2312"/>
                <w:strike w:val="0"/>
                <w:dstrike w:val="0"/>
                <w:color w:val="auto"/>
                <w:sz w:val="28"/>
                <w:szCs w:val="28"/>
                <w:highlight w:val="none"/>
                <w:lang w:val="en-US" w:eastAsia="zh-CN"/>
              </w:rPr>
            </w:pPr>
            <w:r>
              <w:rPr>
                <w:rFonts w:hint="eastAsia" w:ascii="方正仿宋_GBK" w:hAnsi="仿宋_GB2312" w:eastAsia="方正仿宋_GBK" w:cs="仿宋_GB2312"/>
                <w:strike w:val="0"/>
                <w:dstrike w:val="0"/>
                <w:color w:val="auto"/>
                <w:sz w:val="28"/>
                <w:szCs w:val="28"/>
                <w:highlight w:val="none"/>
                <w:lang w:val="en-US" w:eastAsia="zh-CN"/>
              </w:rPr>
              <w:t>5.业绩要求：自2023年1月1日（以合同签订时间为准）至今至少承担过1个轨道保护区或在建轨道监测类业绩。提供合同并加盖投标单位公章鲜章</w:t>
            </w:r>
          </w:p>
          <w:p w14:paraId="06D6CD8B">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strike w:val="0"/>
                <w:dstrike w:val="0"/>
                <w:color w:val="auto"/>
                <w:sz w:val="28"/>
                <w:szCs w:val="28"/>
                <w:highlight w:val="none"/>
                <w:lang w:val="en-US" w:eastAsia="zh-CN"/>
              </w:rPr>
              <w:t>6.人员要求：项目负责人须具备工程类高级职称，同时须具备注册岩土工程师或者注册测绘师资格。提供注册证、职称证、投标单位为其缴纳的养老保险证明（2026年1月至2026年7月），以上内容均需加盖投标人单位公章鲜章。</w:t>
            </w:r>
          </w:p>
        </w:tc>
      </w:tr>
      <w:tr w14:paraId="2593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2752C25D">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比选文件递交时间、地点及比选文件份数</w:t>
            </w:r>
          </w:p>
        </w:tc>
        <w:tc>
          <w:tcPr>
            <w:tcW w:w="6293" w:type="dxa"/>
            <w:vAlign w:val="center"/>
          </w:tcPr>
          <w:p w14:paraId="1A238F2E">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本次比选公告、比选文件在重庆交通资源开发有限公司官网www.cqjtsn.com（若官网维护，则借用重庆国际投资咨询集团有限公司官网https://www.cqiic.com/index.htm）上发布。</w:t>
            </w:r>
          </w:p>
          <w:p w14:paraId="0A5B429B">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递交时间：于2026年8月20日10时00分截止。</w:t>
            </w:r>
          </w:p>
          <w:p w14:paraId="2635B12D">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比选时间：2026年8月20日10时00分</w:t>
            </w:r>
          </w:p>
          <w:p w14:paraId="16A4A2CF">
            <w:pPr>
              <w:spacing w:line="520" w:lineRule="exact"/>
              <w:ind w:firstLine="560" w:firstLineChars="200"/>
              <w:jc w:val="left"/>
              <w:rPr>
                <w:rFonts w:hint="default"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递交地点：重庆市南岸区金隅大成时代都汇时代之星A座2003。</w:t>
            </w:r>
          </w:p>
          <w:p w14:paraId="61B159AC">
            <w:pPr>
              <w:spacing w:line="520" w:lineRule="exact"/>
              <w:ind w:firstLine="560" w:firstLineChars="200"/>
              <w:jc w:val="left"/>
              <w:rPr>
                <w:rFonts w:hint="default" w:ascii="方正仿宋_GBK" w:hAnsi="仿宋_GB2312" w:eastAsia="方正仿宋_GBK" w:cs="仿宋_GB2312"/>
                <w:strike/>
                <w:dstrike w:val="0"/>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竞选文件份数：正本1份，资料需加盖鲜章（同步提交电子件）</w:t>
            </w:r>
          </w:p>
          <w:p w14:paraId="74410A1C">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逾期送达的、或者未送达指定地点或未按规定密封的竞选文件将不予受理。</w:t>
            </w:r>
          </w:p>
        </w:tc>
      </w:tr>
      <w:tr w14:paraId="1BF8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Merge w:val="restart"/>
            <w:vAlign w:val="center"/>
          </w:tcPr>
          <w:p w14:paraId="3BFE47FB">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限价及比选报价要求</w:t>
            </w:r>
          </w:p>
        </w:tc>
        <w:tc>
          <w:tcPr>
            <w:tcW w:w="6293" w:type="dxa"/>
            <w:vAlign w:val="center"/>
          </w:tcPr>
          <w:p w14:paraId="43D57C15">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限价：本比选报价采用包干单价，数量按实结算，该价格包含开展工作所产生的所有费用，</w:t>
            </w:r>
            <w:r>
              <w:rPr>
                <w:rFonts w:hint="eastAsia" w:ascii="方正仿宋_GBK" w:hAnsi="仿宋_GB2312" w:eastAsia="方正仿宋_GBK" w:cs="仿宋_GB2312"/>
                <w:i w:val="0"/>
                <w:iCs w:val="0"/>
                <w:caps w:val="0"/>
                <w:color w:val="auto"/>
                <w:spacing w:val="0"/>
                <w:sz w:val="28"/>
                <w:szCs w:val="28"/>
                <w:highlight w:val="none"/>
                <w:shd w:val="clear"/>
              </w:rPr>
              <w:t>总费用约176500元，单个项目最高限价分别为：大竹林项目为34300元、鸳鸯项目为34300元、七星岗项目为37300元、重光项目36300元、溉澜溪项目34300元。</w:t>
            </w:r>
          </w:p>
          <w:p w14:paraId="5B96647B">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项目为暂定项目，若未实施的项目，服务单位不得据此而索赔或变更单价，请比选被邀请人充分相关考虑因素后自主报价，各项目分别报价，各项目报价和总报价均不得超过限价，否则作否决比选处理。</w:t>
            </w:r>
          </w:p>
        </w:tc>
      </w:tr>
      <w:tr w14:paraId="0BCD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Merge w:val="continue"/>
            <w:vAlign w:val="center"/>
          </w:tcPr>
          <w:p w14:paraId="1A37FB2D">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p>
        </w:tc>
        <w:tc>
          <w:tcPr>
            <w:tcW w:w="6293" w:type="dxa"/>
            <w:vAlign w:val="center"/>
          </w:tcPr>
          <w:p w14:paraId="36924D38">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比选报价要求：</w:t>
            </w:r>
            <w:r>
              <w:rPr>
                <w:rFonts w:hint="eastAsia" w:ascii="方正仿宋_GBK" w:hAnsi="仿宋_GB2312" w:eastAsia="方正仿宋_GBK" w:cs="仿宋_GB2312"/>
                <w:sz w:val="28"/>
                <w:szCs w:val="28"/>
                <w:highlight w:val="none"/>
                <w:lang w:val="en-US" w:eastAsia="zh-CN"/>
              </w:rPr>
              <w:t>结合项目情况，</w:t>
            </w:r>
            <w:r>
              <w:rPr>
                <w:rFonts w:hint="eastAsia" w:ascii="方正仿宋_GBK" w:hAnsi="仿宋_GB2312" w:eastAsia="方正仿宋_GBK" w:cs="仿宋_GB2312"/>
                <w:color w:val="auto"/>
                <w:sz w:val="28"/>
                <w:szCs w:val="28"/>
                <w:highlight w:val="none"/>
                <w:lang w:val="en-US" w:eastAsia="zh-CN"/>
              </w:rPr>
              <w:t>按对应的</w:t>
            </w:r>
            <w:r>
              <w:rPr>
                <w:rFonts w:hint="eastAsia" w:ascii="方正仿宋_GBK" w:hAnsi="仿宋_GB2312" w:eastAsia="方正仿宋_GBK" w:cs="仿宋_GB2312"/>
                <w:strike w:val="0"/>
                <w:dstrike w:val="0"/>
                <w:color w:val="auto"/>
                <w:sz w:val="28"/>
                <w:szCs w:val="28"/>
                <w:highlight w:val="none"/>
                <w:lang w:val="en-US" w:eastAsia="zh-CN"/>
              </w:rPr>
              <w:t>各</w:t>
            </w:r>
            <w:r>
              <w:rPr>
                <w:rFonts w:hint="eastAsia" w:ascii="方正仿宋_GBK" w:hAnsi="仿宋_GB2312" w:eastAsia="方正仿宋_GBK" w:cs="仿宋_GB2312"/>
                <w:color w:val="auto"/>
                <w:sz w:val="28"/>
                <w:szCs w:val="28"/>
                <w:highlight w:val="none"/>
                <w:lang w:val="en-US" w:eastAsia="zh-CN"/>
              </w:rPr>
              <w:t>项目逐一进行报价，报价表详见比选函。所报价为含税全包单价，包含人工费、编制费、数据分析费、差旅费、税金、涉轨工程专家聘请费、会议费、差旅费、税金及企业合理利润等等所有费用，报价有效期为合同签订之日起至合同履行完毕，未按要求报价视为无效。</w:t>
            </w:r>
          </w:p>
          <w:p w14:paraId="0AE50065">
            <w:pPr>
              <w:spacing w:line="520" w:lineRule="exact"/>
              <w:jc w:val="left"/>
              <w:rPr>
                <w:rFonts w:hint="default"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报价为人民币含税全包价，无任何附加费用，加盖单位公章后方为有效，仅接受书面密封报价。</w:t>
            </w:r>
          </w:p>
        </w:tc>
      </w:tr>
      <w:tr w14:paraId="6D46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43DD2590">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费用支付方式</w:t>
            </w:r>
          </w:p>
        </w:tc>
        <w:tc>
          <w:tcPr>
            <w:tcW w:w="6293" w:type="dxa"/>
            <w:vAlign w:val="center"/>
          </w:tcPr>
          <w:p w14:paraId="0D533EDA">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甲方发包的所有项目无预付款。乙方完成监测方案，按约定完成全部技术服务并交付成果文件，并报送甲方通过，第三方监测中标通知书发出30天内，甲方向乙方支付已完成项目金额的90%，监测实施单位进场并编制监测实施方案后，经由乙方提供审核意见并通过甲方确认后，支付项目金额的10%。</w:t>
            </w:r>
          </w:p>
          <w:p w14:paraId="34294A79">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以上支付由乙方提交支付申请报告并经甲方审定后以转账方式支付。乙方收款前应提供符合甲方要求的等额增值税专用发票（发票类型），否则甲方有权暂停支付。</w:t>
            </w:r>
          </w:p>
          <w:p w14:paraId="38AF3E58">
            <w:pPr>
              <w:spacing w:line="520" w:lineRule="exact"/>
              <w:jc w:val="left"/>
              <w:rPr>
                <w:rFonts w:hint="eastAsia" w:ascii="方正仿宋_GBK" w:hAnsi="仿宋_GB2312" w:eastAsia="方正仿宋_GBK" w:cs="仿宋_GB2312"/>
                <w:color w:val="auto"/>
                <w:sz w:val="28"/>
                <w:szCs w:val="28"/>
                <w:highlight w:val="none"/>
                <w:lang w:val="en-US" w:eastAsia="zh-CN"/>
              </w:rPr>
            </w:pPr>
          </w:p>
        </w:tc>
      </w:tr>
      <w:tr w14:paraId="2E24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29" w:type="dxa"/>
            <w:vAlign w:val="center"/>
          </w:tcPr>
          <w:p w14:paraId="223AEE19">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其他需告知比选被邀请人的要求</w:t>
            </w:r>
          </w:p>
        </w:tc>
        <w:tc>
          <w:tcPr>
            <w:tcW w:w="6293" w:type="dxa"/>
            <w:vAlign w:val="center"/>
          </w:tcPr>
          <w:p w14:paraId="09ADEF3C">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无</w:t>
            </w:r>
          </w:p>
        </w:tc>
      </w:tr>
      <w:tr w14:paraId="20C5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22" w:type="dxa"/>
            <w:gridSpan w:val="2"/>
            <w:vAlign w:val="center"/>
          </w:tcPr>
          <w:p w14:paraId="630EDD5A">
            <w:pPr>
              <w:spacing w:line="520" w:lineRule="exact"/>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三、评选、定选方式</w:t>
            </w:r>
          </w:p>
        </w:tc>
      </w:tr>
      <w:tr w14:paraId="39FA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trPr>
        <w:tc>
          <w:tcPr>
            <w:tcW w:w="8522" w:type="dxa"/>
            <w:gridSpan w:val="2"/>
            <w:vAlign w:val="center"/>
          </w:tcPr>
          <w:p w14:paraId="474BB2C8">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1.评审方式：竞选文件递交截止后，当众开封查验响应性文件，宣读报价书，委托代理人签字确认报价后离场，评选小组对竞选文件进行评审，先对报价最低的潜在比选单位提供的竞选文件进行评审，在满足比选文件要求的情况下（参考否决比选条款），则该单位为第一中选候选单位（在此情况下，不再对其他竞选人进行资格评审）。若不满足比选文件要求，对排名第二的候选单位进行评审，以此类推。对未中选情况不做解释。若出现候选单位总报价完全一致的情况，由评选小组以抽签的形式确定中选人。</w:t>
            </w:r>
          </w:p>
          <w:p w14:paraId="14BB9AD3">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2.异常低价警戒线要求：最高限价的70%。</w:t>
            </w:r>
          </w:p>
          <w:p w14:paraId="0AC5D27E">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CN"/>
              </w:rPr>
            </w:pPr>
            <w:r>
              <w:rPr>
                <w:rFonts w:hint="eastAsia" w:ascii="方正仿宋_GBK" w:hAnsi="仿宋_GB2312" w:eastAsia="方正仿宋_GBK" w:cs="仿宋_GB2312"/>
                <w:color w:val="auto"/>
                <w:sz w:val="28"/>
                <w:szCs w:val="28"/>
                <w:highlight w:val="none"/>
                <w:lang w:val="en-US" w:eastAsia="zh-CN"/>
              </w:rPr>
              <w:t>竞选人竞选总报价低于比选文件规定的异常低价警戒线的，由评选小组作否决竞选处理。</w:t>
            </w:r>
          </w:p>
        </w:tc>
      </w:tr>
      <w:tr w14:paraId="589E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22" w:type="dxa"/>
            <w:gridSpan w:val="2"/>
            <w:vAlign w:val="center"/>
          </w:tcPr>
          <w:p w14:paraId="341315D0">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四、比选文件组成及要求</w:t>
            </w:r>
          </w:p>
        </w:tc>
      </w:tr>
      <w:tr w14:paraId="4639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22" w:type="dxa"/>
            <w:gridSpan w:val="2"/>
            <w:vAlign w:val="center"/>
          </w:tcPr>
          <w:p w14:paraId="0E3E004B">
            <w:pPr>
              <w:spacing w:line="520" w:lineRule="exact"/>
              <w:ind w:firstLine="560" w:firstLineChars="200"/>
              <w:jc w:val="left"/>
              <w:rPr>
                <w:rFonts w:hint="default"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1.比选文件包括但不限于以下内容：（1）比选函；（2）营业执照、企业资质证书复印件；（3）法定代表人或授权代理人身份证明及授权委托书；（4）业绩证明；（5）人员材料；（6）财务审计报告。</w:t>
            </w:r>
          </w:p>
          <w:p w14:paraId="6E04AFE1">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2.要求提供的资料均须加盖鲜章，所有资料密封并在密封袋上写明单位名称并加盖公章。</w:t>
            </w:r>
          </w:p>
        </w:tc>
      </w:tr>
      <w:tr w14:paraId="6607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22" w:type="dxa"/>
            <w:gridSpan w:val="2"/>
            <w:vAlign w:val="center"/>
          </w:tcPr>
          <w:p w14:paraId="7BAB4184">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五、否决比选条款</w:t>
            </w:r>
          </w:p>
        </w:tc>
      </w:tr>
      <w:tr w14:paraId="6414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22" w:type="dxa"/>
            <w:gridSpan w:val="2"/>
            <w:vAlign w:val="center"/>
          </w:tcPr>
          <w:p w14:paraId="3A28EF7A">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TW"/>
              </w:rPr>
            </w:pPr>
            <w:r>
              <w:rPr>
                <w:rFonts w:hint="eastAsia" w:ascii="方正仿宋_GBK" w:hAnsi="仿宋_GB2312" w:eastAsia="方正仿宋_GBK" w:cs="仿宋_GB2312"/>
                <w:color w:val="auto"/>
                <w:sz w:val="28"/>
                <w:szCs w:val="28"/>
                <w:highlight w:val="none"/>
                <w:lang w:val="en-US" w:eastAsia="zh-CN"/>
              </w:rPr>
              <w:t>1.</w:t>
            </w:r>
            <w:r>
              <w:rPr>
                <w:rFonts w:hint="eastAsia" w:ascii="方正仿宋_GBK" w:hAnsi="仿宋_GB2312" w:eastAsia="方正仿宋_GBK" w:cs="仿宋_GB2312"/>
                <w:color w:val="auto"/>
                <w:sz w:val="28"/>
                <w:szCs w:val="28"/>
                <w:highlight w:val="none"/>
                <w:lang w:val="zh-TW" w:eastAsia="zh-TW"/>
              </w:rPr>
              <w:t>未在规定的时间内递交</w:t>
            </w:r>
            <w:r>
              <w:rPr>
                <w:rFonts w:hint="eastAsia" w:ascii="方正仿宋_GBK" w:hAnsi="仿宋_GB2312" w:eastAsia="方正仿宋_GBK" w:cs="仿宋_GB2312"/>
                <w:color w:val="auto"/>
                <w:sz w:val="28"/>
                <w:szCs w:val="28"/>
                <w:highlight w:val="none"/>
                <w:lang w:val="zh-TW" w:eastAsia="zh-CN"/>
              </w:rPr>
              <w:t>比选</w:t>
            </w:r>
            <w:r>
              <w:rPr>
                <w:rFonts w:hint="eastAsia" w:ascii="方正仿宋_GBK" w:hAnsi="仿宋_GB2312" w:eastAsia="方正仿宋_GBK" w:cs="仿宋_GB2312"/>
                <w:color w:val="auto"/>
                <w:sz w:val="28"/>
                <w:szCs w:val="28"/>
                <w:highlight w:val="none"/>
                <w:lang w:val="zh-TW" w:eastAsia="zh-TW"/>
              </w:rPr>
              <w:t>文件；</w:t>
            </w:r>
          </w:p>
          <w:p w14:paraId="2269DAB5">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TW"/>
              </w:rPr>
            </w:pPr>
            <w:r>
              <w:rPr>
                <w:rFonts w:hint="eastAsia" w:ascii="方正仿宋_GBK" w:hAnsi="仿宋_GB2312" w:eastAsia="方正仿宋_GBK" w:cs="仿宋_GB2312"/>
                <w:color w:val="auto"/>
                <w:sz w:val="28"/>
                <w:szCs w:val="28"/>
                <w:highlight w:val="none"/>
                <w:lang w:val="en-US" w:eastAsia="zh-CN"/>
              </w:rPr>
              <w:t>2. 分项报价、总报价超过限价</w:t>
            </w:r>
            <w:r>
              <w:rPr>
                <w:rFonts w:hint="eastAsia" w:ascii="方正仿宋_GBK" w:hAnsi="仿宋_GB2312" w:eastAsia="方正仿宋_GBK" w:cs="仿宋_GB2312"/>
                <w:color w:val="auto"/>
                <w:sz w:val="28"/>
                <w:szCs w:val="28"/>
                <w:highlight w:val="none"/>
                <w:lang w:val="zh-TW" w:eastAsia="zh-TW"/>
              </w:rPr>
              <w:t>；</w:t>
            </w:r>
          </w:p>
          <w:p w14:paraId="48E443CF">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CN"/>
              </w:rPr>
            </w:pPr>
            <w:r>
              <w:rPr>
                <w:rFonts w:hint="eastAsia" w:ascii="方正仿宋_GBK" w:hAnsi="仿宋_GB2312" w:eastAsia="方正仿宋_GBK" w:cs="仿宋_GB2312"/>
                <w:color w:val="auto"/>
                <w:sz w:val="28"/>
                <w:szCs w:val="28"/>
                <w:highlight w:val="none"/>
                <w:lang w:val="en-US" w:eastAsia="zh-CN"/>
              </w:rPr>
              <w:t>3.</w:t>
            </w:r>
            <w:r>
              <w:rPr>
                <w:rFonts w:hint="eastAsia" w:ascii="方正仿宋_GBK" w:hAnsi="仿宋_GB2312" w:eastAsia="方正仿宋_GBK" w:cs="仿宋_GB2312"/>
                <w:color w:val="auto"/>
                <w:sz w:val="28"/>
                <w:szCs w:val="28"/>
                <w:highlight w:val="none"/>
                <w:lang w:val="zh-TW" w:eastAsia="zh-TW"/>
              </w:rPr>
              <w:t>法定代表人（负责人）或其委托代理人的签字（或盖章）不齐全，授权代理人身份证明不符合；</w:t>
            </w:r>
          </w:p>
          <w:p w14:paraId="466D1D0D">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CN"/>
              </w:rPr>
            </w:pPr>
            <w:r>
              <w:rPr>
                <w:rFonts w:hint="eastAsia" w:ascii="方正仿宋_GBK" w:hAnsi="仿宋_GB2312" w:eastAsia="方正仿宋_GBK" w:cs="仿宋_GB2312"/>
                <w:color w:val="auto"/>
                <w:sz w:val="28"/>
                <w:szCs w:val="28"/>
                <w:highlight w:val="none"/>
                <w:lang w:val="zh-TW" w:eastAsia="zh-CN"/>
              </w:rPr>
              <w:t>4.</w:t>
            </w:r>
            <w:r>
              <w:rPr>
                <w:rFonts w:hint="eastAsia" w:ascii="方正仿宋_GBK" w:hAnsi="仿宋_GB2312" w:eastAsia="方正仿宋_GBK" w:cs="仿宋_GB2312"/>
                <w:color w:val="auto"/>
                <w:sz w:val="28"/>
                <w:szCs w:val="28"/>
                <w:highlight w:val="none"/>
                <w:lang w:val="en-US" w:eastAsia="zh-CN"/>
              </w:rPr>
              <w:t xml:space="preserve"> 资格要求不符合文件上述要求，审查营业执照范围或资质证书等级。</w:t>
            </w:r>
          </w:p>
          <w:p w14:paraId="3A051E07">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CN"/>
              </w:rPr>
            </w:pPr>
            <w:r>
              <w:rPr>
                <w:rFonts w:hint="eastAsia" w:ascii="方正仿宋_GBK" w:hAnsi="仿宋_GB2312" w:eastAsia="方正仿宋_GBK" w:cs="仿宋_GB2312"/>
                <w:color w:val="auto"/>
                <w:sz w:val="28"/>
                <w:szCs w:val="28"/>
                <w:highlight w:val="none"/>
                <w:lang w:val="en-US" w:eastAsia="zh-CN"/>
              </w:rPr>
              <w:t>5.</w:t>
            </w:r>
            <w:r>
              <w:rPr>
                <w:rFonts w:hint="eastAsia" w:ascii="方正仿宋_GBK" w:hAnsi="仿宋_GB2312" w:eastAsia="方正仿宋_GBK" w:cs="仿宋_GB2312"/>
                <w:color w:val="auto"/>
                <w:sz w:val="28"/>
                <w:szCs w:val="28"/>
                <w:highlight w:val="none"/>
                <w:lang w:val="zh-TW" w:eastAsia="zh-TW"/>
              </w:rPr>
              <w:t>业绩证明材料不符合文件上述要求，审查内容：合同时间、合同服务内容（提供合同复印件）。字迹不清晰或难以辨认视为不符合要求；</w:t>
            </w:r>
          </w:p>
          <w:p w14:paraId="137AC3E3">
            <w:pPr>
              <w:spacing w:line="520" w:lineRule="exact"/>
              <w:ind w:firstLine="560" w:firstLineChars="200"/>
              <w:jc w:val="left"/>
              <w:rPr>
                <w:rFonts w:hint="eastAsia" w:ascii="方正仿宋_GBK" w:hAnsi="仿宋_GB2312" w:eastAsia="方正仿宋_GBK" w:cs="仿宋_GB2312"/>
                <w:color w:val="auto"/>
                <w:sz w:val="28"/>
                <w:szCs w:val="28"/>
                <w:highlight w:val="none"/>
                <w:lang w:val="zh-TW" w:eastAsia="zh-TW"/>
              </w:rPr>
            </w:pPr>
            <w:r>
              <w:rPr>
                <w:rFonts w:hint="eastAsia" w:ascii="方正仿宋_GBK" w:hAnsi="仿宋_GB2312" w:eastAsia="方正仿宋_GBK" w:cs="仿宋_GB2312"/>
                <w:color w:val="auto"/>
                <w:sz w:val="28"/>
                <w:szCs w:val="28"/>
                <w:highlight w:val="none"/>
                <w:lang w:val="en-US" w:eastAsia="zh-CN"/>
              </w:rPr>
              <w:t>6.</w:t>
            </w:r>
            <w:r>
              <w:rPr>
                <w:rFonts w:hint="eastAsia" w:ascii="方正仿宋_GBK" w:hAnsi="仿宋_GB2312" w:eastAsia="方正仿宋_GBK" w:cs="仿宋_GB2312"/>
                <w:color w:val="auto"/>
                <w:sz w:val="28"/>
                <w:szCs w:val="28"/>
                <w:highlight w:val="none"/>
                <w:lang w:val="zh-TW" w:eastAsia="zh-CN"/>
              </w:rPr>
              <w:t>比选</w:t>
            </w:r>
            <w:r>
              <w:rPr>
                <w:rFonts w:hint="eastAsia" w:ascii="方正仿宋_GBK" w:hAnsi="仿宋_GB2312" w:eastAsia="方正仿宋_GBK" w:cs="仿宋_GB2312"/>
                <w:color w:val="auto"/>
                <w:sz w:val="28"/>
                <w:szCs w:val="28"/>
                <w:highlight w:val="none"/>
                <w:lang w:val="zh-TW" w:eastAsia="zh-TW"/>
              </w:rPr>
              <w:t>文件未按要求加盖公章；</w:t>
            </w:r>
          </w:p>
          <w:p w14:paraId="62404875">
            <w:pPr>
              <w:spacing w:line="520" w:lineRule="exact"/>
              <w:ind w:firstLine="560" w:firstLineChars="200"/>
              <w:jc w:val="left"/>
              <w:rPr>
                <w:rFonts w:hint="eastAsia" w:ascii="方正仿宋_GBK" w:hAnsi="仿宋_GB2312" w:eastAsia="方正仿宋_GBK" w:cs="仿宋_GB2312"/>
                <w:color w:val="auto"/>
                <w:sz w:val="28"/>
                <w:szCs w:val="28"/>
                <w:highlight w:val="none"/>
                <w:lang w:val="en-US" w:eastAsia="zh-CN"/>
              </w:rPr>
            </w:pPr>
            <w:r>
              <w:rPr>
                <w:rFonts w:hint="eastAsia" w:ascii="方正仿宋_GBK" w:hAnsi="仿宋_GB2312" w:eastAsia="方正仿宋_GBK" w:cs="仿宋_GB2312"/>
                <w:color w:val="auto"/>
                <w:sz w:val="28"/>
                <w:szCs w:val="28"/>
                <w:highlight w:val="none"/>
                <w:lang w:val="en-US" w:eastAsia="zh-CN"/>
              </w:rPr>
              <w:t>7.</w:t>
            </w:r>
            <w:r>
              <w:rPr>
                <w:rFonts w:hint="eastAsia" w:ascii="方正仿宋_GBK" w:hAnsi="仿宋_GB2312" w:eastAsia="方正仿宋_GBK" w:cs="仿宋_GB2312"/>
                <w:color w:val="auto"/>
                <w:sz w:val="28"/>
                <w:szCs w:val="28"/>
                <w:highlight w:val="none"/>
                <w:lang w:val="zh-TW" w:eastAsia="zh-TW"/>
              </w:rPr>
              <w:t>发现串通投标或弄虚作假或有其他违法行为的。</w:t>
            </w:r>
          </w:p>
        </w:tc>
      </w:tr>
    </w:tbl>
    <w:p w14:paraId="07C47F41">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p>
    <w:p w14:paraId="75534892">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附件：</w:t>
      </w:r>
    </w:p>
    <w:p w14:paraId="52A37878">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1.比选报价函</w:t>
      </w:r>
    </w:p>
    <w:p w14:paraId="1C4DD070">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2.法定代表人授权委托书</w:t>
      </w:r>
    </w:p>
    <w:p w14:paraId="7AEF6266">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3.营业执照</w:t>
      </w:r>
    </w:p>
    <w:p w14:paraId="25EC97E4">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4.合同文本</w:t>
      </w:r>
    </w:p>
    <w:p w14:paraId="4DF05BCE">
      <w:pPr>
        <w:spacing w:line="520" w:lineRule="exact"/>
        <w:ind w:firstLine="560" w:firstLineChars="200"/>
        <w:jc w:val="left"/>
        <w:rPr>
          <w:rFonts w:hint="default" w:ascii="方正仿宋_GBK" w:hAnsi="仿宋_GB2312" w:eastAsia="方正仿宋_GBK" w:cs="仿宋_GB2312"/>
          <w:sz w:val="28"/>
          <w:szCs w:val="28"/>
          <w:lang w:val="en-US" w:eastAsia="zh-CN"/>
        </w:rPr>
      </w:pPr>
      <w:r>
        <w:rPr>
          <w:rFonts w:hint="eastAsia" w:ascii="方正仿宋_GBK" w:hAnsi="仿宋_GB2312" w:eastAsia="方正仿宋_GBK" w:cs="仿宋_GB2312"/>
          <w:color w:val="auto"/>
          <w:sz w:val="28"/>
          <w:szCs w:val="28"/>
          <w:lang w:val="en-US" w:eastAsia="zh-CN"/>
        </w:rPr>
        <w:t>5.</w:t>
      </w:r>
      <w:r>
        <w:rPr>
          <w:rFonts w:hint="eastAsia" w:ascii="方正仿宋_GBK" w:hAnsi="仿宋_GB2312" w:eastAsia="方正仿宋_GBK" w:cs="仿宋_GB2312"/>
          <w:sz w:val="28"/>
          <w:szCs w:val="28"/>
          <w:lang w:val="en-US" w:eastAsia="zh-CN"/>
        </w:rPr>
        <w:t>各项目概况</w:t>
      </w:r>
    </w:p>
    <w:p w14:paraId="15CD4596">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p>
    <w:p w14:paraId="38D63038">
      <w:pPr>
        <w:spacing w:line="520" w:lineRule="exact"/>
        <w:ind w:firstLine="560" w:firstLineChars="200"/>
        <w:jc w:val="left"/>
        <w:rPr>
          <w:rFonts w:hint="eastAsia" w:ascii="方正仿宋_GBK" w:hAnsi="仿宋_GB2312" w:eastAsia="方正仿宋_GBK" w:cs="仿宋_GB2312"/>
          <w:color w:val="auto"/>
          <w:sz w:val="28"/>
          <w:szCs w:val="28"/>
          <w:lang w:val="zh-TW" w:eastAsia="zh-TW"/>
        </w:rPr>
      </w:pPr>
    </w:p>
    <w:p w14:paraId="7C972D7E">
      <w:pPr>
        <w:spacing w:line="520" w:lineRule="exact"/>
        <w:ind w:firstLine="560" w:firstLineChars="200"/>
        <w:jc w:val="righ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重庆交通资源开发有限公司</w:t>
      </w:r>
    </w:p>
    <w:p w14:paraId="246EF3F7">
      <w:pPr>
        <w:spacing w:line="520" w:lineRule="exact"/>
        <w:ind w:firstLine="560" w:firstLineChars="200"/>
        <w:jc w:val="righ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2026年8月13日</w:t>
      </w:r>
    </w:p>
    <w:p w14:paraId="3F8DDC64">
      <w:pPr>
        <w:spacing w:line="520" w:lineRule="exact"/>
        <w:ind w:firstLine="560" w:firstLineChars="200"/>
        <w:jc w:val="left"/>
        <w:rPr>
          <w:rFonts w:hint="eastAsia"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br w:type="page"/>
      </w:r>
    </w:p>
    <w:p w14:paraId="0E0188AF">
      <w:pPr>
        <w:jc w:val="both"/>
        <w:rPr>
          <w:rFonts w:hint="eastAsia"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lang w:val="en-US" w:eastAsia="zh-CN"/>
        </w:rPr>
        <w:t>附件1</w:t>
      </w:r>
    </w:p>
    <w:p w14:paraId="7C09552F">
      <w:pPr>
        <w:spacing w:line="540" w:lineRule="exact"/>
        <w:jc w:val="center"/>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比选函</w:t>
      </w:r>
    </w:p>
    <w:p w14:paraId="1590959E">
      <w:pPr>
        <w:spacing w:line="540" w:lineRule="exact"/>
        <w:rPr>
          <w:rFonts w:ascii="方正仿宋_GBK" w:hAnsi="仿宋_GB2312" w:eastAsia="方正仿宋_GBK" w:cs="仿宋_GB2312"/>
          <w:color w:val="auto"/>
          <w:sz w:val="28"/>
          <w:szCs w:val="28"/>
          <w:u w:val="single"/>
        </w:rPr>
      </w:pPr>
      <w:r>
        <w:rPr>
          <w:rFonts w:hint="eastAsia" w:eastAsia="方正仿宋_GBK"/>
          <w:color w:val="auto"/>
          <w:sz w:val="28"/>
          <w:szCs w:val="28"/>
          <w:u w:val="single"/>
          <w:lang w:eastAsia="zh-CN"/>
        </w:rPr>
        <w:t>重庆交通资源开发有限公司</w:t>
      </w:r>
      <w:r>
        <w:rPr>
          <w:rFonts w:hint="eastAsia" w:ascii="方正仿宋_GBK" w:hAnsi="仿宋_GB2312" w:eastAsia="方正仿宋_GBK" w:cs="仿宋_GB2312"/>
          <w:color w:val="auto"/>
          <w:sz w:val="28"/>
          <w:szCs w:val="28"/>
          <w:u w:val="single"/>
        </w:rPr>
        <w:t>：</w:t>
      </w:r>
    </w:p>
    <w:p w14:paraId="5C90B791">
      <w:pPr>
        <w:spacing w:line="540" w:lineRule="exact"/>
        <w:ind w:firstLine="560" w:firstLineChars="200"/>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根据贵方</w:t>
      </w:r>
      <w:r>
        <w:rPr>
          <w:rFonts w:hint="eastAsia" w:ascii="方正仿宋_GBK" w:hAnsi="仿宋_GB2312" w:eastAsia="方正仿宋_GBK" w:cs="仿宋_GB2312"/>
          <w:color w:val="auto"/>
          <w:sz w:val="28"/>
          <w:szCs w:val="28"/>
          <w:u w:val="single"/>
          <w:lang w:val="en-US" w:eastAsia="zh-CN"/>
        </w:rPr>
        <w:t>招标限价编制阶段工程监测方案编制服务</w:t>
      </w:r>
      <w:r>
        <w:rPr>
          <w:rFonts w:hint="eastAsia" w:ascii="方正仿宋_GBK" w:hAnsi="仿宋_GB2312" w:eastAsia="方正仿宋_GBK" w:cs="仿宋_GB2312"/>
          <w:color w:val="auto"/>
          <w:sz w:val="28"/>
          <w:szCs w:val="28"/>
        </w:rPr>
        <w:t>工作的比选函文件，本公司正式授权的下述签字人</w:t>
      </w:r>
      <w:r>
        <w:rPr>
          <w:rFonts w:hint="eastAsia" w:ascii="方正仿宋_GBK" w:hAnsi="仿宋_GB2312" w:eastAsia="方正仿宋_GBK" w:cs="仿宋_GB2312"/>
          <w:color w:val="auto"/>
          <w:sz w:val="28"/>
          <w:szCs w:val="28"/>
          <w:u w:val="single"/>
        </w:rPr>
        <w:t xml:space="preserve">        </w:t>
      </w:r>
      <w:r>
        <w:rPr>
          <w:rFonts w:hint="eastAsia" w:ascii="方正仿宋_GBK" w:hAnsi="仿宋_GB2312" w:eastAsia="方正仿宋_GBK" w:cs="仿宋_GB2312"/>
          <w:color w:val="auto"/>
          <w:sz w:val="28"/>
          <w:szCs w:val="28"/>
        </w:rPr>
        <w:t>（姓名和职务）代表本公司</w:t>
      </w:r>
      <w:r>
        <w:rPr>
          <w:rFonts w:hint="eastAsia" w:ascii="方正仿宋_GBK" w:hAnsi="仿宋_GB2312" w:eastAsia="方正仿宋_GBK" w:cs="仿宋_GB2312"/>
          <w:color w:val="auto"/>
          <w:sz w:val="28"/>
          <w:szCs w:val="28"/>
          <w:u w:val="single"/>
        </w:rPr>
        <w:t xml:space="preserve">       </w:t>
      </w:r>
      <w:r>
        <w:rPr>
          <w:rFonts w:hint="eastAsia" w:ascii="方正仿宋_GBK" w:hAnsi="仿宋_GB2312" w:eastAsia="方正仿宋_GBK" w:cs="仿宋_GB2312"/>
          <w:color w:val="auto"/>
          <w:sz w:val="28"/>
          <w:szCs w:val="28"/>
        </w:rPr>
        <w:t>（比选被邀请人名称），提交本比选函。</w:t>
      </w:r>
    </w:p>
    <w:p w14:paraId="08CF8F9E">
      <w:pPr>
        <w:spacing w:line="540" w:lineRule="exac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据此函，签字人兹宣布同意如下：</w:t>
      </w:r>
    </w:p>
    <w:p w14:paraId="304F8C5D">
      <w:pPr>
        <w:numPr>
          <w:ilvl w:val="0"/>
          <w:numId w:val="1"/>
        </w:numPr>
        <w:spacing w:line="540" w:lineRule="exact"/>
        <w:rPr>
          <w:rFonts w:hint="eastAsia" w:eastAsia="方正仿宋_GBK"/>
          <w:color w:val="auto"/>
          <w:sz w:val="28"/>
          <w:szCs w:val="28"/>
        </w:rPr>
      </w:pPr>
      <w:r>
        <w:rPr>
          <w:rFonts w:eastAsia="方正仿宋_GBK"/>
          <w:color w:val="auto"/>
          <w:sz w:val="28"/>
          <w:szCs w:val="28"/>
        </w:rPr>
        <w:t>愿意接受邀请函中提出的酬金支付方式与限价要求，</w:t>
      </w:r>
      <w:r>
        <w:rPr>
          <w:rFonts w:eastAsia="方正仿宋_GBK"/>
          <w:color w:val="auto"/>
          <w:sz w:val="28"/>
          <w:szCs w:val="28"/>
          <w:u w:val="single"/>
        </w:rPr>
        <w:t>并以</w:t>
      </w:r>
      <w:r>
        <w:rPr>
          <w:rFonts w:hint="eastAsia" w:eastAsia="方正仿宋_GBK"/>
          <w:color w:val="auto"/>
          <w:sz w:val="28"/>
          <w:szCs w:val="28"/>
          <w:u w:val="single"/>
          <w:lang w:val="en-US" w:eastAsia="zh-CN"/>
        </w:rPr>
        <w:t>表格中报价作为包干单价，按实结算。</w:t>
      </w:r>
    </w:p>
    <w:p w14:paraId="613A1F0A">
      <w:pPr>
        <w:numPr>
          <w:ilvl w:val="0"/>
          <w:numId w:val="1"/>
        </w:numPr>
        <w:spacing w:line="540" w:lineRule="exact"/>
        <w:rPr>
          <w:rFonts w:hint="eastAsia" w:eastAsia="方正仿宋_GBK"/>
          <w:color w:val="auto"/>
          <w:sz w:val="28"/>
          <w:szCs w:val="28"/>
        </w:rPr>
      </w:pPr>
      <w:r>
        <w:rPr>
          <w:rFonts w:hint="eastAsia" w:eastAsia="方正仿宋_GBK"/>
          <w:strike w:val="0"/>
          <w:dstrike w:val="0"/>
          <w:color w:val="auto"/>
          <w:sz w:val="28"/>
          <w:szCs w:val="28"/>
          <w:lang w:val="en-US" w:eastAsia="zh-CN"/>
        </w:rPr>
        <w:t>报</w:t>
      </w:r>
      <w:r>
        <w:rPr>
          <w:rFonts w:hint="eastAsia" w:eastAsia="方正仿宋_GBK"/>
          <w:color w:val="auto"/>
          <w:sz w:val="28"/>
          <w:szCs w:val="28"/>
          <w:lang w:val="en-US" w:eastAsia="zh-CN"/>
        </w:rPr>
        <w:t>价表：</w:t>
      </w:r>
    </w:p>
    <w:tbl>
      <w:tblPr>
        <w:tblStyle w:val="13"/>
        <w:tblW w:w="9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314"/>
        <w:gridCol w:w="2877"/>
        <w:gridCol w:w="3167"/>
        <w:gridCol w:w="1642"/>
      </w:tblGrid>
      <w:tr w14:paraId="5831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8" w:hRule="atLeast"/>
          <w:tblHeader/>
        </w:trPr>
        <w:tc>
          <w:tcPr>
            <w:tcW w:w="1314" w:type="dxa"/>
            <w:vMerge w:val="restart"/>
            <w:tcBorders>
              <w:top w:val="single" w:color="auto" w:sz="4" w:space="0"/>
              <w:left w:val="single" w:color="auto" w:sz="4" w:space="0"/>
              <w:right w:val="single" w:color="auto" w:sz="4" w:space="0"/>
            </w:tcBorders>
            <w:noWrap w:val="0"/>
            <w:tcMar>
              <w:top w:w="100" w:type="dxa"/>
              <w:left w:w="0" w:type="dxa"/>
              <w:bottom w:w="100" w:type="dxa"/>
              <w:right w:w="160" w:type="dxa"/>
            </w:tcMar>
            <w:vAlign w:val="center"/>
          </w:tcPr>
          <w:p w14:paraId="698B4568">
            <w:pPr>
              <w:keepNext w:val="0"/>
              <w:keepLines w:val="0"/>
              <w:widowControl/>
              <w:suppressLineNumbers w:val="0"/>
              <w:jc w:val="cente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项目名称</w:t>
            </w:r>
          </w:p>
        </w:tc>
        <w:tc>
          <w:tcPr>
            <w:tcW w:w="2877" w:type="dxa"/>
            <w:vMerge w:val="restart"/>
            <w:tcBorders>
              <w:top w:val="single" w:color="auto" w:sz="4" w:space="0"/>
              <w:left w:val="single" w:color="auto" w:sz="4" w:space="0"/>
              <w:right w:val="single" w:color="auto" w:sz="4" w:space="0"/>
            </w:tcBorders>
            <w:noWrap w:val="0"/>
            <w:tcMar>
              <w:top w:w="100" w:type="dxa"/>
              <w:left w:w="160" w:type="dxa"/>
              <w:bottom w:w="100" w:type="dxa"/>
              <w:right w:w="160" w:type="dxa"/>
            </w:tcMar>
            <w:vAlign w:val="center"/>
          </w:tcPr>
          <w:p w14:paraId="0F38C711">
            <w:pPr>
              <w:keepNext w:val="0"/>
              <w:keepLines w:val="0"/>
              <w:widowControl/>
              <w:suppressLineNumbers w:val="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限价（元）</w:t>
            </w:r>
          </w:p>
        </w:tc>
        <w:tc>
          <w:tcPr>
            <w:tcW w:w="3167" w:type="dxa"/>
            <w:vMerge w:val="restart"/>
            <w:tcBorders>
              <w:top w:val="single" w:color="auto" w:sz="4" w:space="0"/>
              <w:left w:val="single" w:color="auto" w:sz="4" w:space="0"/>
              <w:right w:val="single" w:color="auto" w:sz="4" w:space="0"/>
            </w:tcBorders>
            <w:noWrap w:val="0"/>
            <w:tcMar>
              <w:top w:w="100" w:type="dxa"/>
              <w:left w:w="160" w:type="dxa"/>
              <w:bottom w:w="100" w:type="dxa"/>
              <w:right w:w="160" w:type="dxa"/>
            </w:tcMar>
            <w:vAlign w:val="center"/>
          </w:tcPr>
          <w:p w14:paraId="547094DC">
            <w:pPr>
              <w:keepNext w:val="0"/>
              <w:keepLines w:val="0"/>
              <w:widowControl/>
              <w:suppressLineNumbers w:val="0"/>
              <w:jc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报价</w:t>
            </w:r>
          </w:p>
          <w:p w14:paraId="7F5F8C93">
            <w:pPr>
              <w:keepNext w:val="0"/>
              <w:keepLines w:val="0"/>
              <w:widowControl/>
              <w:suppressLineNumbers w:val="0"/>
              <w:jc w:val="center"/>
              <w:rPr>
                <w:rFonts w:hint="default" w:ascii="宋体" w:hAnsi="宋体" w:eastAsia="宋体" w:cs="宋体"/>
                <w:color w:val="auto"/>
                <w:kern w:val="2"/>
                <w:sz w:val="21"/>
                <w:szCs w:val="21"/>
                <w:highlight w:val="none"/>
                <w:lang w:val="en-US" w:eastAsia="zh-CN" w:bidi="ar-SA"/>
              </w:rPr>
            </w:pPr>
          </w:p>
        </w:tc>
        <w:tc>
          <w:tcPr>
            <w:tcW w:w="1642"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4552BB44">
            <w:pPr>
              <w:keepNext w:val="0"/>
              <w:keepLines w:val="0"/>
              <w:widowControl/>
              <w:suppressLineNumbers w:val="0"/>
              <w:jc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备注</w:t>
            </w:r>
          </w:p>
        </w:tc>
      </w:tr>
      <w:tr w14:paraId="3E22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8" w:hRule="atLeast"/>
        </w:trPr>
        <w:tc>
          <w:tcPr>
            <w:tcW w:w="1314" w:type="dxa"/>
            <w:vMerge w:val="continue"/>
            <w:tcBorders>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8FB57E1">
            <w:pPr>
              <w:keepNext w:val="0"/>
              <w:keepLines w:val="0"/>
              <w:widowControl/>
              <w:suppressLineNumbers w:val="0"/>
              <w:jc w:val="center"/>
              <w:rPr>
                <w:rFonts w:hint="eastAsia" w:ascii="宋体" w:hAnsi="宋体" w:eastAsia="宋体" w:cs="宋体"/>
                <w:b/>
                <w:bCs/>
                <w:color w:val="auto"/>
                <w:kern w:val="2"/>
                <w:sz w:val="21"/>
                <w:szCs w:val="21"/>
                <w:highlight w:val="none"/>
                <w:lang w:val="en-US" w:eastAsia="zh-CN" w:bidi="ar-SA"/>
              </w:rPr>
            </w:pPr>
          </w:p>
        </w:tc>
        <w:tc>
          <w:tcPr>
            <w:tcW w:w="2877" w:type="dxa"/>
            <w:vMerge w:val="continue"/>
            <w:tcBorders>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6FD247CD">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3167" w:type="dxa"/>
            <w:vMerge w:val="continue"/>
            <w:tcBorders>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56FEACA3">
            <w:pPr>
              <w:keepNext w:val="0"/>
              <w:keepLines w:val="0"/>
              <w:widowControl/>
              <w:suppressLineNumbers w:val="0"/>
              <w:jc w:val="center"/>
              <w:rPr>
                <w:rFonts w:hint="default" w:ascii="宋体" w:hAnsi="宋体" w:eastAsia="宋体" w:cs="宋体"/>
                <w:color w:val="auto"/>
                <w:kern w:val="2"/>
                <w:sz w:val="21"/>
                <w:szCs w:val="21"/>
                <w:highlight w:val="none"/>
                <w:lang w:val="en-US" w:eastAsia="zh-CN" w:bidi="ar-SA"/>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59F643F2">
            <w:pPr>
              <w:keepNext w:val="0"/>
              <w:keepLines w:val="0"/>
              <w:widowControl/>
              <w:suppressLineNumbers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超过任一项既为废标</w:t>
            </w:r>
          </w:p>
        </w:tc>
      </w:tr>
      <w:tr w14:paraId="5C968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8" w:hRule="atLeast"/>
        </w:trPr>
        <w:tc>
          <w:tcPr>
            <w:tcW w:w="1314"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BB29B1C">
            <w:pPr>
              <w:keepNext w:val="0"/>
              <w:keepLines w:val="0"/>
              <w:widowControl/>
              <w:suppressLineNumbers w:val="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大竹林项目</w:t>
            </w:r>
          </w:p>
        </w:tc>
        <w:tc>
          <w:tcPr>
            <w:tcW w:w="287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4058BE63">
            <w:pPr>
              <w:keepNext w:val="0"/>
              <w:keepLines w:val="0"/>
              <w:widowControl/>
              <w:suppressLineNumbers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34300</w:t>
            </w:r>
          </w:p>
        </w:tc>
        <w:tc>
          <w:tcPr>
            <w:tcW w:w="316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36297EBF">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6D5DB83F">
            <w:pPr>
              <w:keepNext w:val="0"/>
              <w:keepLines w:val="0"/>
              <w:widowControl/>
              <w:suppressLineNumbers w:val="0"/>
              <w:jc w:val="center"/>
              <w:rPr>
                <w:rFonts w:hint="default" w:ascii="宋体" w:hAnsi="宋体" w:eastAsia="宋体" w:cs="宋体"/>
                <w:color w:val="auto"/>
                <w:sz w:val="21"/>
                <w:szCs w:val="21"/>
                <w:highlight w:val="none"/>
                <w:lang w:val="en-US"/>
              </w:rPr>
            </w:pPr>
          </w:p>
        </w:tc>
      </w:tr>
      <w:tr w14:paraId="5A418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0" w:hRule="atLeast"/>
        </w:trPr>
        <w:tc>
          <w:tcPr>
            <w:tcW w:w="1314"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1A457AB">
            <w:pPr>
              <w:keepNext w:val="0"/>
              <w:keepLines w:val="0"/>
              <w:widowControl/>
              <w:suppressLineNumbers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1"/>
                <w:szCs w:val="21"/>
                <w:highlight w:val="none"/>
              </w:rPr>
              <w:t>鸳鸯项目</w:t>
            </w:r>
          </w:p>
        </w:tc>
        <w:tc>
          <w:tcPr>
            <w:tcW w:w="2877"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1E8ED7B8">
            <w:pPr>
              <w:keepNext w:val="0"/>
              <w:keepLines w:val="0"/>
              <w:widowControl/>
              <w:suppressLineNumbers w:val="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34300</w:t>
            </w:r>
          </w:p>
        </w:tc>
        <w:tc>
          <w:tcPr>
            <w:tcW w:w="316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7EB2457E">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00B8230B">
            <w:pPr>
              <w:keepNext w:val="0"/>
              <w:keepLines w:val="0"/>
              <w:widowControl/>
              <w:suppressLineNumbers w:val="0"/>
              <w:jc w:val="center"/>
              <w:rPr>
                <w:rFonts w:hint="default" w:ascii="宋体" w:hAnsi="宋体" w:eastAsia="宋体" w:cs="宋体"/>
                <w:color w:val="auto"/>
                <w:sz w:val="21"/>
                <w:szCs w:val="21"/>
                <w:highlight w:val="none"/>
                <w:lang w:val="en-US"/>
              </w:rPr>
            </w:pPr>
          </w:p>
        </w:tc>
      </w:tr>
      <w:tr w14:paraId="095AF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8" w:hRule="atLeast"/>
        </w:trPr>
        <w:tc>
          <w:tcPr>
            <w:tcW w:w="1314"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4EEF1D3">
            <w:pPr>
              <w:pStyle w:val="3"/>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七星岗项目</w:t>
            </w:r>
          </w:p>
        </w:tc>
        <w:tc>
          <w:tcPr>
            <w:tcW w:w="2877"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76AB12FA">
            <w:pPr>
              <w:keepNext w:val="0"/>
              <w:keepLines w:val="0"/>
              <w:widowControl/>
              <w:suppressLineNumbers w:val="0"/>
              <w:jc w:val="center"/>
              <w:rPr>
                <w:rFonts w:hint="default" w:ascii="宋体" w:hAnsi="宋体" w:eastAsia="宋体" w:cs="宋体"/>
                <w:color w:val="auto"/>
                <w:kern w:val="2"/>
                <w:sz w:val="21"/>
                <w:szCs w:val="21"/>
                <w:highlight w:val="none"/>
                <w:lang w:val="en-US" w:eastAsia="zh-CN" w:bidi="ar-SA"/>
              </w:rPr>
            </w:pPr>
            <w:r>
              <w:rPr>
                <w:rFonts w:ascii="Arial" w:hAnsi="Arial" w:eastAsia="Arial" w:cs="Arial"/>
                <w:i w:val="0"/>
                <w:iCs w:val="0"/>
                <w:caps w:val="0"/>
                <w:color w:val="333333"/>
                <w:spacing w:val="0"/>
                <w:sz w:val="21"/>
                <w:szCs w:val="21"/>
                <w:shd w:val="clear" w:fill="FFFFFF"/>
              </w:rPr>
              <w:t>37300</w:t>
            </w:r>
          </w:p>
        </w:tc>
        <w:tc>
          <w:tcPr>
            <w:tcW w:w="316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1A9A10BE">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35EEE8EB">
            <w:pPr>
              <w:keepNext w:val="0"/>
              <w:keepLines w:val="0"/>
              <w:widowControl/>
              <w:suppressLineNumbers w:val="0"/>
              <w:jc w:val="center"/>
              <w:rPr>
                <w:rFonts w:hint="default" w:ascii="宋体" w:hAnsi="宋体" w:eastAsia="宋体" w:cs="宋体"/>
                <w:color w:val="auto"/>
                <w:sz w:val="21"/>
                <w:szCs w:val="21"/>
                <w:highlight w:val="none"/>
                <w:lang w:val="en-US"/>
              </w:rPr>
            </w:pPr>
          </w:p>
        </w:tc>
      </w:tr>
      <w:tr w14:paraId="153B2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8" w:hRule="atLeast"/>
        </w:trPr>
        <w:tc>
          <w:tcPr>
            <w:tcW w:w="1314"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46615667">
            <w:pPr>
              <w:keepNext w:val="0"/>
              <w:keepLines w:val="0"/>
              <w:widowControl/>
              <w:suppressLineNumbers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1"/>
                <w:szCs w:val="21"/>
                <w:highlight w:val="none"/>
              </w:rPr>
              <w:t>重光项目</w:t>
            </w:r>
          </w:p>
        </w:tc>
        <w:tc>
          <w:tcPr>
            <w:tcW w:w="2877"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3C05683C">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ascii="Arial" w:hAnsi="Arial" w:eastAsia="Arial" w:cs="Arial"/>
                <w:i w:val="0"/>
                <w:iCs w:val="0"/>
                <w:caps w:val="0"/>
                <w:color w:val="333333"/>
                <w:spacing w:val="0"/>
                <w:sz w:val="21"/>
                <w:szCs w:val="21"/>
                <w:shd w:val="clear" w:fill="FFFFFF"/>
              </w:rPr>
              <w:t>36300</w:t>
            </w:r>
          </w:p>
        </w:tc>
        <w:tc>
          <w:tcPr>
            <w:tcW w:w="316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07FE3923">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50634991">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r>
      <w:tr w14:paraId="6A68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8" w:hRule="atLeast"/>
        </w:trPr>
        <w:tc>
          <w:tcPr>
            <w:tcW w:w="1314"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768D1DA2">
            <w:pPr>
              <w:keepNext w:val="0"/>
              <w:keepLines w:val="0"/>
              <w:widowControl/>
              <w:suppressLineNumbers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1"/>
                <w:szCs w:val="21"/>
                <w:highlight w:val="none"/>
              </w:rPr>
              <w:t>溉澜溪项目</w:t>
            </w:r>
          </w:p>
        </w:tc>
        <w:tc>
          <w:tcPr>
            <w:tcW w:w="2877"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6AF17BA1">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34300</w:t>
            </w:r>
          </w:p>
        </w:tc>
        <w:tc>
          <w:tcPr>
            <w:tcW w:w="316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2F0465FE">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68ED5F49">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r>
      <w:tr w14:paraId="0D121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8" w:hRule="atLeast"/>
        </w:trPr>
        <w:tc>
          <w:tcPr>
            <w:tcW w:w="1314"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A6A3126">
            <w:pPr>
              <w:keepNext w:val="0"/>
              <w:keepLines w:val="0"/>
              <w:widowControl/>
              <w:suppressLineNumbers w:val="0"/>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合计</w:t>
            </w:r>
          </w:p>
        </w:tc>
        <w:tc>
          <w:tcPr>
            <w:tcW w:w="287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1D13C6A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ascii="Arial" w:hAnsi="Arial" w:eastAsia="Arial" w:cs="Arial"/>
                <w:i w:val="0"/>
                <w:iCs w:val="0"/>
                <w:caps w:val="0"/>
                <w:color w:val="333333"/>
                <w:spacing w:val="0"/>
                <w:sz w:val="21"/>
                <w:szCs w:val="21"/>
                <w:shd w:val="clear" w:fill="FFFFFF"/>
              </w:rPr>
              <w:t>176500</w:t>
            </w:r>
          </w:p>
        </w:tc>
        <w:tc>
          <w:tcPr>
            <w:tcW w:w="3167"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2CE1DD58">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1642"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79A533A6">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r>
    </w:tbl>
    <w:p w14:paraId="79BF827D">
      <w:pPr>
        <w:spacing w:line="540" w:lineRule="exact"/>
        <w:rPr>
          <w:rFonts w:eastAsia="方正仿宋_GBK"/>
          <w:color w:val="auto"/>
          <w:sz w:val="28"/>
          <w:szCs w:val="28"/>
        </w:rPr>
      </w:pPr>
    </w:p>
    <w:p w14:paraId="3018796D">
      <w:pPr>
        <w:spacing w:line="540" w:lineRule="exact"/>
        <w:rPr>
          <w:rFonts w:hint="eastAsia" w:eastAsia="方正仿宋_GBK"/>
          <w:color w:val="auto"/>
          <w:sz w:val="28"/>
          <w:szCs w:val="28"/>
          <w:lang w:eastAsia="zh-CN"/>
        </w:rPr>
      </w:pPr>
      <w:r>
        <w:rPr>
          <w:rFonts w:eastAsia="方正仿宋_GBK"/>
          <w:color w:val="auto"/>
          <w:sz w:val="28"/>
          <w:szCs w:val="28"/>
        </w:rPr>
        <w:t>(2)</w:t>
      </w:r>
      <w:r>
        <w:rPr>
          <w:rFonts w:hint="eastAsia" w:ascii="方正仿宋_GBK" w:hAnsi="仿宋_GB2312" w:eastAsia="方正仿宋_GBK" w:cs="仿宋_GB2312"/>
          <w:color w:val="auto"/>
          <w:sz w:val="28"/>
          <w:szCs w:val="28"/>
        </w:rPr>
        <w:t xml:space="preserve"> 我司承诺满足贵单位比选邀请函中的“比选被邀请人资格要求”</w:t>
      </w:r>
      <w:r>
        <w:rPr>
          <w:rFonts w:eastAsia="仿宋"/>
          <w:color w:val="auto"/>
          <w:sz w:val="24"/>
          <w:szCs w:val="24"/>
        </w:rPr>
        <w:sym w:font="Wingdings" w:char="00A8"/>
      </w:r>
      <w:r>
        <w:rPr>
          <w:rFonts w:hint="eastAsia" w:ascii="方正仿宋_GBK" w:hAnsi="仿宋_GB2312" w:eastAsia="方正仿宋_GBK" w:cs="仿宋_GB2312"/>
          <w:color w:val="auto"/>
          <w:sz w:val="28"/>
          <w:szCs w:val="28"/>
        </w:rPr>
        <w:t>资质要求</w:t>
      </w:r>
      <w:r>
        <w:rPr>
          <w:rFonts w:eastAsia="仿宋"/>
          <w:color w:val="auto"/>
          <w:sz w:val="24"/>
          <w:szCs w:val="24"/>
        </w:rPr>
        <w:sym w:font="Wingdings" w:char="00A8"/>
      </w:r>
      <w:r>
        <w:rPr>
          <w:rFonts w:hint="eastAsia" w:ascii="方正仿宋_GBK" w:hAnsi="仿宋_GB2312" w:eastAsia="方正仿宋_GBK" w:cs="仿宋_GB2312"/>
          <w:color w:val="auto"/>
          <w:sz w:val="28"/>
          <w:szCs w:val="28"/>
        </w:rPr>
        <w:t>业绩要求</w:t>
      </w:r>
      <w:r>
        <w:rPr>
          <w:rFonts w:eastAsia="仿宋"/>
          <w:color w:val="auto"/>
          <w:sz w:val="24"/>
          <w:szCs w:val="24"/>
        </w:rPr>
        <w:sym w:font="Wingdings" w:char="00A8"/>
      </w:r>
      <w:r>
        <w:rPr>
          <w:rFonts w:hint="eastAsia" w:ascii="方正仿宋_GBK" w:hAnsi="仿宋_GB2312" w:eastAsia="方正仿宋_GBK" w:cs="仿宋_GB2312"/>
          <w:color w:val="auto"/>
          <w:sz w:val="28"/>
          <w:szCs w:val="28"/>
        </w:rPr>
        <w:t>人员要求</w:t>
      </w:r>
      <w:r>
        <w:rPr>
          <w:rFonts w:eastAsia="仿宋"/>
          <w:color w:val="auto"/>
          <w:sz w:val="24"/>
          <w:szCs w:val="24"/>
        </w:rPr>
        <w:sym w:font="Wingdings" w:char="00A8"/>
      </w:r>
      <w:r>
        <w:rPr>
          <w:rFonts w:hint="eastAsia" w:ascii="方正仿宋_GBK" w:hAnsi="仿宋_GB2312" w:eastAsia="方正仿宋_GBK" w:cs="仿宋_GB2312"/>
          <w:color w:val="auto"/>
          <w:sz w:val="28"/>
          <w:szCs w:val="28"/>
        </w:rPr>
        <w:t>工期要求</w:t>
      </w:r>
      <w:r>
        <w:rPr>
          <w:color w:val="auto"/>
          <w:szCs w:val="32"/>
        </w:rPr>
        <w:sym w:font="Wingdings" w:char="00A8"/>
      </w:r>
      <w:r>
        <w:rPr>
          <w:rFonts w:hint="eastAsia" w:ascii="方正仿宋_GBK" w:hAnsi="仿宋_GB2312" w:eastAsia="方正仿宋_GBK" w:cs="仿宋_GB2312"/>
          <w:color w:val="auto"/>
          <w:sz w:val="28"/>
          <w:szCs w:val="28"/>
        </w:rPr>
        <w:t>财务要求的指标（勾选）</w:t>
      </w:r>
      <w:r>
        <w:rPr>
          <w:rFonts w:hint="eastAsia" w:ascii="方正仿宋_GBK" w:hAnsi="仿宋_GB2312" w:eastAsia="方正仿宋_GBK" w:cs="仿宋_GB2312"/>
          <w:color w:val="auto"/>
          <w:sz w:val="28"/>
          <w:szCs w:val="28"/>
          <w:lang w:eastAsia="zh-CN"/>
        </w:rPr>
        <w:t>。</w:t>
      </w:r>
    </w:p>
    <w:p w14:paraId="01738395">
      <w:pPr>
        <w:spacing w:line="540" w:lineRule="exact"/>
        <w:rPr>
          <w:rFonts w:eastAsia="方正仿宋_GBK"/>
          <w:color w:val="auto"/>
          <w:sz w:val="28"/>
          <w:szCs w:val="28"/>
        </w:rPr>
      </w:pPr>
      <w:r>
        <w:rPr>
          <w:rFonts w:eastAsia="方正仿宋_GBK"/>
          <w:color w:val="auto"/>
          <w:sz w:val="28"/>
          <w:szCs w:val="28"/>
        </w:rPr>
        <w:t>(3)</w:t>
      </w:r>
      <w:r>
        <w:rPr>
          <w:rFonts w:hint="eastAsia" w:ascii="方正仿宋_GBK" w:hAnsi="仿宋_GB2312" w:eastAsia="方正仿宋_GBK" w:cs="仿宋_GB2312"/>
          <w:color w:val="auto"/>
          <w:sz w:val="28"/>
          <w:szCs w:val="28"/>
        </w:rPr>
        <w:t xml:space="preserve"> 我们已详细阅读了比选邀请函全部内容，我们知道必须放弃提出含糊不清或误解的问题的权利。</w:t>
      </w:r>
    </w:p>
    <w:p w14:paraId="0FF4A3C0">
      <w:pPr>
        <w:rPr>
          <w:rFonts w:ascii="方正仿宋_GBK" w:hAnsi="仿宋_GB2312" w:eastAsia="方正仿宋_GBK" w:cs="仿宋_GB2312"/>
          <w:color w:val="auto"/>
          <w:sz w:val="28"/>
          <w:szCs w:val="28"/>
        </w:rPr>
      </w:pPr>
      <w:r>
        <w:rPr>
          <w:rFonts w:eastAsia="方正仿宋_GBK"/>
          <w:color w:val="auto"/>
          <w:sz w:val="28"/>
          <w:szCs w:val="28"/>
        </w:rPr>
        <w:t>(4)</w:t>
      </w:r>
      <w:r>
        <w:rPr>
          <w:rFonts w:hint="eastAsia" w:ascii="方正仿宋_GBK" w:hAnsi="仿宋_GB2312" w:eastAsia="方正仿宋_GBK" w:cs="仿宋_GB2312"/>
          <w:color w:val="auto"/>
          <w:sz w:val="28"/>
          <w:szCs w:val="28"/>
        </w:rPr>
        <w:t xml:space="preserve"> 我们保证根据规定履行合同责任和义务，不得要求变更我司所报金额。</w:t>
      </w:r>
    </w:p>
    <w:p w14:paraId="641C4CBF">
      <w:pPr>
        <w:spacing w:line="540" w:lineRule="exact"/>
        <w:rPr>
          <w:rFonts w:hint="eastAsia" w:ascii="方正仿宋_GBK" w:hAnsi="仿宋_GB2312" w:eastAsia="方正仿宋_GBK" w:cs="仿宋_GB2312"/>
          <w:color w:val="auto"/>
          <w:sz w:val="28"/>
          <w:szCs w:val="28"/>
        </w:rPr>
      </w:pPr>
      <w:r>
        <w:rPr>
          <w:rFonts w:eastAsia="方正仿宋_GBK"/>
          <w:color w:val="auto"/>
          <w:sz w:val="28"/>
          <w:szCs w:val="28"/>
        </w:rPr>
        <w:t xml:space="preserve"> (</w:t>
      </w:r>
      <w:r>
        <w:rPr>
          <w:rFonts w:hint="eastAsia" w:eastAsia="方正仿宋_GBK"/>
          <w:color w:val="auto"/>
          <w:sz w:val="28"/>
          <w:szCs w:val="28"/>
        </w:rPr>
        <w:t>5</w:t>
      </w:r>
      <w:r>
        <w:rPr>
          <w:rFonts w:eastAsia="方正仿宋_GBK"/>
          <w:color w:val="auto"/>
          <w:sz w:val="28"/>
          <w:szCs w:val="28"/>
        </w:rPr>
        <w:t>)</w:t>
      </w:r>
      <w:r>
        <w:rPr>
          <w:rFonts w:hint="eastAsia" w:ascii="方正仿宋_GBK" w:hAnsi="仿宋_GB2312" w:eastAsia="方正仿宋_GBK" w:cs="仿宋_GB2312"/>
          <w:color w:val="auto"/>
          <w:sz w:val="28"/>
          <w:szCs w:val="28"/>
        </w:rPr>
        <w:t xml:space="preserve"> 本比选函自开启之日起至项目全部完成之内有效。</w:t>
      </w:r>
    </w:p>
    <w:p w14:paraId="718FC97A">
      <w:pPr>
        <w:spacing w:line="540" w:lineRule="exact"/>
        <w:rPr>
          <w:rFonts w:hint="default"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eastAsia="zh-CN"/>
        </w:rPr>
        <w:t>（</w:t>
      </w:r>
      <w:r>
        <w:rPr>
          <w:rFonts w:hint="eastAsia" w:ascii="方正仿宋_GBK" w:hAnsi="仿宋_GB2312" w:eastAsia="方正仿宋_GBK" w:cs="仿宋_GB2312"/>
          <w:color w:val="auto"/>
          <w:sz w:val="28"/>
          <w:szCs w:val="28"/>
          <w:lang w:val="en-US" w:eastAsia="zh-CN"/>
        </w:rPr>
        <w:t>6</w:t>
      </w:r>
      <w:r>
        <w:rPr>
          <w:rFonts w:hint="eastAsia" w:ascii="方正仿宋_GBK" w:hAnsi="仿宋_GB2312" w:eastAsia="方正仿宋_GBK" w:cs="仿宋_GB2312"/>
          <w:color w:val="auto"/>
          <w:sz w:val="28"/>
          <w:szCs w:val="28"/>
          <w:lang w:eastAsia="zh-CN"/>
        </w:rPr>
        <w:t>）</w:t>
      </w:r>
      <w:r>
        <w:rPr>
          <w:rFonts w:hint="eastAsia" w:ascii="方正仿宋_GBK" w:hAnsi="仿宋_GB2312" w:eastAsia="方正仿宋_GBK" w:cs="仿宋_GB2312"/>
          <w:color w:val="auto"/>
          <w:sz w:val="28"/>
          <w:szCs w:val="28"/>
          <w:lang w:val="en-US" w:eastAsia="zh-CN"/>
        </w:rPr>
        <w:t>若我司中标，按相关规定，我司承诺不参与监测方案对应建设项目施工监测投标活动。</w:t>
      </w:r>
    </w:p>
    <w:p w14:paraId="6CE49446">
      <w:pPr>
        <w:spacing w:line="540" w:lineRule="exac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报价人全称（公章）：</w:t>
      </w:r>
    </w:p>
    <w:p w14:paraId="6EF711E6">
      <w:pPr>
        <w:spacing w:line="540" w:lineRule="exac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通信地址：</w:t>
      </w:r>
    </w:p>
    <w:p w14:paraId="3FF87FB7">
      <w:pPr>
        <w:spacing w:line="540" w:lineRule="exac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电话、传真：</w:t>
      </w:r>
    </w:p>
    <w:p w14:paraId="14EB0228">
      <w:pPr>
        <w:spacing w:line="540" w:lineRule="exac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报价人法定代表人或授权代理人签字</w:t>
      </w:r>
    </w:p>
    <w:p w14:paraId="094271D4">
      <w:pPr>
        <w:spacing w:line="540" w:lineRule="exact"/>
        <w:rPr>
          <w:rFonts w:ascii="方正仿宋_GBK" w:hAnsi="仿宋_GB2312" w:eastAsia="方正仿宋_GBK" w:cs="仿宋_GB2312"/>
          <w:color w:val="auto"/>
          <w:sz w:val="28"/>
          <w:szCs w:val="28"/>
        </w:rPr>
      </w:pPr>
      <w:r>
        <w:rPr>
          <w:rFonts w:hint="eastAsia" w:ascii="方正仿宋_GBK" w:hAnsi="仿宋_GB2312" w:eastAsia="方正仿宋_GBK" w:cs="仿宋_GB2312"/>
          <w:color w:val="auto"/>
          <w:sz w:val="28"/>
          <w:szCs w:val="28"/>
        </w:rPr>
        <w:t>日期：</w:t>
      </w:r>
    </w:p>
    <w:p w14:paraId="3DB71933">
      <w:pPr>
        <w:jc w:val="center"/>
        <w:rPr>
          <w:rFonts w:ascii="方正仿宋_GBK" w:hAnsi="仿宋_GB2312" w:eastAsia="方正仿宋_GBK" w:cs="仿宋_GB2312"/>
          <w:color w:val="auto"/>
          <w:sz w:val="28"/>
          <w:szCs w:val="28"/>
        </w:rPr>
      </w:pPr>
      <w:r>
        <w:rPr>
          <w:rFonts w:ascii="方正仿宋_GBK" w:hAnsi="仿宋_GB2312" w:eastAsia="方正仿宋_GBK" w:cs="仿宋_GB2312"/>
          <w:color w:val="auto"/>
          <w:sz w:val="28"/>
          <w:szCs w:val="28"/>
        </w:rPr>
        <w:br w:type="page"/>
      </w:r>
    </w:p>
    <w:p w14:paraId="32A6C6EB">
      <w:pPr>
        <w:jc w:val="both"/>
        <w:rPr>
          <w:rFonts w:hint="default" w:ascii="方正仿宋_GBK" w:hAnsi="仿宋_GB2312" w:eastAsia="方正仿宋_GBK" w:cs="仿宋_GB2312"/>
          <w:color w:val="auto"/>
          <w:sz w:val="28"/>
          <w:szCs w:val="28"/>
          <w:lang w:val="en-US" w:eastAsia="zh-CN"/>
        </w:rPr>
      </w:pPr>
      <w:r>
        <w:rPr>
          <w:rFonts w:hint="eastAsia" w:ascii="方正仿宋_GBK" w:hAnsi="仿宋_GB2312" w:eastAsia="方正仿宋_GBK" w:cs="仿宋_GB2312"/>
          <w:color w:val="auto"/>
          <w:sz w:val="28"/>
          <w:szCs w:val="28"/>
          <w:lang w:val="en-US" w:eastAsia="zh-CN"/>
        </w:rPr>
        <w:t>附件2</w:t>
      </w:r>
    </w:p>
    <w:p w14:paraId="0021AC9D">
      <w:pPr>
        <w:jc w:val="center"/>
        <w:rPr>
          <w:rFonts w:ascii="方正仿宋_GBK" w:hAnsi="宋体" w:eastAsia="方正仿宋_GBK" w:cs="宋体"/>
          <w:b/>
          <w:color w:val="auto"/>
          <w:kern w:val="0"/>
          <w:sz w:val="24"/>
        </w:rPr>
      </w:pPr>
      <w:r>
        <w:rPr>
          <w:rFonts w:hint="eastAsia" w:ascii="方正仿宋_GBK" w:hAnsi="仿宋_GB2312" w:eastAsia="方正仿宋_GBK" w:cs="仿宋_GB2312"/>
          <w:color w:val="auto"/>
          <w:sz w:val="28"/>
          <w:szCs w:val="28"/>
        </w:rPr>
        <w:t>法定代表人授权委托书</w:t>
      </w:r>
    </w:p>
    <w:p w14:paraId="167D302C">
      <w:pPr>
        <w:widowControl/>
        <w:snapToGrid w:val="0"/>
        <w:spacing w:before="100" w:beforeAutospacing="1" w:after="100" w:afterAutospacing="1" w:line="360" w:lineRule="auto"/>
        <w:jc w:val="left"/>
        <w:textAlignment w:val="bottom"/>
        <w:rPr>
          <w:rFonts w:ascii="方正仿宋_GBK" w:hAnsi="仿宋_GB2312" w:eastAsia="方正仿宋_GBK" w:cs="仿宋_GB2312"/>
          <w:bCs/>
          <w:color w:val="auto"/>
          <w:kern w:val="0"/>
          <w:sz w:val="28"/>
          <w:szCs w:val="28"/>
        </w:rPr>
      </w:pPr>
      <w:r>
        <w:rPr>
          <w:rFonts w:ascii="方正仿宋_GBK" w:hAnsi="仿宋_GB2312" w:eastAsia="方正仿宋_GBK" w:cs="仿宋_GB2312"/>
          <w:bCs/>
          <w:color w:val="auto"/>
          <w:kern w:val="0"/>
          <w:sz w:val="28"/>
          <w:szCs w:val="28"/>
        </w:rPr>
        <w:t>  </w:t>
      </w:r>
      <w:r>
        <w:rPr>
          <w:rFonts w:hint="eastAsia" w:ascii="方正仿宋_GBK" w:hAnsi="仿宋_GB2312" w:eastAsia="方正仿宋_GBK" w:cs="仿宋_GB2312"/>
          <w:bCs/>
          <w:color w:val="auto"/>
          <w:kern w:val="0"/>
          <w:sz w:val="28"/>
          <w:szCs w:val="28"/>
        </w:rPr>
        <w:t>本授权书声明：注册于</w:t>
      </w:r>
      <w:r>
        <w:rPr>
          <w:rFonts w:ascii="方正仿宋_GBK" w:hAnsi="仿宋_GB2312" w:eastAsia="方正仿宋_GBK" w:cs="仿宋_GB2312"/>
          <w:bCs/>
          <w:color w:val="auto"/>
          <w:kern w:val="0"/>
          <w:sz w:val="28"/>
          <w:szCs w:val="28"/>
          <w:u w:val="single"/>
        </w:rPr>
        <w:t> </w:t>
      </w:r>
      <w:r>
        <w:rPr>
          <w:rFonts w:hint="eastAsia" w:ascii="方正仿宋_GBK" w:hAnsi="仿宋_GB2312" w:eastAsia="方正仿宋_GBK" w:cs="仿宋_GB2312"/>
          <w:bCs/>
          <w:color w:val="auto"/>
          <w:kern w:val="0"/>
          <w:sz w:val="28"/>
          <w:szCs w:val="28"/>
          <w:u w:val="single"/>
        </w:rPr>
        <w:t xml:space="preserve">       </w:t>
      </w:r>
      <w:r>
        <w:rPr>
          <w:rFonts w:ascii="方正仿宋_GBK" w:hAnsi="仿宋_GB2312" w:eastAsia="方正仿宋_GBK" w:cs="仿宋_GB2312"/>
          <w:bCs/>
          <w:color w:val="auto"/>
          <w:kern w:val="0"/>
          <w:sz w:val="28"/>
          <w:szCs w:val="28"/>
          <w:u w:val="single"/>
        </w:rPr>
        <w:t> </w:t>
      </w:r>
      <w:r>
        <w:rPr>
          <w:rFonts w:hint="eastAsia" w:ascii="方正仿宋_GBK" w:hAnsi="仿宋_GB2312" w:eastAsia="方正仿宋_GBK" w:cs="仿宋_GB2312"/>
          <w:bCs/>
          <w:color w:val="auto"/>
          <w:kern w:val="0"/>
          <w:sz w:val="28"/>
          <w:szCs w:val="28"/>
          <w:u w:val="single"/>
        </w:rPr>
        <w:t>（注册地址）</w:t>
      </w:r>
      <w:r>
        <w:rPr>
          <w:rFonts w:hint="eastAsia" w:ascii="方正仿宋_GBK" w:hAnsi="仿宋_GB2312" w:eastAsia="方正仿宋_GBK" w:cs="仿宋_GB2312"/>
          <w:bCs/>
          <w:color w:val="auto"/>
          <w:kern w:val="0"/>
          <w:sz w:val="28"/>
          <w:szCs w:val="28"/>
        </w:rPr>
        <w:t>的</w:t>
      </w:r>
      <w:r>
        <w:rPr>
          <w:rFonts w:ascii="方正仿宋_GBK" w:hAnsi="仿宋_GB2312" w:eastAsia="方正仿宋_GBK" w:cs="仿宋_GB2312"/>
          <w:bCs/>
          <w:color w:val="auto"/>
          <w:kern w:val="0"/>
          <w:sz w:val="28"/>
          <w:szCs w:val="28"/>
          <w:u w:val="single"/>
        </w:rPr>
        <w:t>  </w:t>
      </w:r>
      <w:r>
        <w:rPr>
          <w:rFonts w:hint="eastAsia" w:ascii="方正仿宋_GBK" w:hAnsi="仿宋_GB2312" w:eastAsia="方正仿宋_GBK" w:cs="仿宋_GB2312"/>
          <w:bCs/>
          <w:color w:val="auto"/>
          <w:kern w:val="0"/>
          <w:sz w:val="28"/>
          <w:szCs w:val="28"/>
          <w:u w:val="single"/>
        </w:rPr>
        <w:t xml:space="preserve">  </w:t>
      </w:r>
      <w:r>
        <w:rPr>
          <w:rFonts w:ascii="方正仿宋_GBK" w:hAnsi="仿宋_GB2312" w:eastAsia="方正仿宋_GBK" w:cs="仿宋_GB2312"/>
          <w:bCs/>
          <w:color w:val="auto"/>
          <w:kern w:val="0"/>
          <w:sz w:val="28"/>
          <w:szCs w:val="28"/>
          <w:u w:val="single"/>
        </w:rPr>
        <w:t>  </w:t>
      </w:r>
      <w:r>
        <w:rPr>
          <w:rFonts w:hint="eastAsia" w:ascii="方正仿宋_GBK" w:hAnsi="仿宋_GB2312" w:eastAsia="方正仿宋_GBK" w:cs="仿宋_GB2312"/>
          <w:bCs/>
          <w:color w:val="auto"/>
          <w:kern w:val="0"/>
          <w:sz w:val="28"/>
          <w:szCs w:val="28"/>
          <w:u w:val="single"/>
        </w:rPr>
        <w:t>（公司名称）</w:t>
      </w:r>
      <w:r>
        <w:rPr>
          <w:rFonts w:hint="eastAsia" w:ascii="方正仿宋_GBK" w:hAnsi="仿宋_GB2312" w:eastAsia="方正仿宋_GBK" w:cs="仿宋_GB2312"/>
          <w:bCs/>
          <w:color w:val="auto"/>
          <w:kern w:val="0"/>
          <w:sz w:val="28"/>
          <w:szCs w:val="28"/>
        </w:rPr>
        <w:t>公司的在下面签字的</w:t>
      </w:r>
      <w:r>
        <w:rPr>
          <w:rFonts w:ascii="方正仿宋_GBK" w:hAnsi="仿宋_GB2312" w:eastAsia="方正仿宋_GBK" w:cs="仿宋_GB2312"/>
          <w:bCs/>
          <w:color w:val="auto"/>
          <w:kern w:val="0"/>
          <w:sz w:val="28"/>
          <w:szCs w:val="28"/>
          <w:u w:val="single"/>
        </w:rPr>
        <w:t>        </w:t>
      </w:r>
      <w:r>
        <w:rPr>
          <w:rFonts w:hint="eastAsia" w:ascii="方正仿宋_GBK" w:hAnsi="仿宋_GB2312" w:eastAsia="方正仿宋_GBK" w:cs="仿宋_GB2312"/>
          <w:bCs/>
          <w:color w:val="auto"/>
          <w:kern w:val="0"/>
          <w:sz w:val="28"/>
          <w:szCs w:val="28"/>
        </w:rPr>
        <w:t>（法定代表人姓名、职务）代表本公司授权在下面签字的</w:t>
      </w:r>
      <w:r>
        <w:rPr>
          <w:rFonts w:hint="eastAsia" w:ascii="方正仿宋_GBK" w:hAnsi="仿宋_GB2312" w:eastAsia="方正仿宋_GBK" w:cs="仿宋_GB2312"/>
          <w:bCs/>
          <w:color w:val="auto"/>
          <w:kern w:val="0"/>
          <w:sz w:val="28"/>
          <w:szCs w:val="28"/>
          <w:u w:val="single"/>
        </w:rPr>
        <w:t xml:space="preserve">      </w:t>
      </w:r>
      <w:r>
        <w:rPr>
          <w:rFonts w:hint="eastAsia" w:ascii="方正仿宋_GBK" w:hAnsi="仿宋_GB2312" w:eastAsia="方正仿宋_GBK" w:cs="仿宋_GB2312"/>
          <w:bCs/>
          <w:color w:val="auto"/>
          <w:kern w:val="0"/>
          <w:sz w:val="28"/>
          <w:szCs w:val="28"/>
        </w:rPr>
        <w:t>（被授权人的姓名、职务）为本公司的合法代理人，就</w:t>
      </w:r>
      <w:r>
        <w:rPr>
          <w:rFonts w:hint="eastAsia" w:ascii="方正仿宋_GBK" w:hAnsi="仿宋_GB2312" w:eastAsia="方正仿宋_GBK" w:cs="仿宋_GB2312"/>
          <w:color w:val="auto"/>
          <w:sz w:val="28"/>
          <w:szCs w:val="28"/>
          <w:u w:val="single"/>
          <w:lang w:val="en-US" w:eastAsia="zh-CN"/>
        </w:rPr>
        <w:t>招标限价编制阶段工程监测方案编制服务</w:t>
      </w:r>
      <w:r>
        <w:rPr>
          <w:rFonts w:hint="eastAsia" w:ascii="方正仿宋_GBK" w:hAnsi="仿宋_GB2312" w:eastAsia="方正仿宋_GBK" w:cs="仿宋_GB2312"/>
          <w:bCs/>
          <w:color w:val="auto"/>
          <w:kern w:val="0"/>
          <w:sz w:val="28"/>
          <w:szCs w:val="28"/>
        </w:rPr>
        <w:t>的报价以及合同的谈判、签约、执行、完成等全权负责，以本公司名义处理一切与之有关的事务。</w:t>
      </w:r>
    </w:p>
    <w:p w14:paraId="190FCC45">
      <w:pPr>
        <w:widowControl/>
        <w:snapToGrid w:val="0"/>
        <w:spacing w:before="100" w:beforeAutospacing="1" w:after="100" w:afterAutospacing="1" w:line="360" w:lineRule="auto"/>
        <w:ind w:firstLine="560" w:firstLineChars="200"/>
        <w:jc w:val="left"/>
        <w:textAlignment w:val="bottom"/>
        <w:rPr>
          <w:rFonts w:ascii="方正仿宋_GBK" w:hAnsi="仿宋_GB2312" w:eastAsia="方正仿宋_GBK" w:cs="仿宋_GB2312"/>
          <w:bCs/>
          <w:color w:val="auto"/>
          <w:kern w:val="0"/>
          <w:sz w:val="28"/>
          <w:szCs w:val="28"/>
        </w:rPr>
      </w:pPr>
      <w:r>
        <w:rPr>
          <w:rFonts w:hint="eastAsia" w:ascii="方正仿宋_GBK" w:hAnsi="仿宋_GB2312" w:eastAsia="方正仿宋_GBK" w:cs="仿宋_GB2312"/>
          <w:bCs/>
          <w:color w:val="auto"/>
          <w:kern w:val="0"/>
          <w:sz w:val="28"/>
          <w:szCs w:val="28"/>
        </w:rPr>
        <w:t>本授权书于</w:t>
      </w:r>
      <w:r>
        <w:rPr>
          <w:rFonts w:ascii="方正仿宋_GBK" w:hAnsi="仿宋_GB2312" w:eastAsia="方正仿宋_GBK" w:cs="仿宋_GB2312"/>
          <w:bCs/>
          <w:color w:val="auto"/>
          <w:kern w:val="0"/>
          <w:sz w:val="28"/>
          <w:szCs w:val="28"/>
        </w:rPr>
        <w:t>   </w:t>
      </w:r>
      <w:r>
        <w:rPr>
          <w:rFonts w:hint="eastAsia" w:ascii="方正仿宋_GBK" w:hAnsi="仿宋_GB2312" w:eastAsia="方正仿宋_GBK" w:cs="仿宋_GB2312"/>
          <w:bCs/>
          <w:color w:val="auto"/>
          <w:kern w:val="0"/>
          <w:sz w:val="28"/>
          <w:szCs w:val="28"/>
        </w:rPr>
        <w:t>年</w:t>
      </w:r>
      <w:r>
        <w:rPr>
          <w:rFonts w:ascii="方正仿宋_GBK" w:hAnsi="仿宋_GB2312" w:eastAsia="方正仿宋_GBK" w:cs="仿宋_GB2312"/>
          <w:bCs/>
          <w:color w:val="auto"/>
          <w:kern w:val="0"/>
          <w:sz w:val="28"/>
          <w:szCs w:val="28"/>
        </w:rPr>
        <w:t>  </w:t>
      </w:r>
      <w:r>
        <w:rPr>
          <w:rFonts w:hint="eastAsia" w:ascii="方正仿宋_GBK" w:hAnsi="仿宋_GB2312" w:eastAsia="方正仿宋_GBK" w:cs="仿宋_GB2312"/>
          <w:bCs/>
          <w:color w:val="auto"/>
          <w:kern w:val="0"/>
          <w:sz w:val="28"/>
          <w:szCs w:val="28"/>
        </w:rPr>
        <w:t>月</w:t>
      </w:r>
      <w:r>
        <w:rPr>
          <w:rFonts w:ascii="方正仿宋_GBK" w:hAnsi="仿宋_GB2312" w:eastAsia="方正仿宋_GBK" w:cs="仿宋_GB2312"/>
          <w:bCs/>
          <w:color w:val="auto"/>
          <w:kern w:val="0"/>
          <w:sz w:val="28"/>
          <w:szCs w:val="28"/>
        </w:rPr>
        <w:t>  </w:t>
      </w:r>
      <w:r>
        <w:rPr>
          <w:rFonts w:hint="eastAsia" w:ascii="方正仿宋_GBK" w:hAnsi="仿宋_GB2312" w:eastAsia="方正仿宋_GBK" w:cs="仿宋_GB2312"/>
          <w:bCs/>
          <w:color w:val="auto"/>
          <w:kern w:val="0"/>
          <w:sz w:val="28"/>
          <w:szCs w:val="28"/>
        </w:rPr>
        <w:t>日签字生效，特此声明。</w:t>
      </w:r>
    </w:p>
    <w:p w14:paraId="63FB4E3D">
      <w:pPr>
        <w:widowControl/>
        <w:snapToGrid w:val="0"/>
        <w:spacing w:before="100" w:beforeAutospacing="1" w:after="100" w:afterAutospacing="1" w:line="600" w:lineRule="exact"/>
        <w:jc w:val="left"/>
        <w:textAlignment w:val="bottom"/>
        <w:rPr>
          <w:rFonts w:eastAsia="方正仿宋_GBK"/>
          <w:color w:val="auto"/>
          <w:kern w:val="0"/>
          <w:sz w:val="28"/>
          <w:szCs w:val="32"/>
        </w:rPr>
      </w:pPr>
      <w:r>
        <w:rPr>
          <w:rFonts w:eastAsia="方正仿宋_GBK"/>
          <w:color w:val="auto"/>
          <w:kern w:val="0"/>
          <w:sz w:val="28"/>
          <w:szCs w:val="32"/>
        </w:rPr>
        <w:t xml:space="preserve">报价单位名称（盖章）：          </w:t>
      </w:r>
    </w:p>
    <w:p w14:paraId="3ACE388F">
      <w:pPr>
        <w:widowControl/>
        <w:snapToGrid w:val="0"/>
        <w:spacing w:before="100" w:beforeAutospacing="1" w:after="100" w:afterAutospacing="1" w:line="600" w:lineRule="exact"/>
        <w:jc w:val="left"/>
        <w:textAlignment w:val="bottom"/>
        <w:rPr>
          <w:rFonts w:eastAsia="方正仿宋_GBK"/>
          <w:color w:val="auto"/>
          <w:kern w:val="0"/>
          <w:sz w:val="28"/>
          <w:szCs w:val="32"/>
        </w:rPr>
      </w:pPr>
      <w:r>
        <w:rPr>
          <w:rFonts w:eastAsia="方正仿宋_GBK"/>
          <w:color w:val="auto"/>
          <w:kern w:val="0"/>
          <w:sz w:val="28"/>
          <w:szCs w:val="32"/>
        </w:rPr>
        <w:t>报价单位地址：</w:t>
      </w:r>
    </w:p>
    <w:p w14:paraId="65A62C47">
      <w:pPr>
        <w:widowControl/>
        <w:snapToGrid w:val="0"/>
        <w:spacing w:before="100" w:beforeAutospacing="1" w:after="100" w:afterAutospacing="1" w:line="600" w:lineRule="exact"/>
        <w:jc w:val="left"/>
        <w:textAlignment w:val="bottom"/>
        <w:rPr>
          <w:rFonts w:eastAsia="方正仿宋_GBK"/>
          <w:color w:val="auto"/>
          <w:kern w:val="0"/>
          <w:sz w:val="28"/>
          <w:szCs w:val="32"/>
        </w:rPr>
      </w:pPr>
      <w:r>
        <w:rPr>
          <w:rFonts w:eastAsia="方正仿宋_GBK"/>
          <w:color w:val="auto"/>
          <w:kern w:val="0"/>
          <w:sz w:val="28"/>
          <w:szCs w:val="32"/>
        </w:rPr>
        <w:t xml:space="preserve">授权人（法定代表人）签字：                     </w:t>
      </w:r>
    </w:p>
    <w:p w14:paraId="41850CBD">
      <w:pPr>
        <w:widowControl/>
        <w:snapToGrid w:val="0"/>
        <w:spacing w:before="100" w:beforeAutospacing="1" w:after="100" w:afterAutospacing="1" w:line="252" w:lineRule="atLeast"/>
        <w:jc w:val="left"/>
        <w:textAlignment w:val="bottom"/>
        <w:rPr>
          <w:rFonts w:ascii="方正仿宋_GBK" w:hAnsi="仿宋_GB2312" w:eastAsia="方正仿宋_GBK" w:cs="仿宋_GB2312"/>
          <w:bCs/>
          <w:color w:val="auto"/>
          <w:kern w:val="0"/>
          <w:sz w:val="28"/>
          <w:szCs w:val="28"/>
        </w:rPr>
      </w:pPr>
      <w:r>
        <w:rPr>
          <w:rFonts w:eastAsia="方正仿宋_GBK"/>
          <w:color w:val="auto"/>
          <w:kern w:val="0"/>
          <w:sz w:val="28"/>
          <w:szCs w:val="32"/>
        </w:rPr>
        <w:t>被授权人（代理人）签字： </w:t>
      </w:r>
      <w:r>
        <w:rPr>
          <w:rFonts w:ascii="宋体" w:hAnsi="宋体" w:eastAsia="方正仿宋_GBK" w:cs="华文楷体"/>
          <w:color w:val="auto"/>
          <w:kern w:val="0"/>
          <w:sz w:val="28"/>
          <w:szCs w:val="28"/>
        </w:rPr>
        <w:t>  </w:t>
      </w:r>
      <w:r>
        <w:rPr>
          <w:rFonts w:ascii="宋体" w:hAnsi="宋体" w:eastAsia="方正仿宋_GBK" w:cs="华文楷体"/>
          <w:color w:val="auto"/>
          <w:kern w:val="0"/>
          <w:sz w:val="32"/>
          <w:szCs w:val="32"/>
        </w:rPr>
        <w:t> </w:t>
      </w:r>
    </w:p>
    <w:p w14:paraId="165C50D8">
      <w:pPr>
        <w:jc w:val="center"/>
        <w:rPr>
          <w:rFonts w:ascii="仿宋_GB2312" w:hAnsi="仿宋_GB2312" w:eastAsia="仿宋_GB2312" w:cs="仿宋_GB2312"/>
          <w:b/>
          <w:color w:val="auto"/>
          <w:kern w:val="0"/>
          <w:sz w:val="28"/>
          <w:szCs w:val="28"/>
        </w:rPr>
      </w:pPr>
      <w:r>
        <w:rPr>
          <w:color w:val="auto"/>
        </w:rPr>
        <mc:AlternateContent>
          <mc:Choice Requires="wps">
            <w:drawing>
              <wp:anchor distT="0" distB="0" distL="114300" distR="114300" simplePos="0" relativeHeight="251660288" behindDoc="0" locked="0" layoutInCell="1" allowOverlap="1">
                <wp:simplePos x="0" y="0"/>
                <wp:positionH relativeFrom="column">
                  <wp:posOffset>2641600</wp:posOffset>
                </wp:positionH>
                <wp:positionV relativeFrom="paragraph">
                  <wp:posOffset>147320</wp:posOffset>
                </wp:positionV>
                <wp:extent cx="2971800" cy="2278380"/>
                <wp:effectExtent l="4445" t="4445" r="14605" b="2222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971800" cy="2278380"/>
                        </a:xfrm>
                        <a:prstGeom prst="rect">
                          <a:avLst/>
                        </a:prstGeom>
                        <a:solidFill>
                          <a:srgbClr val="FFFFFF"/>
                        </a:solidFill>
                        <a:ln w="9525">
                          <a:solidFill>
                            <a:srgbClr val="000000"/>
                          </a:solidFill>
                          <a:miter lim="800000"/>
                        </a:ln>
                        <a:effectLst/>
                      </wps:spPr>
                      <wps:txbx>
                        <w:txbxContent>
                          <w:p w14:paraId="27D9955E">
                            <w:pPr>
                              <w:rPr>
                                <w:rFonts w:ascii="仿宋_GB2312" w:hAnsi="仿宋_GB2312" w:eastAsia="仿宋_GB2312" w:cs="仿宋_GB2312"/>
                              </w:rPr>
                            </w:pPr>
                            <w:r>
                              <w:rPr>
                                <w:rFonts w:hint="eastAsia" w:ascii="仿宋_GB2312" w:hAnsi="仿宋_GB2312" w:eastAsia="仿宋_GB2312" w:cs="仿宋_GB2312"/>
                              </w:rPr>
                              <w:t>被授权人身份证复印件（正反面）</w:t>
                            </w:r>
                          </w:p>
                          <w:p w14:paraId="3A315BCC"/>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8pt;margin-top:11.6pt;height:179.4pt;width:234pt;z-index:251660288;mso-width-relative:page;mso-height-relative:page;" fillcolor="#FFFFFF" filled="t" stroked="t" coordsize="21600,21600" o:gfxdata="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tBmdH2QAAAAoBAAAPAAAAAAAA&#10;AAEAIAAAACIAAABkcnMvZG93bnJldi54bWxQSwECFAAUAAAACACHTuJAcUTEJUoCAACWBAAADgAA&#10;AAAAAAABACAAAAAoAQAAZHJzL2Uyb0RvYy54bWxQSwUGAAAAAAYABgBZAQAA5AUAAAAA&#10;">
                <v:fill on="t" focussize="0,0"/>
                <v:stroke color="#000000" miterlimit="8" joinstyle="miter"/>
                <v:imagedata o:title=""/>
                <o:lock v:ext="edit" aspectratio="f"/>
                <v:textbox>
                  <w:txbxContent>
                    <w:p w14:paraId="27D9955E">
                      <w:pPr>
                        <w:rPr>
                          <w:rFonts w:ascii="仿宋_GB2312" w:hAnsi="仿宋_GB2312" w:eastAsia="仿宋_GB2312" w:cs="仿宋_GB2312"/>
                        </w:rPr>
                      </w:pPr>
                      <w:r>
                        <w:rPr>
                          <w:rFonts w:hint="eastAsia" w:ascii="仿宋_GB2312" w:hAnsi="仿宋_GB2312" w:eastAsia="仿宋_GB2312" w:cs="仿宋_GB2312"/>
                        </w:rPr>
                        <w:t>被授权人身份证复印件（正反面）</w:t>
                      </w:r>
                    </w:p>
                    <w:p w14:paraId="3A315BCC"/>
                  </w:txbxContent>
                </v:textbox>
              </v:shape>
            </w:pict>
          </mc:Fallback>
        </mc:AlternateContent>
      </w:r>
      <w:r>
        <w:rPr>
          <w:color w:val="auto"/>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140970</wp:posOffset>
                </wp:positionV>
                <wp:extent cx="2857500" cy="2278380"/>
                <wp:effectExtent l="4445" t="5080" r="14605" b="2159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57500" cy="2278380"/>
                        </a:xfrm>
                        <a:prstGeom prst="rect">
                          <a:avLst/>
                        </a:prstGeom>
                        <a:solidFill>
                          <a:srgbClr val="FFFFFF"/>
                        </a:solidFill>
                        <a:ln w="9525">
                          <a:solidFill>
                            <a:srgbClr val="000000"/>
                          </a:solidFill>
                          <a:miter lim="800000"/>
                        </a:ln>
                        <a:effectLst/>
                      </wps:spPr>
                      <wps:txbx>
                        <w:txbxContent>
                          <w:p w14:paraId="59076155">
                            <w:pPr>
                              <w:rPr>
                                <w:rFonts w:ascii="仿宋_GB2312" w:hAnsi="仿宋_GB2312" w:eastAsia="仿宋_GB2312" w:cs="仿宋_GB2312"/>
                              </w:rPr>
                            </w:pPr>
                            <w:r>
                              <w:rPr>
                                <w:rFonts w:hint="eastAsia" w:ascii="仿宋_GB2312" w:hAnsi="仿宋_GB2312" w:eastAsia="仿宋_GB2312" w:cs="仿宋_GB2312"/>
                              </w:rPr>
                              <w:t>授权人身份证复印件（正反面）</w:t>
                            </w:r>
                          </w:p>
                          <w:p w14:paraId="6AB4A3DF"/>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pt;margin-top:11.1pt;height:179.4pt;width:225pt;z-index:251659264;mso-width-relative:page;mso-height-relative:page;" fillcolor="#FFFFFF" filled="t" stroked="t" coordsize="21600,21600" o:gfxdata="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ZwTSb2QAAAAoBAAAPAAAAAAAA&#10;AAEAIAAAACIAAABkcnMvZG93bnJldi54bWxQSwECFAAUAAAACACHTuJAPsKlSkoCAACWBAAADgAA&#10;AAAAAAABACAAAAAoAQAAZHJzL2Uyb0RvYy54bWxQSwUGAAAAAAYABgBZAQAA5AUAAAAA&#10;">
                <v:fill on="t" focussize="0,0"/>
                <v:stroke color="#000000" miterlimit="8" joinstyle="miter"/>
                <v:imagedata o:title=""/>
                <o:lock v:ext="edit" aspectratio="f"/>
                <v:textbox>
                  <w:txbxContent>
                    <w:p w14:paraId="59076155">
                      <w:pPr>
                        <w:rPr>
                          <w:rFonts w:ascii="仿宋_GB2312" w:hAnsi="仿宋_GB2312" w:eastAsia="仿宋_GB2312" w:cs="仿宋_GB2312"/>
                        </w:rPr>
                      </w:pPr>
                      <w:r>
                        <w:rPr>
                          <w:rFonts w:hint="eastAsia" w:ascii="仿宋_GB2312" w:hAnsi="仿宋_GB2312" w:eastAsia="仿宋_GB2312" w:cs="仿宋_GB2312"/>
                        </w:rPr>
                        <w:t>授权人身份证复印件（正反面）</w:t>
                      </w:r>
                    </w:p>
                    <w:p w14:paraId="6AB4A3DF"/>
                  </w:txbxContent>
                </v:textbox>
              </v:shape>
            </w:pict>
          </mc:Fallback>
        </mc:AlternateContent>
      </w:r>
    </w:p>
    <w:p w14:paraId="2CFBAC65">
      <w:pPr>
        <w:widowControl/>
        <w:snapToGrid w:val="0"/>
        <w:spacing w:before="100" w:beforeAutospacing="1" w:after="100" w:afterAutospacing="1" w:line="252" w:lineRule="atLeast"/>
        <w:ind w:firstLine="480"/>
        <w:jc w:val="left"/>
        <w:textAlignment w:val="bottom"/>
        <w:rPr>
          <w:rFonts w:ascii="仿宋_GB2312" w:hAnsi="仿宋_GB2312" w:eastAsia="仿宋_GB2312" w:cs="仿宋_GB2312"/>
          <w:b/>
          <w:color w:val="auto"/>
          <w:kern w:val="0"/>
          <w:sz w:val="28"/>
          <w:szCs w:val="28"/>
        </w:rPr>
      </w:pPr>
    </w:p>
    <w:p w14:paraId="65747EC1">
      <w:pPr>
        <w:widowControl/>
        <w:snapToGrid w:val="0"/>
        <w:spacing w:before="100" w:beforeAutospacing="1" w:after="100" w:afterAutospacing="1" w:line="252" w:lineRule="atLeast"/>
        <w:ind w:firstLine="480"/>
        <w:jc w:val="left"/>
        <w:textAlignment w:val="bottom"/>
        <w:rPr>
          <w:rFonts w:ascii="仿宋_GB2312" w:hAnsi="仿宋_GB2312" w:eastAsia="仿宋_GB2312" w:cs="仿宋_GB2312"/>
          <w:b/>
          <w:color w:val="auto"/>
          <w:kern w:val="0"/>
          <w:sz w:val="28"/>
          <w:szCs w:val="28"/>
        </w:rPr>
      </w:pPr>
    </w:p>
    <w:p w14:paraId="20D6EB27">
      <w:pPr>
        <w:widowControl/>
        <w:snapToGrid w:val="0"/>
        <w:spacing w:before="100" w:beforeAutospacing="1" w:after="100" w:afterAutospacing="1" w:line="252" w:lineRule="atLeast"/>
        <w:ind w:firstLine="480"/>
        <w:jc w:val="left"/>
        <w:textAlignment w:val="bottom"/>
        <w:rPr>
          <w:rFonts w:ascii="仿宋_GB2312" w:hAnsi="仿宋_GB2312" w:eastAsia="仿宋_GB2312" w:cs="仿宋_GB2312"/>
          <w:b/>
          <w:color w:val="auto"/>
          <w:kern w:val="0"/>
          <w:sz w:val="28"/>
          <w:szCs w:val="28"/>
        </w:rPr>
      </w:pPr>
      <w:r>
        <w:rPr>
          <w:rFonts w:ascii="仿宋_GB2312" w:hAnsi="仿宋_GB2312" w:eastAsia="仿宋_GB2312" w:cs="仿宋_GB2312"/>
          <w:b/>
          <w:color w:val="auto"/>
          <w:kern w:val="0"/>
          <w:sz w:val="28"/>
          <w:szCs w:val="28"/>
        </w:rPr>
        <w:t> </w:t>
      </w:r>
    </w:p>
    <w:p w14:paraId="727F5F22">
      <w:pPr>
        <w:widowControl/>
        <w:spacing w:before="100" w:beforeAutospacing="1" w:after="100" w:afterAutospacing="1" w:line="252" w:lineRule="atLeast"/>
        <w:jc w:val="center"/>
        <w:rPr>
          <w:rFonts w:ascii="仿宋_GB2312" w:hAnsi="仿宋_GB2312" w:eastAsia="仿宋_GB2312" w:cs="仿宋_GB2312"/>
          <w:bCs/>
          <w:color w:val="auto"/>
          <w:kern w:val="0"/>
          <w:sz w:val="28"/>
          <w:szCs w:val="28"/>
        </w:rPr>
      </w:pPr>
    </w:p>
    <w:p w14:paraId="6F846005">
      <w:pPr>
        <w:keepNext w:val="0"/>
        <w:keepLines w:val="0"/>
        <w:pageBreakBefore w:val="0"/>
        <w:numPr>
          <w:ilvl w:val="0"/>
          <w:numId w:val="0"/>
        </w:numPr>
        <w:kinsoku/>
        <w:wordWrap/>
        <w:overflowPunct/>
        <w:topLinePunct w:val="0"/>
        <w:autoSpaceDE/>
        <w:autoSpaceDN/>
        <w:bidi w:val="0"/>
        <w:adjustRightInd/>
        <w:spacing w:line="440" w:lineRule="exact"/>
        <w:jc w:val="left"/>
        <w:rPr>
          <w:rFonts w:hint="eastAsia" w:eastAsia="方正仿宋_GBK" w:cs="Times New Roman"/>
          <w:b w:val="0"/>
          <w:bCs w:val="0"/>
          <w:snapToGrid w:val="0"/>
          <w:color w:val="auto"/>
          <w:kern w:val="0"/>
          <w:sz w:val="28"/>
          <w:szCs w:val="28"/>
          <w:highlight w:val="none"/>
          <w:lang w:val="en-US" w:eastAsia="zh-CN" w:bidi="ar-SA"/>
        </w:rPr>
      </w:pPr>
    </w:p>
    <w:p w14:paraId="50A897B6">
      <w:pPr>
        <w:keepNext w:val="0"/>
        <w:keepLines w:val="0"/>
        <w:pageBreakBefore w:val="0"/>
        <w:numPr>
          <w:ilvl w:val="0"/>
          <w:numId w:val="0"/>
        </w:numPr>
        <w:kinsoku/>
        <w:wordWrap/>
        <w:overflowPunct/>
        <w:topLinePunct w:val="0"/>
        <w:autoSpaceDE/>
        <w:autoSpaceDN/>
        <w:bidi w:val="0"/>
        <w:adjustRightInd/>
        <w:spacing w:line="440" w:lineRule="exact"/>
        <w:jc w:val="left"/>
        <w:rPr>
          <w:rFonts w:hint="eastAsia" w:eastAsia="方正仿宋_GBK" w:cs="Times New Roman"/>
          <w:b w:val="0"/>
          <w:bCs w:val="0"/>
          <w:snapToGrid w:val="0"/>
          <w:color w:val="auto"/>
          <w:kern w:val="0"/>
          <w:sz w:val="28"/>
          <w:szCs w:val="28"/>
          <w:highlight w:val="none"/>
          <w:lang w:val="en-US" w:eastAsia="zh-CN" w:bidi="ar-SA"/>
        </w:rPr>
      </w:pPr>
    </w:p>
    <w:p w14:paraId="7080988D">
      <w:pPr>
        <w:keepNext w:val="0"/>
        <w:keepLines w:val="0"/>
        <w:pageBreakBefore w:val="0"/>
        <w:numPr>
          <w:ilvl w:val="0"/>
          <w:numId w:val="0"/>
        </w:numPr>
        <w:kinsoku/>
        <w:wordWrap/>
        <w:overflowPunct/>
        <w:topLinePunct w:val="0"/>
        <w:autoSpaceDE/>
        <w:autoSpaceDN/>
        <w:bidi w:val="0"/>
        <w:adjustRightInd/>
        <w:spacing w:line="440" w:lineRule="exact"/>
        <w:jc w:val="left"/>
        <w:rPr>
          <w:rFonts w:hint="eastAsia" w:ascii="Times New Roman" w:hAnsi="Times New Roman" w:eastAsia="方正仿宋_GBK" w:cs="Times New Roman"/>
          <w:b w:val="0"/>
          <w:bCs w:val="0"/>
          <w:snapToGrid w:val="0"/>
          <w:color w:val="auto"/>
          <w:kern w:val="0"/>
          <w:sz w:val="28"/>
          <w:szCs w:val="28"/>
          <w:highlight w:val="none"/>
          <w:lang w:val="en-US" w:eastAsia="zh-CN" w:bidi="ar-SA"/>
        </w:rPr>
      </w:pPr>
      <w:r>
        <w:rPr>
          <w:rFonts w:hint="eastAsia" w:eastAsia="方正仿宋_GBK" w:cs="Times New Roman"/>
          <w:b w:val="0"/>
          <w:bCs w:val="0"/>
          <w:snapToGrid w:val="0"/>
          <w:color w:val="auto"/>
          <w:kern w:val="0"/>
          <w:sz w:val="28"/>
          <w:szCs w:val="28"/>
          <w:highlight w:val="none"/>
          <w:lang w:val="en-US" w:eastAsia="zh-CN" w:bidi="ar-SA"/>
        </w:rPr>
        <w:t>附件3：</w:t>
      </w:r>
      <w:r>
        <w:rPr>
          <w:rFonts w:hint="eastAsia" w:ascii="Times New Roman" w:hAnsi="Times New Roman" w:eastAsia="方正仿宋_GBK" w:cs="Times New Roman"/>
          <w:b w:val="0"/>
          <w:bCs w:val="0"/>
          <w:snapToGrid w:val="0"/>
          <w:color w:val="auto"/>
          <w:kern w:val="0"/>
          <w:sz w:val="28"/>
          <w:szCs w:val="28"/>
          <w:highlight w:val="none"/>
          <w:lang w:val="en-US" w:eastAsia="zh-CN" w:bidi="ar-SA"/>
        </w:rPr>
        <w:t>营业执照</w:t>
      </w:r>
    </w:p>
    <w:p w14:paraId="797ABA00">
      <w:pPr>
        <w:keepNext w:val="0"/>
        <w:keepLines w:val="0"/>
        <w:pageBreakBefore w:val="0"/>
        <w:numPr>
          <w:ilvl w:val="0"/>
          <w:numId w:val="0"/>
        </w:numPr>
        <w:kinsoku/>
        <w:wordWrap/>
        <w:overflowPunct/>
        <w:topLinePunct w:val="0"/>
        <w:autoSpaceDE/>
        <w:autoSpaceDN/>
        <w:bidi w:val="0"/>
        <w:adjustRightInd/>
        <w:spacing w:line="440" w:lineRule="exact"/>
        <w:jc w:val="left"/>
        <w:rPr>
          <w:rFonts w:hint="eastAsia" w:ascii="Times New Roman" w:hAnsi="Times New Roman" w:eastAsia="方正仿宋_GBK" w:cs="Times New Roman"/>
          <w:b w:val="0"/>
          <w:bCs w:val="0"/>
          <w:snapToGrid w:val="0"/>
          <w:color w:val="auto"/>
          <w:kern w:val="0"/>
          <w:sz w:val="28"/>
          <w:szCs w:val="28"/>
          <w:highlight w:val="none"/>
          <w:lang w:val="en-US" w:eastAsia="zh-CN" w:bidi="ar-SA"/>
        </w:rPr>
      </w:pPr>
    </w:p>
    <w:p w14:paraId="50707B2B">
      <w:pPr>
        <w:keepNext w:val="0"/>
        <w:keepLines w:val="0"/>
        <w:pageBreakBefore w:val="0"/>
        <w:numPr>
          <w:ilvl w:val="0"/>
          <w:numId w:val="0"/>
        </w:numPr>
        <w:kinsoku/>
        <w:wordWrap/>
        <w:overflowPunct/>
        <w:topLinePunct w:val="0"/>
        <w:autoSpaceDE/>
        <w:autoSpaceDN/>
        <w:bidi w:val="0"/>
        <w:adjustRightInd/>
        <w:spacing w:line="440" w:lineRule="exact"/>
        <w:jc w:val="left"/>
        <w:rPr>
          <w:rFonts w:hint="default" w:ascii="Times New Roman" w:hAnsi="Times New Roman" w:eastAsia="方正仿宋_GBK" w:cs="Times New Roman"/>
          <w:b w:val="0"/>
          <w:bCs w:val="0"/>
          <w:snapToGrid w:val="0"/>
          <w:color w:val="auto"/>
          <w:kern w:val="0"/>
          <w:sz w:val="28"/>
          <w:szCs w:val="28"/>
          <w:highlight w:val="none"/>
          <w:lang w:val="en-US" w:eastAsia="zh-CN" w:bidi="ar-SA"/>
        </w:rPr>
      </w:pPr>
      <w:r>
        <w:rPr>
          <w:rFonts w:hint="eastAsia" w:ascii="Times New Roman" w:hAnsi="Times New Roman" w:eastAsia="方正仿宋_GBK" w:cs="Times New Roman"/>
          <w:b w:val="0"/>
          <w:bCs w:val="0"/>
          <w:snapToGrid w:val="0"/>
          <w:color w:val="auto"/>
          <w:kern w:val="0"/>
          <w:sz w:val="28"/>
          <w:szCs w:val="28"/>
          <w:highlight w:val="none"/>
          <w:lang w:val="en-US" w:eastAsia="zh-CN" w:bidi="ar-SA"/>
        </w:rPr>
        <w:t>附件4：合同文本</w:t>
      </w:r>
    </w:p>
    <w:p w14:paraId="1F74A03D">
      <w:pPr>
        <w:spacing w:before="312" w:beforeLines="100" w:after="468" w:afterLines="150"/>
        <w:ind w:firstLine="643" w:firstLineChars="200"/>
        <w:rPr>
          <w:color w:val="auto"/>
          <w:sz w:val="28"/>
          <w:szCs w:val="28"/>
          <w:highlight w:val="none"/>
        </w:rPr>
      </w:pPr>
      <w:r>
        <w:rPr>
          <w:rFonts w:hint="eastAsia" w:ascii="宋体" w:hAnsi="宋体"/>
          <w:b/>
          <w:bCs/>
          <w:color w:val="auto"/>
          <w:sz w:val="32"/>
          <w:highlight w:val="none"/>
        </w:rPr>
        <w:t xml:space="preserve">                               </w:t>
      </w:r>
      <w:r>
        <w:rPr>
          <w:rFonts w:hint="eastAsia" w:ascii="宋体" w:hAnsi="宋体"/>
          <w:color w:val="auto"/>
          <w:sz w:val="32"/>
          <w:highlight w:val="none"/>
        </w:rPr>
        <w:t xml:space="preserve"> </w:t>
      </w:r>
      <w:r>
        <w:rPr>
          <w:rFonts w:hint="eastAsia" w:ascii="宋体" w:hAnsi="宋体" w:cs="宋体"/>
          <w:color w:val="auto"/>
          <w:kern w:val="0"/>
          <w:sz w:val="28"/>
          <w:szCs w:val="28"/>
          <w:highlight w:val="none"/>
        </w:rPr>
        <w:t>合同编号：</w:t>
      </w:r>
      <w:r>
        <w:rPr>
          <w:rFonts w:hint="eastAsia" w:ascii="宋体" w:hAnsi="宋体" w:cs="宋体"/>
          <w:color w:val="auto"/>
          <w:kern w:val="0"/>
          <w:sz w:val="28"/>
          <w:szCs w:val="28"/>
          <w:highlight w:val="none"/>
          <w:u w:val="single"/>
        </w:rPr>
        <w:t xml:space="preserve">         </w:t>
      </w:r>
    </w:p>
    <w:p w14:paraId="55B6E873">
      <w:pPr>
        <w:rPr>
          <w:rFonts w:hint="eastAsia" w:ascii="宋体" w:hAnsi="宋体"/>
          <w:b/>
          <w:color w:val="auto"/>
          <w:sz w:val="44"/>
          <w:highlight w:val="none"/>
        </w:rPr>
      </w:pPr>
    </w:p>
    <w:p w14:paraId="37E252D1">
      <w:pPr>
        <w:jc w:val="center"/>
        <w:rPr>
          <w:rFonts w:hint="eastAsia" w:ascii="宋体" w:hAnsi="宋体"/>
          <w:b/>
          <w:color w:val="auto"/>
          <w:sz w:val="44"/>
          <w:highlight w:val="none"/>
        </w:rPr>
      </w:pPr>
    </w:p>
    <w:p w14:paraId="567158FC">
      <w:pPr>
        <w:jc w:val="center"/>
        <w:rPr>
          <w:rFonts w:hint="eastAsia" w:ascii="宋体" w:hAnsi="宋体"/>
          <w:b/>
          <w:color w:val="auto"/>
          <w:sz w:val="44"/>
          <w:highlight w:val="none"/>
        </w:rPr>
      </w:pPr>
    </w:p>
    <w:p w14:paraId="16FEE1EC">
      <w:pPr>
        <w:jc w:val="center"/>
        <w:rPr>
          <w:rFonts w:hint="eastAsia" w:ascii="黑体" w:hAnsi="宋体" w:eastAsia="黑体"/>
          <w:b/>
          <w:color w:val="auto"/>
          <w:sz w:val="48"/>
          <w:szCs w:val="48"/>
          <w:highlight w:val="none"/>
        </w:rPr>
      </w:pPr>
      <w:r>
        <w:rPr>
          <w:rFonts w:hint="eastAsia" w:ascii="黑体" w:hAnsi="宋体" w:eastAsia="黑体"/>
          <w:b/>
          <w:color w:val="auto"/>
          <w:sz w:val="48"/>
          <w:szCs w:val="48"/>
          <w:highlight w:val="none"/>
        </w:rPr>
        <w:t>工程监测</w:t>
      </w:r>
      <w:r>
        <w:rPr>
          <w:rFonts w:hint="eastAsia" w:ascii="黑体" w:hAnsi="宋体" w:eastAsia="黑体"/>
          <w:b/>
          <w:color w:val="auto"/>
          <w:sz w:val="48"/>
          <w:szCs w:val="48"/>
          <w:highlight w:val="none"/>
          <w:lang w:eastAsia="zh-CN"/>
        </w:rPr>
        <w:t>方案编制</w:t>
      </w:r>
      <w:r>
        <w:rPr>
          <w:rFonts w:hint="eastAsia" w:ascii="黑体" w:hAnsi="宋体" w:eastAsia="黑体"/>
          <w:b/>
          <w:color w:val="auto"/>
          <w:sz w:val="48"/>
          <w:szCs w:val="48"/>
          <w:highlight w:val="none"/>
        </w:rPr>
        <w:t>合同</w:t>
      </w:r>
    </w:p>
    <w:p w14:paraId="632D8CFE">
      <w:pPr>
        <w:jc w:val="center"/>
        <w:rPr>
          <w:rFonts w:hint="eastAsia" w:ascii="宋体" w:hAnsi="宋体" w:cs="宋体"/>
          <w:bCs/>
          <w:color w:val="auto"/>
          <w:sz w:val="44"/>
          <w:highlight w:val="none"/>
        </w:rPr>
      </w:pPr>
    </w:p>
    <w:p w14:paraId="6A23CC71">
      <w:pPr>
        <w:jc w:val="center"/>
        <w:rPr>
          <w:rFonts w:hint="eastAsia" w:ascii="黑体" w:hAnsi="宋体" w:eastAsia="黑体"/>
          <w:b/>
          <w:color w:val="auto"/>
          <w:sz w:val="44"/>
          <w:highlight w:val="none"/>
        </w:rPr>
      </w:pPr>
    </w:p>
    <w:p w14:paraId="5FB912E1">
      <w:pPr>
        <w:jc w:val="center"/>
        <w:rPr>
          <w:rFonts w:hint="eastAsia" w:ascii="黑体" w:hAnsi="宋体" w:eastAsia="黑体"/>
          <w:b/>
          <w:color w:val="auto"/>
          <w:sz w:val="32"/>
          <w:highlight w:val="none"/>
        </w:rPr>
      </w:pPr>
    </w:p>
    <w:p w14:paraId="2A525DF6">
      <w:pPr>
        <w:jc w:val="center"/>
        <w:rPr>
          <w:rFonts w:hint="eastAsia" w:ascii="宋体" w:hAnsi="宋体"/>
          <w:b/>
          <w:color w:val="auto"/>
          <w:sz w:val="44"/>
          <w:highlight w:val="none"/>
        </w:rPr>
      </w:pPr>
    </w:p>
    <w:p w14:paraId="5ED0CC97">
      <w:pPr>
        <w:pStyle w:val="6"/>
        <w:rPr>
          <w:rFonts w:hint="eastAsia" w:ascii="宋体" w:hAnsi="宋体"/>
          <w:b/>
          <w:color w:val="auto"/>
          <w:sz w:val="44"/>
          <w:highlight w:val="none"/>
        </w:rPr>
      </w:pPr>
    </w:p>
    <w:p w14:paraId="09096AC3">
      <w:pPr>
        <w:pStyle w:val="6"/>
        <w:rPr>
          <w:rFonts w:hint="eastAsia" w:ascii="宋体" w:hAnsi="宋体"/>
          <w:b/>
          <w:color w:val="auto"/>
          <w:sz w:val="44"/>
          <w:highlight w:val="none"/>
        </w:rPr>
      </w:pPr>
    </w:p>
    <w:p w14:paraId="1388B032">
      <w:pPr>
        <w:spacing w:before="156" w:beforeLines="50" w:after="156" w:afterLines="50"/>
        <w:ind w:firstLine="904" w:firstLineChars="300"/>
        <w:rPr>
          <w:rFonts w:hint="default" w:ascii="宋体" w:hAnsi="宋体" w:eastAsia="宋体" w:cs="宋体"/>
          <w:b/>
          <w:bCs/>
          <w:color w:val="auto"/>
          <w:sz w:val="30"/>
          <w:szCs w:val="30"/>
          <w:highlight w:val="none"/>
          <w:u w:val="single"/>
          <w:lang w:val="en-US" w:eastAsia="zh-CN"/>
        </w:rPr>
      </w:pPr>
      <w:r>
        <w:rPr>
          <w:rFonts w:hint="eastAsia" w:ascii="宋体" w:hAnsi="宋体" w:cs="宋体"/>
          <w:b/>
          <w:bCs/>
          <w:color w:val="auto"/>
          <w:sz w:val="30"/>
          <w:szCs w:val="30"/>
          <w:highlight w:val="none"/>
        </w:rPr>
        <w:t>项目名称：</w:t>
      </w:r>
      <w:r>
        <w:rPr>
          <w:rFonts w:hint="eastAsia" w:ascii="宋体" w:hAnsi="宋体" w:cs="宋体"/>
          <w:b/>
          <w:bCs/>
          <w:color w:val="auto"/>
          <w:sz w:val="30"/>
          <w:szCs w:val="30"/>
          <w:highlight w:val="none"/>
          <w:lang w:val="en-US" w:eastAsia="zh-CN"/>
        </w:rPr>
        <w:t>招标限价编制阶段工程监测方案编制</w:t>
      </w:r>
    </w:p>
    <w:p w14:paraId="4400C0EB">
      <w:pPr>
        <w:spacing w:before="156" w:beforeLines="50" w:after="156" w:afterLines="50"/>
        <w:ind w:firstLine="888" w:firstLineChars="295"/>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发</w:t>
      </w:r>
      <w:r>
        <w:rPr>
          <w:rFonts w:hint="eastAsia" w:ascii="宋体" w:hAnsi="宋体" w:cs="宋体"/>
          <w:b/>
          <w:bCs/>
          <w:color w:val="auto"/>
          <w:sz w:val="30"/>
          <w:szCs w:val="30"/>
          <w:highlight w:val="none"/>
          <w:lang w:val="en-US" w:eastAsia="zh-CN"/>
        </w:rPr>
        <w:t xml:space="preserve"> </w:t>
      </w:r>
      <w:r>
        <w:rPr>
          <w:rFonts w:hint="eastAsia" w:ascii="宋体" w:hAnsi="宋体" w:cs="宋体"/>
          <w:b/>
          <w:bCs/>
          <w:color w:val="auto"/>
          <w:sz w:val="30"/>
          <w:szCs w:val="30"/>
          <w:highlight w:val="none"/>
        </w:rPr>
        <w:t>包</w:t>
      </w:r>
      <w:r>
        <w:rPr>
          <w:rFonts w:hint="eastAsia" w:ascii="宋体" w:hAnsi="宋体" w:cs="宋体"/>
          <w:b/>
          <w:bCs/>
          <w:color w:val="auto"/>
          <w:sz w:val="30"/>
          <w:szCs w:val="30"/>
          <w:highlight w:val="none"/>
          <w:lang w:val="en-US" w:eastAsia="zh-CN"/>
        </w:rPr>
        <w:t xml:space="preserve"> </w:t>
      </w:r>
      <w:r>
        <w:rPr>
          <w:rFonts w:hint="eastAsia" w:ascii="宋体" w:hAnsi="宋体" w:cs="宋体"/>
          <w:b/>
          <w:bCs/>
          <w:color w:val="auto"/>
          <w:sz w:val="30"/>
          <w:szCs w:val="30"/>
          <w:highlight w:val="none"/>
        </w:rPr>
        <w:t xml:space="preserve">人：  </w:t>
      </w:r>
    </w:p>
    <w:p w14:paraId="5FD754FF">
      <w:pPr>
        <w:spacing w:before="156" w:beforeLines="50" w:after="156" w:afterLines="50"/>
        <w:ind w:firstLine="888" w:firstLineChars="295"/>
        <w:rPr>
          <w:rFonts w:hint="default" w:ascii="宋体" w:hAnsi="宋体" w:eastAsia="宋体" w:cs="宋体"/>
          <w:b/>
          <w:bCs/>
          <w:color w:val="auto"/>
          <w:sz w:val="30"/>
          <w:szCs w:val="30"/>
          <w:highlight w:val="none"/>
          <w:u w:val="single"/>
          <w:lang w:val="en-US" w:eastAsia="zh-CN"/>
        </w:rPr>
      </w:pPr>
      <w:r>
        <w:rPr>
          <w:rFonts w:hint="eastAsia" w:ascii="宋体" w:hAnsi="宋体" w:cs="宋体"/>
          <w:b/>
          <w:bCs/>
          <w:color w:val="auto"/>
          <w:sz w:val="30"/>
          <w:szCs w:val="30"/>
          <w:highlight w:val="none"/>
          <w:lang w:eastAsia="zh-CN"/>
        </w:rPr>
        <w:t>承</w:t>
      </w:r>
      <w:r>
        <w:rPr>
          <w:rFonts w:hint="eastAsia" w:ascii="宋体" w:hAnsi="宋体" w:cs="宋体"/>
          <w:b/>
          <w:bCs/>
          <w:color w:val="auto"/>
          <w:sz w:val="30"/>
          <w:szCs w:val="30"/>
          <w:highlight w:val="none"/>
          <w:lang w:val="en-US" w:eastAsia="zh-CN"/>
        </w:rPr>
        <w:t xml:space="preserve"> </w:t>
      </w:r>
      <w:r>
        <w:rPr>
          <w:rFonts w:hint="eastAsia" w:ascii="宋体" w:hAnsi="宋体" w:cs="宋体"/>
          <w:b/>
          <w:bCs/>
          <w:color w:val="auto"/>
          <w:sz w:val="30"/>
          <w:szCs w:val="30"/>
          <w:highlight w:val="none"/>
        </w:rPr>
        <w:t>包</w:t>
      </w:r>
      <w:r>
        <w:rPr>
          <w:rFonts w:hint="eastAsia" w:ascii="宋体" w:hAnsi="宋体" w:cs="宋体"/>
          <w:b/>
          <w:bCs/>
          <w:color w:val="auto"/>
          <w:sz w:val="30"/>
          <w:szCs w:val="30"/>
          <w:highlight w:val="none"/>
          <w:lang w:val="en-US" w:eastAsia="zh-CN"/>
        </w:rPr>
        <w:t xml:space="preserve"> </w:t>
      </w:r>
      <w:r>
        <w:rPr>
          <w:rFonts w:hint="eastAsia" w:ascii="宋体" w:hAnsi="宋体" w:cs="宋体"/>
          <w:b/>
          <w:bCs/>
          <w:color w:val="auto"/>
          <w:sz w:val="30"/>
          <w:szCs w:val="30"/>
          <w:highlight w:val="none"/>
        </w:rPr>
        <w:t>人：</w:t>
      </w:r>
    </w:p>
    <w:p w14:paraId="075EE7D9">
      <w:pPr>
        <w:spacing w:before="156" w:beforeLines="50" w:after="156" w:afterLines="50"/>
        <w:ind w:firstLine="904" w:firstLineChars="300"/>
        <w:rPr>
          <w:rFonts w:hint="eastAsia" w:ascii="宋体" w:hAnsi="宋体" w:eastAsia="宋体" w:cs="宋体"/>
          <w:b/>
          <w:color w:val="auto"/>
          <w:sz w:val="30"/>
          <w:szCs w:val="30"/>
          <w:highlight w:val="none"/>
          <w:lang w:eastAsia="zh-CN"/>
        </w:rPr>
      </w:pPr>
      <w:r>
        <w:rPr>
          <w:rFonts w:hint="eastAsia" w:ascii="宋体" w:hAnsi="宋体" w:cs="宋体"/>
          <w:b/>
          <w:bCs/>
          <w:color w:val="auto"/>
          <w:sz w:val="30"/>
          <w:szCs w:val="30"/>
          <w:highlight w:val="none"/>
        </w:rPr>
        <w:t>签订日期：</w:t>
      </w:r>
    </w:p>
    <w:p w14:paraId="3F64EF86">
      <w:pPr>
        <w:jc w:val="center"/>
        <w:rPr>
          <w:rFonts w:hint="eastAsia" w:ascii="宋体" w:hAnsi="宋体"/>
          <w:b/>
          <w:color w:val="auto"/>
          <w:sz w:val="44"/>
          <w:highlight w:val="none"/>
        </w:rPr>
      </w:pPr>
    </w:p>
    <w:p w14:paraId="619AC232">
      <w:pPr>
        <w:jc w:val="center"/>
        <w:rPr>
          <w:rFonts w:hint="eastAsia" w:ascii="宋体" w:hAnsi="宋体"/>
          <w:b/>
          <w:color w:val="auto"/>
          <w:sz w:val="44"/>
          <w:highlight w:val="none"/>
        </w:rPr>
      </w:pPr>
    </w:p>
    <w:p w14:paraId="562741F4">
      <w:pPr>
        <w:spacing w:line="360" w:lineRule="auto"/>
        <w:rPr>
          <w:rFonts w:hint="default" w:ascii="宋体" w:hAnsi="宋体" w:eastAsia="宋体" w:cs="宋体"/>
          <w:bCs/>
          <w:color w:val="auto"/>
          <w:sz w:val="24"/>
          <w:szCs w:val="24"/>
          <w:highlight w:val="none"/>
          <w:u w:val="single"/>
          <w:lang w:val="en-US" w:eastAsia="zh-CN"/>
        </w:rPr>
      </w:pPr>
      <w:r>
        <w:rPr>
          <w:rFonts w:ascii="宋体" w:hAnsi="宋体"/>
          <w:b/>
          <w:color w:val="auto"/>
          <w:sz w:val="44"/>
          <w:highlight w:val="none"/>
        </w:rPr>
        <w:br w:type="page"/>
      </w:r>
      <w:r>
        <w:rPr>
          <w:rFonts w:hint="eastAsia" w:ascii="宋体" w:hAnsi="宋体" w:cs="宋体"/>
          <w:b/>
          <w:color w:val="auto"/>
          <w:sz w:val="24"/>
          <w:szCs w:val="24"/>
          <w:highlight w:val="none"/>
          <w:lang w:eastAsia="zh-CN"/>
        </w:rPr>
        <w:t>发</w:t>
      </w:r>
      <w:r>
        <w:rPr>
          <w:rFonts w:hint="eastAsia" w:ascii="宋体" w:hAnsi="宋体" w:cs="宋体"/>
          <w:b/>
          <w:color w:val="auto"/>
          <w:sz w:val="24"/>
          <w:szCs w:val="24"/>
          <w:highlight w:val="none"/>
        </w:rPr>
        <w:t>包人（以下称甲方）：</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 xml:space="preserve">                                       </w:t>
      </w:r>
    </w:p>
    <w:p w14:paraId="77A90474">
      <w:pPr>
        <w:spacing w:line="360" w:lineRule="auto"/>
        <w:rPr>
          <w:rFonts w:hint="default" w:ascii="宋体" w:hAnsi="宋体" w:eastAsia="宋体" w:cs="宋体"/>
          <w:bCs/>
          <w:color w:val="auto"/>
          <w:sz w:val="24"/>
          <w:szCs w:val="24"/>
          <w:highlight w:val="none"/>
          <w:u w:val="single"/>
          <w:lang w:val="en-US" w:eastAsia="zh-CN"/>
        </w:rPr>
      </w:pPr>
      <w:r>
        <w:rPr>
          <w:rFonts w:hint="eastAsia" w:ascii="宋体" w:hAnsi="宋体" w:cs="宋体"/>
          <w:b/>
          <w:color w:val="auto"/>
          <w:sz w:val="24"/>
          <w:szCs w:val="24"/>
          <w:highlight w:val="none"/>
          <w:lang w:eastAsia="zh-CN"/>
        </w:rPr>
        <w:t>承</w:t>
      </w:r>
      <w:r>
        <w:rPr>
          <w:rFonts w:hint="eastAsia" w:ascii="宋体" w:hAnsi="宋体" w:cs="宋体"/>
          <w:b/>
          <w:color w:val="auto"/>
          <w:sz w:val="24"/>
          <w:szCs w:val="24"/>
          <w:highlight w:val="none"/>
        </w:rPr>
        <w:t>包人（以下称乙方）：</w:t>
      </w:r>
      <w:r>
        <w:rPr>
          <w:rFonts w:hint="eastAsia" w:ascii="宋体" w:hAnsi="宋体" w:cs="宋体"/>
          <w:b/>
          <w:color w:val="auto"/>
          <w:sz w:val="24"/>
          <w:szCs w:val="24"/>
          <w:highlight w:val="none"/>
          <w:u w:val="single"/>
          <w:lang w:val="en-US" w:eastAsia="zh-CN"/>
        </w:rPr>
        <w:t xml:space="preserve">                                        </w:t>
      </w:r>
      <w:r>
        <w:rPr>
          <w:rFonts w:hint="eastAsia" w:ascii="宋体" w:hAnsi="宋体" w:cs="宋体"/>
          <w:b/>
          <w:color w:val="auto"/>
          <w:sz w:val="24"/>
          <w:szCs w:val="24"/>
          <w:highlight w:val="none"/>
          <w:lang w:val="en-US" w:eastAsia="zh-CN"/>
        </w:rPr>
        <w:t xml:space="preserve">                </w:t>
      </w:r>
    </w:p>
    <w:p w14:paraId="1010764C">
      <w:pPr>
        <w:spacing w:before="156" w:beforeLines="5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依照中华人民共和国现行有关法律法规，遵循平等、自愿、公平、诚实信用的原则，甲乙双方就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招标限价编制阶段</w:t>
      </w:r>
      <w:r>
        <w:rPr>
          <w:rFonts w:hint="eastAsia" w:ascii="宋体" w:hAnsi="宋体" w:eastAsia="宋体" w:cs="宋体"/>
          <w:color w:val="auto"/>
          <w:sz w:val="24"/>
          <w:szCs w:val="24"/>
          <w:highlight w:val="none"/>
          <w:u w:val="single"/>
          <w:lang w:val="en-US" w:eastAsia="zh-CN"/>
        </w:rPr>
        <w:t>工程监测方案编制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事项达成一致意见，订立本合同。</w:t>
      </w:r>
    </w:p>
    <w:p w14:paraId="7D4A86D0">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rPr>
        <w:t>一、 乙方资质情况</w:t>
      </w:r>
    </w:p>
    <w:p w14:paraId="1C8EE409">
      <w:pPr>
        <w:spacing w:line="360" w:lineRule="auto"/>
        <w:ind w:firstLine="480" w:firstLineChars="200"/>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营业执照代码：</w:t>
      </w:r>
      <w:r>
        <w:rPr>
          <w:rFonts w:hint="eastAsia" w:ascii="宋体" w:hAnsi="宋体" w:cs="宋体"/>
          <w:color w:val="auto"/>
          <w:sz w:val="24"/>
          <w:szCs w:val="24"/>
          <w:highlight w:val="none"/>
          <w:u w:val="single"/>
          <w:lang w:val="en-US" w:eastAsia="zh-CN"/>
        </w:rPr>
        <w:t xml:space="preserve">                     </w:t>
      </w:r>
    </w:p>
    <w:p w14:paraId="6C31062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资质证书名称及编号：</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p>
    <w:p w14:paraId="7B93ED6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资质类别及等级：</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649DEA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有效期限：</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p>
    <w:p w14:paraId="2864D4AB">
      <w:pPr>
        <w:pStyle w:val="3"/>
        <w:spacing w:before="120" w:after="120"/>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rPr>
        <w:t>二、作业内容</w:t>
      </w:r>
    </w:p>
    <w:p w14:paraId="6C9C14E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乙方根据甲方要求和相关规范，编写招标限价编制阶段的《监测实施方案》，保证监测方案的科学性、合理性和实用性并通过审查。在各项目招标答疑阶段，提供书面答疑服务。在工程监测实施单位进场并编制监测实施方案后，对监测实施单位编制的监测方案提供审查意见。</w:t>
      </w:r>
    </w:p>
    <w:p w14:paraId="31BA34D1">
      <w:pPr>
        <w:widowControl/>
        <w:spacing w:line="360" w:lineRule="auto"/>
        <w:ind w:left="60" w:firstLine="480" w:firstLineChars="200"/>
        <w:jc w:val="left"/>
        <w:rPr>
          <w:color w:val="auto"/>
          <w:highlight w:val="none"/>
        </w:rPr>
      </w:pPr>
      <w:r>
        <w:rPr>
          <w:rFonts w:hint="eastAsia" w:ascii="宋体" w:hAnsi="宋体" w:cs="宋体"/>
          <w:color w:val="auto"/>
          <w:sz w:val="24"/>
          <w:szCs w:val="24"/>
          <w:highlight w:val="none"/>
        </w:rPr>
        <w:t>甲方委托乙方在合同期内承担</w:t>
      </w:r>
      <w:r>
        <w:rPr>
          <w:rFonts w:hint="eastAsia" w:ascii="宋体" w:hAnsi="宋体" w:cs="宋体"/>
          <w:color w:val="auto"/>
          <w:sz w:val="24"/>
          <w:szCs w:val="24"/>
          <w:highlight w:val="none"/>
          <w:lang w:val="en-US" w:eastAsia="zh-CN"/>
        </w:rPr>
        <w:t>招标限价编制阶段</w:t>
      </w:r>
      <w:r>
        <w:rPr>
          <w:rFonts w:hint="eastAsia" w:ascii="宋体" w:hAnsi="宋体" w:eastAsia="宋体" w:cs="宋体"/>
          <w:color w:val="auto"/>
          <w:sz w:val="24"/>
          <w:szCs w:val="24"/>
          <w:highlight w:val="none"/>
          <w:u w:val="single"/>
          <w:lang w:val="en-US" w:eastAsia="zh-CN"/>
        </w:rPr>
        <w:t>工程监测方案编制</w:t>
      </w:r>
      <w:r>
        <w:rPr>
          <w:rFonts w:hint="eastAsia" w:ascii="宋体" w:hAnsi="宋体" w:cs="宋体"/>
          <w:color w:val="auto"/>
          <w:sz w:val="24"/>
          <w:szCs w:val="24"/>
          <w:highlight w:val="none"/>
        </w:rPr>
        <w:t>，具体项目以甲方的</w:t>
      </w:r>
      <w:r>
        <w:rPr>
          <w:rFonts w:hint="eastAsia" w:ascii="宋体" w:hAnsi="宋体" w:cs="宋体"/>
          <w:color w:val="auto"/>
          <w:sz w:val="24"/>
          <w:szCs w:val="24"/>
          <w:highlight w:val="none"/>
          <w:lang w:val="en-US" w:eastAsia="zh-CN"/>
        </w:rPr>
        <w:t>书面</w:t>
      </w:r>
      <w:r>
        <w:rPr>
          <w:rFonts w:hint="eastAsia" w:ascii="宋体" w:hAnsi="宋体" w:cs="宋体"/>
          <w:color w:val="auto"/>
          <w:sz w:val="24"/>
          <w:szCs w:val="24"/>
          <w:highlight w:val="none"/>
        </w:rPr>
        <w:t>通知为准，乙方的工作内容：</w:t>
      </w:r>
      <w:r>
        <w:rPr>
          <w:rFonts w:hint="eastAsia" w:ascii="宋体" w:hAnsi="宋体" w:eastAsia="宋体" w:cs="宋体"/>
          <w:color w:val="auto"/>
          <w:sz w:val="24"/>
          <w:szCs w:val="24"/>
          <w:highlight w:val="none"/>
          <w:u w:val="single"/>
          <w:lang w:val="en-US" w:eastAsia="zh-CN"/>
        </w:rPr>
        <w:t>工程监测方案编制</w:t>
      </w:r>
      <w:r>
        <w:rPr>
          <w:rFonts w:hint="eastAsia" w:ascii="宋体" w:hAnsi="宋体" w:cs="宋体"/>
          <w:color w:val="auto"/>
          <w:sz w:val="24"/>
          <w:szCs w:val="24"/>
          <w:highlight w:val="none"/>
          <w:u w:val="single"/>
          <w:lang w:val="en-US" w:eastAsia="zh-CN"/>
        </w:rPr>
        <w:t>及审核</w:t>
      </w:r>
      <w:r>
        <w:rPr>
          <w:rFonts w:hint="eastAsia" w:ascii="宋体" w:hAnsi="宋体" w:cs="宋体"/>
          <w:color w:val="auto"/>
          <w:sz w:val="24"/>
          <w:szCs w:val="24"/>
          <w:highlight w:val="none"/>
          <w:u w:val="single"/>
        </w:rPr>
        <w:t xml:space="preserve">相关工作 </w:t>
      </w:r>
      <w:r>
        <w:rPr>
          <w:rFonts w:hint="eastAsia" w:ascii="宋体" w:hAnsi="宋体" w:cs="宋体"/>
          <w:color w:val="auto"/>
          <w:sz w:val="24"/>
          <w:szCs w:val="24"/>
          <w:highlight w:val="none"/>
        </w:rPr>
        <w:t>。</w:t>
      </w:r>
    </w:p>
    <w:p w14:paraId="3605956C">
      <w:pPr>
        <w:keepNext w:val="0"/>
        <w:keepLines w:val="0"/>
        <w:pageBreakBefore w:val="0"/>
        <w:shd w:val="clear" w:color="auto" w:fill="auto"/>
        <w:kinsoku/>
        <w:overflowPunct/>
        <w:topLinePunct w:val="0"/>
        <w:autoSpaceDE/>
        <w:autoSpaceDN/>
        <w:bidi w:val="0"/>
        <w:adjustRightInd/>
        <w:snapToGrid/>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工作量：</w:t>
      </w:r>
      <w:r>
        <w:rPr>
          <w:rFonts w:hint="eastAsia" w:ascii="宋体" w:hAnsi="宋体" w:cs="宋体"/>
          <w:color w:val="auto"/>
          <w:sz w:val="24"/>
          <w:szCs w:val="24"/>
          <w:highlight w:val="none"/>
          <w:u w:val="single"/>
        </w:rPr>
        <w:t>依据具体工程项目</w:t>
      </w:r>
      <w:r>
        <w:rPr>
          <w:rFonts w:hint="eastAsia" w:ascii="宋体" w:hAnsi="宋体" w:cs="宋体"/>
          <w:color w:val="auto"/>
          <w:sz w:val="24"/>
          <w:szCs w:val="24"/>
          <w:highlight w:val="none"/>
          <w:u w:val="single"/>
          <w:lang w:val="en-US" w:eastAsia="zh-CN"/>
        </w:rPr>
        <w:t>设计施工图</w:t>
      </w:r>
      <w:r>
        <w:rPr>
          <w:rFonts w:hint="eastAsia" w:ascii="宋体" w:hAnsi="宋体" w:cs="宋体"/>
          <w:color w:val="auto"/>
          <w:sz w:val="24"/>
          <w:szCs w:val="24"/>
          <w:highlight w:val="none"/>
          <w:u w:val="single"/>
        </w:rPr>
        <w:t>确定。</w:t>
      </w:r>
    </w:p>
    <w:p w14:paraId="739D2E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u w:val="none"/>
          <w:lang w:val="en-US" w:eastAsia="zh-CN"/>
        </w:rPr>
        <w:t>监测</w:t>
      </w:r>
      <w:r>
        <w:rPr>
          <w:rFonts w:hint="eastAsia" w:ascii="宋体" w:hAnsi="宋体" w:cs="宋体"/>
          <w:color w:val="auto"/>
          <w:sz w:val="24"/>
          <w:szCs w:val="24"/>
          <w:highlight w:val="none"/>
          <w:u w:val="none"/>
          <w:lang w:val="en-US" w:eastAsia="zh-CN"/>
        </w:rPr>
        <w:t>方案编制期</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起算时间以</w:t>
      </w:r>
      <w:r>
        <w:rPr>
          <w:rFonts w:hint="eastAsia" w:ascii="宋体" w:hAnsi="宋体" w:cs="宋体"/>
          <w:color w:val="auto"/>
          <w:sz w:val="24"/>
          <w:szCs w:val="24"/>
          <w:highlight w:val="none"/>
          <w:lang w:val="en-US" w:eastAsia="zh-CN"/>
        </w:rPr>
        <w:t>甲方发布编制任务时间开始，不超过30天</w:t>
      </w:r>
      <w:r>
        <w:rPr>
          <w:rFonts w:hint="eastAsia" w:ascii="宋体" w:hAnsi="宋体" w:eastAsia="宋体" w:cs="宋体"/>
          <w:color w:val="auto"/>
          <w:sz w:val="24"/>
          <w:szCs w:val="24"/>
          <w:highlight w:val="none"/>
          <w:lang w:val="en-US" w:eastAsia="zh-CN"/>
        </w:rPr>
        <w:t>。</w:t>
      </w:r>
    </w:p>
    <w:p w14:paraId="3D5B95CA">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rPr>
        <w:t>三、合同期限</w:t>
      </w:r>
    </w:p>
    <w:p w14:paraId="21A00238">
      <w:pPr>
        <w:spacing w:line="360" w:lineRule="auto"/>
        <w:ind w:firstLine="480" w:firstLineChars="200"/>
        <w:rPr>
          <w:rFonts w:hint="eastAsia" w:ascii="宋体" w:hAnsi="宋体" w:cs="宋体"/>
          <w:color w:val="auto"/>
          <w:sz w:val="24"/>
          <w:szCs w:val="24"/>
          <w:highlight w:val="none"/>
          <w:shd w:val="clear" w:color="auto" w:fill="auto"/>
        </w:rPr>
      </w:pPr>
      <w:r>
        <w:rPr>
          <w:rFonts w:hint="eastAsia" w:ascii="宋体" w:hAnsi="宋体" w:cs="宋体"/>
          <w:color w:val="auto"/>
          <w:sz w:val="24"/>
          <w:szCs w:val="24"/>
          <w:highlight w:val="none"/>
          <w:u w:val="single"/>
          <w:shd w:val="clear" w:color="auto" w:fill="auto"/>
          <w:lang w:val="en-US" w:eastAsia="zh-CN"/>
        </w:rPr>
        <w:t>合同期自合同签订之日起，至甲方书面确定需实施完成的工作项目完成</w:t>
      </w:r>
      <w:r>
        <w:rPr>
          <w:rFonts w:hint="eastAsia" w:ascii="宋体" w:hAnsi="宋体" w:cs="宋体"/>
          <w:color w:val="auto"/>
          <w:sz w:val="24"/>
          <w:szCs w:val="24"/>
          <w:highlight w:val="none"/>
          <w:shd w:val="clear" w:color="auto" w:fill="auto"/>
        </w:rPr>
        <w:t>止</w:t>
      </w:r>
      <w:r>
        <w:rPr>
          <w:rFonts w:hint="eastAsia" w:ascii="宋体" w:hAnsi="宋体" w:cs="宋体"/>
          <w:color w:val="auto"/>
          <w:sz w:val="24"/>
          <w:highlight w:val="none"/>
          <w:shd w:val="clear" w:color="auto" w:fill="auto"/>
        </w:rPr>
        <w:t>。</w:t>
      </w:r>
    </w:p>
    <w:p w14:paraId="15007F50">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rPr>
        <w:t>四、技术要求和质量标准</w:t>
      </w:r>
    </w:p>
    <w:p w14:paraId="67B19063">
      <w:pPr>
        <w:widowControl/>
        <w:spacing w:line="360" w:lineRule="auto"/>
        <w:ind w:left="6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监测实施方案符合国家标准和相关行业要求。监测工作应符合国家和地方相关技术标准、规范、规程</w:t>
      </w:r>
      <w:r>
        <w:rPr>
          <w:rFonts w:hint="eastAsia" w:ascii="宋体" w:hAnsi="宋体" w:eastAsia="宋体" w:cs="宋体"/>
          <w:color w:val="auto"/>
          <w:sz w:val="24"/>
          <w:szCs w:val="24"/>
          <w:highlight w:val="none"/>
          <w:u w:val="none"/>
          <w:lang w:val="en-US" w:eastAsia="zh-CN"/>
        </w:rPr>
        <w:t>及施工设计图相关</w:t>
      </w:r>
      <w:r>
        <w:rPr>
          <w:rFonts w:hint="eastAsia" w:ascii="宋体" w:hAnsi="宋体" w:eastAsia="宋体" w:cs="宋体"/>
          <w:color w:val="auto"/>
          <w:sz w:val="24"/>
          <w:szCs w:val="24"/>
          <w:highlight w:val="none"/>
          <w:u w:val="none"/>
        </w:rPr>
        <w:t>要求，</w:t>
      </w:r>
      <w:r>
        <w:rPr>
          <w:rFonts w:hint="eastAsia" w:ascii="宋体" w:hAnsi="宋体" w:cs="宋体"/>
          <w:color w:val="auto"/>
          <w:sz w:val="24"/>
          <w:szCs w:val="24"/>
          <w:highlight w:val="none"/>
          <w:u w:val="none"/>
          <w:lang w:eastAsia="zh-CN"/>
        </w:rPr>
        <w:t>布置的监测点位及数量</w:t>
      </w:r>
      <w:r>
        <w:rPr>
          <w:rFonts w:hint="eastAsia" w:ascii="宋体" w:hAnsi="宋体" w:eastAsia="宋体" w:cs="宋体"/>
          <w:color w:val="auto"/>
          <w:sz w:val="24"/>
          <w:szCs w:val="24"/>
          <w:highlight w:val="none"/>
          <w:u w:val="none"/>
        </w:rPr>
        <w:t>能准确反映变形趋势，</w:t>
      </w:r>
      <w:r>
        <w:rPr>
          <w:rFonts w:hint="eastAsia" w:ascii="宋体" w:hAnsi="宋体" w:cs="宋体"/>
          <w:color w:val="auto"/>
          <w:sz w:val="24"/>
          <w:szCs w:val="24"/>
          <w:highlight w:val="none"/>
          <w:u w:val="none"/>
          <w:lang w:eastAsia="zh-CN"/>
        </w:rPr>
        <w:t>方便监测单位布点及后期监测，如监测项目达到一定规模或涉及重要线路构筑物，还需通过专家评审，所涉及专家评审费，综合考虑在方案编制费用内。</w:t>
      </w:r>
    </w:p>
    <w:p w14:paraId="571765AC">
      <w:pPr>
        <w:widowControl/>
        <w:spacing w:line="360" w:lineRule="auto"/>
        <w:ind w:left="6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技术要求</w:t>
      </w:r>
    </w:p>
    <w:p w14:paraId="54BB4F64">
      <w:pPr>
        <w:widowControl/>
        <w:spacing w:line="360" w:lineRule="auto"/>
        <w:ind w:left="6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严格执行以下规范：</w:t>
      </w:r>
    </w:p>
    <w:p w14:paraId="1CF0B461">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《建筑变形测量规范》（JGJ 8-2016）</w:t>
      </w:r>
    </w:p>
    <w:p w14:paraId="4CAC306C">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《工程测量通用规范》（GB 55018-2021）</w:t>
      </w:r>
    </w:p>
    <w:p w14:paraId="41FC77F7">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《建筑地基基础设计规范》（GB 50007-2011）</w:t>
      </w:r>
    </w:p>
    <w:p w14:paraId="532AECE3">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《建筑边坡工程技术规范》（GB 50330-2013）</w:t>
      </w:r>
    </w:p>
    <w:p w14:paraId="546339EB">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城市轨道交通工程监测技术规范</w:t>
      </w:r>
      <w:r>
        <w:rPr>
          <w:rFonts w:hint="eastAsia" w:ascii="宋体" w:hAnsi="宋体" w:eastAsia="宋体" w:cs="宋体"/>
          <w:color w:val="auto"/>
          <w:sz w:val="24"/>
          <w:szCs w:val="24"/>
          <w:highlight w:val="none"/>
          <w:lang w:eastAsia="zh-CN"/>
        </w:rPr>
        <w:t>》（GB 50911-2013）</w:t>
      </w:r>
    </w:p>
    <w:p w14:paraId="7F0217B9">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《城市轨道交通结构检测监测技术标准》（DBJ50/T271-2017）</w:t>
      </w:r>
    </w:p>
    <w:p w14:paraId="306DC43F">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城市轨道交通结构安全保护技术规范》(CJJ/T202-2013</w:t>
      </w:r>
      <w:r>
        <w:rPr>
          <w:rFonts w:hint="eastAsia" w:ascii="宋体" w:hAnsi="宋体" w:eastAsia="宋体" w:cs="宋体"/>
          <w:color w:val="auto"/>
          <w:sz w:val="24"/>
          <w:szCs w:val="24"/>
          <w:highlight w:val="none"/>
          <w:lang w:eastAsia="zh-CN"/>
        </w:rPr>
        <w:t>）</w:t>
      </w:r>
    </w:p>
    <w:p w14:paraId="26564D3C">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《建筑基坑支护技术规程》（JGJ 120）</w:t>
      </w:r>
    </w:p>
    <w:p w14:paraId="06355629">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《水利水电工程变形监测规范》（SL 52-2015）</w:t>
      </w:r>
    </w:p>
    <w:p w14:paraId="35846A93">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《民用建筑设计通则》（GB 50352-2005）</w:t>
      </w:r>
    </w:p>
    <w:p w14:paraId="465F3949">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工程测量标准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GB 50026-2020</w:t>
      </w:r>
      <w:r>
        <w:rPr>
          <w:rFonts w:hint="eastAsia" w:ascii="宋体" w:hAnsi="宋体" w:eastAsia="宋体" w:cs="宋体"/>
          <w:color w:val="auto"/>
          <w:sz w:val="24"/>
          <w:szCs w:val="24"/>
          <w:highlight w:val="none"/>
          <w:lang w:eastAsia="zh-CN"/>
        </w:rPr>
        <w:t>）</w:t>
      </w:r>
    </w:p>
    <w:p w14:paraId="6DA5024E">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《建筑基坑工程监测技术标准》（GB 50497-2019 ）</w:t>
      </w:r>
    </w:p>
    <w:p w14:paraId="0CA154AF">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《国家一、二等水准测量规范》（GB</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T 12897-2006 ）</w:t>
      </w:r>
    </w:p>
    <w:p w14:paraId="140A07B1">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《建筑地基基础设计</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lang w:eastAsia="zh-CN"/>
        </w:rPr>
        <w:t>》（DBJ50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T 047-2024）</w:t>
      </w:r>
    </w:p>
    <w:p w14:paraId="23DEE06A">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《建筑边坡工程监测技术标准》（DBJ50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445-2023 ）</w:t>
      </w:r>
    </w:p>
    <w:p w14:paraId="22DC7E53">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重庆市轨道交通条例</w:t>
      </w:r>
      <w:r>
        <w:rPr>
          <w:rFonts w:hint="eastAsia" w:ascii="宋体" w:hAnsi="宋体" w:eastAsia="宋体" w:cs="宋体"/>
          <w:color w:val="auto"/>
          <w:sz w:val="24"/>
          <w:szCs w:val="24"/>
          <w:highlight w:val="none"/>
          <w:lang w:eastAsia="zh-CN"/>
        </w:rPr>
        <w:t>》</w:t>
      </w:r>
    </w:p>
    <w:p w14:paraId="167371ED">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《重庆市轨道交通控制保护区管理办法》</w:t>
      </w:r>
    </w:p>
    <w:p w14:paraId="0C4AF434">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重庆市轨道交通第三方监测管理暂行办法</w:t>
      </w:r>
      <w:r>
        <w:rPr>
          <w:rFonts w:hint="eastAsia" w:ascii="宋体" w:hAnsi="宋体" w:eastAsia="宋体" w:cs="宋体"/>
          <w:color w:val="auto"/>
          <w:sz w:val="24"/>
          <w:szCs w:val="24"/>
          <w:highlight w:val="none"/>
          <w:lang w:eastAsia="zh-CN"/>
        </w:rPr>
        <w:t>》</w:t>
      </w:r>
    </w:p>
    <w:p w14:paraId="4916ED10">
      <w:pPr>
        <w:pStyle w:val="23"/>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《城市轨道交通工程安全质量管理暂行办法》（建质[2010]5 号）</w:t>
      </w:r>
    </w:p>
    <w:p w14:paraId="19A0982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乙方应结合甲方提供的相关技术资料，根据监测技术要求，结合施工工法、风险评估报告及周边环境实际情况，按照国家相关技术规范、标准编制监测方案并报送甲方直至通过。</w:t>
      </w:r>
    </w:p>
    <w:p w14:paraId="5BCAAA1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none"/>
          <w:lang w:val="en-US" w:eastAsia="zh-CN"/>
        </w:rPr>
        <w:t>第三方监测方案应包含工程概况、风险识别及分析、目的依据、监测管理体系、监测对象、监测项目、测点布置、监测方法及精度、监测频率、监测周期、监测预警、成果处理、信息反馈、监测人员及设备、质量安全管理等内容，监测内容章节中应有现场巡查重要部位的详细列表，对重大风险点应有专门章节对其测点布置及监测方法进行设计。监测工程量及监测费用估算表。</w:t>
      </w:r>
    </w:p>
    <w:p w14:paraId="4453545B">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rPr>
        <w:t>五、甲方的权利和义务</w:t>
      </w:r>
    </w:p>
    <w:p w14:paraId="62100E43">
      <w:pPr>
        <w:widowControl/>
        <w:spacing w:line="360" w:lineRule="auto"/>
        <w:ind w:left="6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1.以书面形式下达项目委托任务书，并提供设计文件及相关资料，</w:t>
      </w:r>
    </w:p>
    <w:p w14:paraId="45FD9124">
      <w:pPr>
        <w:widowControl/>
        <w:spacing w:line="360" w:lineRule="auto"/>
        <w:ind w:left="6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rPr>
        <w:t>配合乙方解决合同履行期间的有关问题。</w:t>
      </w:r>
    </w:p>
    <w:p w14:paraId="6FE4446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3.按合同约定支付监测</w:t>
      </w:r>
      <w:r>
        <w:rPr>
          <w:rFonts w:hint="eastAsia" w:ascii="宋体" w:hAnsi="宋体" w:cs="宋体"/>
          <w:color w:val="auto"/>
          <w:sz w:val="24"/>
          <w:szCs w:val="24"/>
          <w:highlight w:val="none"/>
          <w:u w:val="none"/>
          <w:lang w:val="en-US" w:eastAsia="zh-CN"/>
        </w:rPr>
        <w:t>方案编制</w:t>
      </w:r>
      <w:r>
        <w:rPr>
          <w:rFonts w:hint="eastAsia" w:ascii="宋体" w:hAnsi="宋体" w:eastAsia="宋体" w:cs="宋体"/>
          <w:color w:val="auto"/>
          <w:sz w:val="24"/>
          <w:szCs w:val="24"/>
          <w:highlight w:val="none"/>
          <w:u w:val="none"/>
          <w:lang w:val="en-US" w:eastAsia="zh-CN"/>
        </w:rPr>
        <w:t>费。</w:t>
      </w:r>
    </w:p>
    <w:p w14:paraId="0C7C674C">
      <w:pPr>
        <w:pStyle w:val="3"/>
        <w:spacing w:before="120" w:after="12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六、乙方的权利和义务</w:t>
      </w:r>
    </w:p>
    <w:p w14:paraId="575D9DA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根据甲方要求和</w:t>
      </w:r>
      <w:r>
        <w:rPr>
          <w:rFonts w:hint="eastAsia" w:ascii="宋体" w:hAnsi="宋体" w:eastAsia="宋体" w:cs="宋体"/>
          <w:color w:val="auto"/>
          <w:sz w:val="24"/>
          <w:szCs w:val="24"/>
          <w:highlight w:val="none"/>
          <w:lang w:eastAsia="zh-CN"/>
        </w:rPr>
        <w:t>相</w:t>
      </w:r>
      <w:r>
        <w:rPr>
          <w:rFonts w:hint="eastAsia" w:ascii="宋体" w:hAnsi="宋体" w:eastAsia="宋体" w:cs="宋体"/>
          <w:color w:val="auto"/>
          <w:sz w:val="24"/>
          <w:szCs w:val="24"/>
          <w:highlight w:val="none"/>
        </w:rPr>
        <w:t>关规范，编写</w:t>
      </w:r>
      <w:r>
        <w:rPr>
          <w:rFonts w:hint="eastAsia" w:ascii="宋体" w:hAnsi="宋体" w:cs="宋体"/>
          <w:color w:val="auto"/>
          <w:sz w:val="24"/>
          <w:szCs w:val="24"/>
          <w:highlight w:val="none"/>
          <w:u w:val="single"/>
          <w:lang w:val="en-US" w:eastAsia="zh-CN"/>
        </w:rPr>
        <w:t>招标限价编制阶段的</w:t>
      </w:r>
      <w:r>
        <w:rPr>
          <w:rFonts w:hint="eastAsia" w:ascii="宋体" w:hAnsi="宋体" w:eastAsia="宋体" w:cs="宋体"/>
          <w:color w:val="auto"/>
          <w:sz w:val="24"/>
          <w:szCs w:val="24"/>
          <w:highlight w:val="none"/>
        </w:rPr>
        <w:t>《监测实施方案》，保证监测方案的科学性、合理性和实用性</w:t>
      </w:r>
      <w:r>
        <w:rPr>
          <w:rFonts w:hint="eastAsia" w:ascii="宋体" w:hAnsi="宋体" w:eastAsia="宋体" w:cs="宋体"/>
          <w:color w:val="auto"/>
          <w:sz w:val="24"/>
          <w:szCs w:val="24"/>
          <w:highlight w:val="none"/>
          <w:lang w:eastAsia="zh-CN"/>
        </w:rPr>
        <w:t>并通过审查。</w:t>
      </w:r>
      <w:r>
        <w:rPr>
          <w:rFonts w:hint="eastAsia" w:ascii="宋体" w:hAnsi="宋体" w:eastAsia="宋体" w:cs="宋体"/>
          <w:i w:val="0"/>
          <w:iCs w:val="0"/>
          <w:caps w:val="0"/>
          <w:color w:val="auto"/>
          <w:spacing w:val="0"/>
          <w:sz w:val="24"/>
          <w:szCs w:val="24"/>
          <w:highlight w:val="none"/>
          <w:shd w:val="clear" w:color="auto" w:fill="FFFFFF"/>
        </w:rPr>
        <w:t>在招标答疑阶段，提供书面答疑服务。</w:t>
      </w:r>
    </w:p>
    <w:p w14:paraId="0DB1EBD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2.乙方应按国家和地方相关技术规范、规程和标准要求编制监测方案，确保监测方案通过评审，乙方应于收到编制任务书后30天内提交通过评审</w:t>
      </w:r>
      <w:r>
        <w:rPr>
          <w:rFonts w:hint="eastAsia" w:ascii="宋体" w:hAnsi="宋体" w:cs="宋体"/>
          <w:color w:val="auto"/>
          <w:sz w:val="24"/>
          <w:szCs w:val="24"/>
          <w:highlight w:val="none"/>
          <w:u w:val="none"/>
          <w:lang w:val="en-US" w:eastAsia="zh-CN"/>
        </w:rPr>
        <w:t>（若需要）</w:t>
      </w:r>
      <w:r>
        <w:rPr>
          <w:rFonts w:hint="eastAsia" w:ascii="宋体" w:hAnsi="宋体" w:eastAsia="宋体" w:cs="宋体"/>
          <w:color w:val="auto"/>
          <w:sz w:val="24"/>
          <w:szCs w:val="24"/>
          <w:highlight w:val="none"/>
          <w:u w:val="none"/>
          <w:lang w:val="en-US" w:eastAsia="zh-CN"/>
        </w:rPr>
        <w:t>的监测方案，乙方应向甲方提供两份相同内容的监测方案。</w:t>
      </w:r>
    </w:p>
    <w:p w14:paraId="08DD705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3.本合同有关条款规定和补充协议中乙方应负的其它责任。</w:t>
      </w:r>
    </w:p>
    <w:p w14:paraId="76509BF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4.乙方不能参与编制项目监测方案对应项目后续</w:t>
      </w:r>
      <w:r>
        <w:rPr>
          <w:rFonts w:hint="eastAsia" w:ascii="宋体" w:hAnsi="宋体" w:cs="宋体"/>
          <w:color w:val="auto"/>
          <w:sz w:val="24"/>
          <w:szCs w:val="24"/>
          <w:highlight w:val="none"/>
          <w:u w:val="none"/>
          <w:lang w:val="en-US" w:eastAsia="zh-CN"/>
        </w:rPr>
        <w:t>第三方</w:t>
      </w:r>
      <w:r>
        <w:rPr>
          <w:rFonts w:hint="eastAsia" w:ascii="宋体" w:hAnsi="宋体" w:eastAsia="宋体" w:cs="宋体"/>
          <w:color w:val="auto"/>
          <w:sz w:val="24"/>
          <w:szCs w:val="24"/>
          <w:highlight w:val="none"/>
          <w:u w:val="none"/>
          <w:lang w:val="en-US" w:eastAsia="zh-CN"/>
        </w:rPr>
        <w:t>监测投标工作或承担对应项目第三方监测工作。</w:t>
      </w:r>
    </w:p>
    <w:p w14:paraId="428D1E8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5.如甲方对已提交方案有修改要求，乙方无条件配合及不再另计费用。</w:t>
      </w:r>
    </w:p>
    <w:p w14:paraId="5C155B8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6.提供监测工程量及监测费用估算表。</w:t>
      </w:r>
    </w:p>
    <w:p w14:paraId="4F112D7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7.</w:t>
      </w:r>
      <w:r>
        <w:rPr>
          <w:rFonts w:hint="eastAsia" w:ascii="宋体" w:hAnsi="宋体" w:cs="宋体"/>
          <w:color w:val="auto"/>
          <w:sz w:val="24"/>
          <w:szCs w:val="24"/>
          <w:highlight w:val="none"/>
          <w:u w:val="none"/>
          <w:lang w:val="en-US" w:eastAsia="zh-CN"/>
        </w:rPr>
        <w:t>工程</w:t>
      </w:r>
      <w:r>
        <w:rPr>
          <w:rFonts w:hint="eastAsia" w:ascii="宋体" w:hAnsi="宋体" w:eastAsia="宋体" w:cs="宋体"/>
          <w:color w:val="auto"/>
          <w:sz w:val="24"/>
          <w:szCs w:val="24"/>
          <w:highlight w:val="none"/>
          <w:u w:val="none"/>
          <w:lang w:val="en-US" w:eastAsia="zh-CN"/>
        </w:rPr>
        <w:t>监测实施单位进场并编制监测实施方案后，对</w:t>
      </w:r>
      <w:r>
        <w:rPr>
          <w:rFonts w:hint="eastAsia" w:ascii="宋体" w:hAnsi="宋体" w:cs="宋体"/>
          <w:color w:val="auto"/>
          <w:sz w:val="24"/>
          <w:szCs w:val="24"/>
          <w:highlight w:val="none"/>
          <w:u w:val="none"/>
          <w:lang w:val="en-US" w:eastAsia="zh-CN"/>
        </w:rPr>
        <w:t>工程</w:t>
      </w:r>
      <w:r>
        <w:rPr>
          <w:rFonts w:hint="eastAsia" w:ascii="宋体" w:hAnsi="宋体" w:eastAsia="宋体" w:cs="宋体"/>
          <w:color w:val="auto"/>
          <w:sz w:val="24"/>
          <w:szCs w:val="24"/>
          <w:highlight w:val="none"/>
          <w:u w:val="none"/>
          <w:lang w:val="en-US" w:eastAsia="zh-CN"/>
        </w:rPr>
        <w:t>监测实施单位编制的监测方案提供审查意见。</w:t>
      </w:r>
    </w:p>
    <w:p w14:paraId="1F865119">
      <w:pPr>
        <w:pStyle w:val="3"/>
        <w:spacing w:before="120" w:after="120"/>
        <w:rPr>
          <w:rFonts w:ascii="宋体" w:hAnsi="宋体" w:cs="宋体"/>
          <w:color w:val="auto"/>
          <w:sz w:val="24"/>
          <w:szCs w:val="24"/>
          <w:highlight w:val="none"/>
        </w:rPr>
      </w:pPr>
      <w:r>
        <w:rPr>
          <w:rFonts w:hint="eastAsia" w:ascii="宋体" w:hAnsi="宋体" w:cs="宋体"/>
          <w:color w:val="auto"/>
          <w:sz w:val="24"/>
          <w:szCs w:val="24"/>
          <w:highlight w:val="none"/>
        </w:rPr>
        <w:t>七、费用及结算</w:t>
      </w:r>
    </w:p>
    <w:p w14:paraId="77B7379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项目数量暂定5个项目，实际数量以合同期内编制任务书明示数量累计数为准。</w:t>
      </w:r>
      <w:r>
        <w:rPr>
          <w:rFonts w:hint="eastAsia" w:ascii="宋体" w:hAnsi="宋体" w:cs="宋体"/>
          <w:color w:val="auto"/>
          <w:sz w:val="24"/>
          <w:szCs w:val="24"/>
          <w:highlight w:val="none"/>
          <w:u w:val="none"/>
          <w:lang w:eastAsia="zh-CN"/>
        </w:rPr>
        <w:t>合</w:t>
      </w:r>
      <w:r>
        <w:rPr>
          <w:rFonts w:ascii="宋体" w:hAnsi="宋体" w:cs="宋体"/>
          <w:color w:val="auto"/>
          <w:sz w:val="24"/>
          <w:szCs w:val="24"/>
          <w:highlight w:val="none"/>
          <w:u w:val="none"/>
          <w:lang w:eastAsia="zh-CN"/>
        </w:rPr>
        <w:t>同</w:t>
      </w:r>
      <w:r>
        <w:rPr>
          <w:rFonts w:hint="eastAsia" w:ascii="宋体" w:hAnsi="宋体" w:cs="宋体"/>
          <w:color w:val="auto"/>
          <w:sz w:val="24"/>
          <w:szCs w:val="24"/>
          <w:highlight w:val="none"/>
          <w:u w:val="none"/>
          <w:lang w:val="en-US" w:eastAsia="zh-CN"/>
        </w:rPr>
        <w:t>费用暂定</w:t>
      </w:r>
      <w:r>
        <w:rPr>
          <w:rFonts w:hint="eastAsia" w:ascii="宋体" w:hAnsi="宋体" w:cs="宋体"/>
          <w:color w:val="auto"/>
          <w:sz w:val="24"/>
          <w:szCs w:val="24"/>
          <w:highlight w:val="none"/>
          <w:u w:val="single"/>
          <w:lang w:val="en-US" w:eastAsia="zh-CN"/>
        </w:rPr>
        <w:t>X0000</w:t>
      </w:r>
      <w:r>
        <w:rPr>
          <w:rFonts w:hint="eastAsia" w:ascii="宋体" w:hAnsi="宋体" w:cs="宋体"/>
          <w:color w:val="auto"/>
          <w:sz w:val="24"/>
          <w:szCs w:val="24"/>
          <w:highlight w:val="none"/>
          <w:u w:val="none"/>
          <w:lang w:val="en-US" w:eastAsia="zh-CN"/>
        </w:rPr>
        <w:t>元</w:t>
      </w:r>
      <w:r>
        <w:rPr>
          <w:rFonts w:hint="eastAsia" w:ascii="宋体" w:hAnsi="宋体" w:eastAsia="宋体" w:cs="宋体"/>
          <w:color w:val="auto"/>
          <w:sz w:val="24"/>
          <w:szCs w:val="24"/>
          <w:highlight w:val="none"/>
          <w:u w:val="none"/>
          <w:lang w:val="en-US" w:eastAsia="zh-CN"/>
        </w:rPr>
        <w:t>，其中不含税金额为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cs="宋体"/>
          <w:color w:val="auto"/>
          <w:sz w:val="24"/>
          <w:szCs w:val="24"/>
          <w:highlight w:val="none"/>
          <w:u w:val="none"/>
          <w:lang w:val="en-US" w:eastAsia="zh-CN"/>
        </w:rPr>
        <w:t>大写：        整），税金为        元（大写：        整），增值税税率为：   %。</w:t>
      </w:r>
    </w:p>
    <w:p w14:paraId="4898628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cs="宋体"/>
          <w:color w:val="auto"/>
          <w:sz w:val="24"/>
          <w:szCs w:val="24"/>
          <w:highlight w:val="none"/>
          <w:u w:val="none"/>
          <w:lang w:val="en-US" w:eastAsia="zh-CN"/>
        </w:rPr>
        <w:t>各项目的监测方案编制费用采用固定价格，根据实际实施的项目按实结算。该报价包</w:t>
      </w:r>
      <w:r>
        <w:rPr>
          <w:rFonts w:hint="eastAsia" w:ascii="宋体" w:hAnsi="宋体" w:eastAsia="宋体" w:cs="宋体"/>
          <w:i w:val="0"/>
          <w:iCs w:val="0"/>
          <w:caps w:val="0"/>
          <w:color w:val="auto"/>
          <w:spacing w:val="0"/>
          <w:sz w:val="24"/>
          <w:szCs w:val="24"/>
          <w:highlight w:val="none"/>
          <w:shd w:val="clear" w:color="auto" w:fill="FFFFFF"/>
        </w:rPr>
        <w:t>含但不限于：人工费、技术方案编制费、数据分析费、预算制定费、专家聘请费、会议费、差旅费、税金及企业合理利润等。</w:t>
      </w:r>
    </w:p>
    <w:p w14:paraId="74C29F1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发包人除此以外不支付其它费用，除非合同中另有规定</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lang w:val="en-US" w:eastAsia="zh-CN"/>
        </w:rPr>
        <w:t>不进行价格调整。</w:t>
      </w:r>
    </w:p>
    <w:p w14:paraId="184DB91F">
      <w:pPr>
        <w:spacing w:line="42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结算原则：完成一个项目监测方案编制且该项目第三方监测招标工作结束发出中标通知书后，</w:t>
      </w:r>
      <w:r>
        <w:rPr>
          <w:rFonts w:hint="eastAsia" w:ascii="宋体" w:hAnsi="宋体" w:cs="宋体"/>
          <w:color w:val="auto"/>
          <w:sz w:val="24"/>
          <w:szCs w:val="24"/>
          <w:highlight w:val="none"/>
        </w:rPr>
        <w:t>双方在</w:t>
      </w:r>
      <w:r>
        <w:rPr>
          <w:rFonts w:hint="eastAsia" w:ascii="宋体" w:hAnsi="宋体" w:cs="宋体"/>
          <w:color w:val="auto"/>
          <w:sz w:val="24"/>
          <w:szCs w:val="24"/>
          <w:highlight w:val="none"/>
          <w:u w:val="single"/>
        </w:rPr>
        <w:t xml:space="preserve">14 </w:t>
      </w:r>
      <w:r>
        <w:rPr>
          <w:rFonts w:hint="eastAsia" w:ascii="宋体" w:hAnsi="宋体" w:cs="宋体"/>
          <w:color w:val="auto"/>
          <w:sz w:val="24"/>
          <w:szCs w:val="24"/>
          <w:highlight w:val="none"/>
        </w:rPr>
        <w:t>日内办理单个项目的结算。对未经甲方认可，超出工作范围或由于乙方原因造成返工的工作量，甲方不予计量。</w:t>
      </w:r>
      <w:r>
        <w:rPr>
          <w:rFonts w:hint="eastAsia" w:ascii="宋体" w:hAnsi="宋体" w:cs="宋体"/>
          <w:color w:val="auto"/>
          <w:sz w:val="24"/>
          <w:szCs w:val="24"/>
          <w:highlight w:val="none"/>
          <w:lang w:val="en-US" w:eastAsia="zh-CN"/>
        </w:rPr>
        <w:t>不同项目价格标准如下</w:t>
      </w:r>
    </w:p>
    <w:tbl>
      <w:tblPr>
        <w:tblStyle w:val="13"/>
        <w:tblW w:w="89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051"/>
        <w:gridCol w:w="5166"/>
        <w:gridCol w:w="1721"/>
      </w:tblGrid>
      <w:tr w14:paraId="7ED3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44" w:hRule="atLeast"/>
          <w:tblHeader/>
        </w:trPr>
        <w:tc>
          <w:tcPr>
            <w:tcW w:w="2051" w:type="dxa"/>
            <w:tcBorders>
              <w:top w:val="single" w:color="auto" w:sz="4" w:space="0"/>
              <w:left w:val="single" w:color="auto" w:sz="4" w:space="0"/>
              <w:right w:val="single" w:color="auto" w:sz="4" w:space="0"/>
            </w:tcBorders>
            <w:noWrap w:val="0"/>
            <w:tcMar>
              <w:top w:w="100" w:type="dxa"/>
              <w:left w:w="0" w:type="dxa"/>
              <w:bottom w:w="100" w:type="dxa"/>
              <w:right w:w="160" w:type="dxa"/>
            </w:tcMar>
            <w:vAlign w:val="center"/>
          </w:tcPr>
          <w:p w14:paraId="711E2F6E">
            <w:pPr>
              <w:keepNext w:val="0"/>
              <w:keepLines w:val="0"/>
              <w:widowControl/>
              <w:suppressLineNumbers w:val="0"/>
              <w:jc w:val="cente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项目名称</w:t>
            </w:r>
          </w:p>
        </w:tc>
        <w:tc>
          <w:tcPr>
            <w:tcW w:w="5166" w:type="dxa"/>
            <w:tcBorders>
              <w:top w:val="single" w:color="auto" w:sz="4" w:space="0"/>
              <w:left w:val="single" w:color="auto" w:sz="4" w:space="0"/>
              <w:right w:val="single" w:color="auto" w:sz="4" w:space="0"/>
            </w:tcBorders>
            <w:noWrap w:val="0"/>
            <w:tcMar>
              <w:top w:w="100" w:type="dxa"/>
              <w:left w:w="160" w:type="dxa"/>
              <w:bottom w:w="100" w:type="dxa"/>
              <w:right w:w="160" w:type="dxa"/>
            </w:tcMar>
            <w:vAlign w:val="center"/>
          </w:tcPr>
          <w:p w14:paraId="464671CC">
            <w:pPr>
              <w:keepNext w:val="0"/>
              <w:keepLines w:val="0"/>
              <w:widowControl/>
              <w:suppressLineNumbers w:val="0"/>
              <w:jc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报价（单位：元）</w:t>
            </w:r>
          </w:p>
        </w:tc>
        <w:tc>
          <w:tcPr>
            <w:tcW w:w="172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160" w:type="dxa"/>
              <w:bottom w:w="100" w:type="dxa"/>
              <w:right w:w="160" w:type="dxa"/>
            </w:tcMar>
            <w:vAlign w:val="center"/>
          </w:tcPr>
          <w:p w14:paraId="4FE953A3">
            <w:pPr>
              <w:keepNext w:val="0"/>
              <w:keepLines w:val="0"/>
              <w:widowControl/>
              <w:suppressLineNumbers w:val="0"/>
              <w:jc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备注</w:t>
            </w:r>
          </w:p>
        </w:tc>
      </w:tr>
      <w:tr w14:paraId="75C7D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8" w:hRule="atLeast"/>
        </w:trPr>
        <w:tc>
          <w:tcPr>
            <w:tcW w:w="205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6F578323">
            <w:pPr>
              <w:keepNext w:val="0"/>
              <w:keepLines w:val="0"/>
              <w:widowControl/>
              <w:suppressLineNumbers w:val="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大竹林项目</w:t>
            </w:r>
          </w:p>
        </w:tc>
        <w:tc>
          <w:tcPr>
            <w:tcW w:w="5166"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4B2E9B04">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1721"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61CA2076">
            <w:pPr>
              <w:keepNext w:val="0"/>
              <w:keepLines w:val="0"/>
              <w:widowControl/>
              <w:suppressLineNumbers w:val="0"/>
              <w:jc w:val="center"/>
              <w:rPr>
                <w:rFonts w:hint="default" w:ascii="宋体" w:hAnsi="宋体" w:eastAsia="宋体" w:cs="宋体"/>
                <w:color w:val="auto"/>
                <w:sz w:val="21"/>
                <w:szCs w:val="21"/>
                <w:highlight w:val="none"/>
                <w:lang w:val="en-US"/>
              </w:rPr>
            </w:pPr>
          </w:p>
        </w:tc>
      </w:tr>
      <w:tr w14:paraId="0582A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22" w:hRule="atLeast"/>
        </w:trPr>
        <w:tc>
          <w:tcPr>
            <w:tcW w:w="205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1A9BA692">
            <w:pPr>
              <w:keepNext w:val="0"/>
              <w:keepLines w:val="0"/>
              <w:widowControl/>
              <w:suppressLineNumbers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1"/>
                <w:szCs w:val="21"/>
                <w:highlight w:val="none"/>
              </w:rPr>
              <w:t>鸳鸯项目</w:t>
            </w:r>
          </w:p>
        </w:tc>
        <w:tc>
          <w:tcPr>
            <w:tcW w:w="5166"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7CA26974">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1721"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2743506D">
            <w:pPr>
              <w:keepNext w:val="0"/>
              <w:keepLines w:val="0"/>
              <w:widowControl/>
              <w:suppressLineNumbers w:val="0"/>
              <w:jc w:val="center"/>
              <w:rPr>
                <w:rFonts w:hint="default" w:ascii="宋体" w:hAnsi="宋体" w:eastAsia="宋体" w:cs="宋体"/>
                <w:color w:val="auto"/>
                <w:sz w:val="21"/>
                <w:szCs w:val="21"/>
                <w:highlight w:val="none"/>
                <w:lang w:val="en-US"/>
              </w:rPr>
            </w:pPr>
          </w:p>
        </w:tc>
      </w:tr>
      <w:tr w14:paraId="74D23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87" w:hRule="atLeast"/>
        </w:trPr>
        <w:tc>
          <w:tcPr>
            <w:tcW w:w="205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1BE96BEB">
            <w:pPr>
              <w:pStyle w:val="3"/>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七星岗项目</w:t>
            </w:r>
          </w:p>
        </w:tc>
        <w:tc>
          <w:tcPr>
            <w:tcW w:w="5166"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36F42AE4">
            <w:pPr>
              <w:keepNext w:val="0"/>
              <w:keepLines w:val="0"/>
              <w:widowControl/>
              <w:suppressLineNumbers w:val="0"/>
              <w:jc w:val="center"/>
              <w:rPr>
                <w:rFonts w:hint="default" w:ascii="宋体" w:hAnsi="宋体" w:eastAsia="宋体" w:cs="宋体"/>
                <w:color w:val="auto"/>
                <w:sz w:val="21"/>
                <w:szCs w:val="21"/>
                <w:highlight w:val="none"/>
                <w:lang w:val="en-US"/>
              </w:rPr>
            </w:pPr>
          </w:p>
        </w:tc>
        <w:tc>
          <w:tcPr>
            <w:tcW w:w="1721"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7D3543F7">
            <w:pPr>
              <w:keepNext w:val="0"/>
              <w:keepLines w:val="0"/>
              <w:widowControl/>
              <w:suppressLineNumbers w:val="0"/>
              <w:jc w:val="center"/>
              <w:rPr>
                <w:rFonts w:hint="default" w:ascii="宋体" w:hAnsi="宋体" w:eastAsia="宋体" w:cs="宋体"/>
                <w:color w:val="auto"/>
                <w:sz w:val="21"/>
                <w:szCs w:val="21"/>
                <w:highlight w:val="none"/>
                <w:lang w:val="en-US"/>
              </w:rPr>
            </w:pPr>
          </w:p>
        </w:tc>
      </w:tr>
      <w:tr w14:paraId="04E1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8" w:hRule="atLeast"/>
        </w:trPr>
        <w:tc>
          <w:tcPr>
            <w:tcW w:w="205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4A1A936">
            <w:pPr>
              <w:keepNext w:val="0"/>
              <w:keepLines w:val="0"/>
              <w:widowControl/>
              <w:suppressLineNumbers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1"/>
                <w:szCs w:val="21"/>
                <w:highlight w:val="none"/>
              </w:rPr>
              <w:t>重光项目</w:t>
            </w:r>
          </w:p>
        </w:tc>
        <w:tc>
          <w:tcPr>
            <w:tcW w:w="5166"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5ADC21F5">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1721"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3F642167">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r>
      <w:tr w14:paraId="62839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8" w:hRule="atLeast"/>
        </w:trPr>
        <w:tc>
          <w:tcPr>
            <w:tcW w:w="205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5523B68F">
            <w:pPr>
              <w:keepNext w:val="0"/>
              <w:keepLines w:val="0"/>
              <w:widowControl/>
              <w:suppressLineNumbers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1"/>
                <w:szCs w:val="21"/>
                <w:highlight w:val="none"/>
              </w:rPr>
              <w:t>溉澜溪项目</w:t>
            </w:r>
          </w:p>
        </w:tc>
        <w:tc>
          <w:tcPr>
            <w:tcW w:w="5166"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5814B664">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1721"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50F650DC">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r>
      <w:tr w14:paraId="5366E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8" w:hRule="atLeast"/>
        </w:trPr>
        <w:tc>
          <w:tcPr>
            <w:tcW w:w="2051" w:type="dxa"/>
            <w:tcBorders>
              <w:top w:val="single" w:color="auto" w:sz="4" w:space="0"/>
              <w:left w:val="single" w:color="auto" w:sz="4" w:space="0"/>
              <w:bottom w:val="single" w:color="auto" w:sz="4" w:space="0"/>
              <w:right w:val="single" w:color="auto" w:sz="4" w:space="0"/>
            </w:tcBorders>
            <w:shd w:val="clear" w:color="auto" w:fill="auto"/>
            <w:noWrap w:val="0"/>
            <w:tcMar>
              <w:top w:w="100" w:type="dxa"/>
              <w:left w:w="0" w:type="dxa"/>
              <w:bottom w:w="100" w:type="dxa"/>
              <w:right w:w="160" w:type="dxa"/>
            </w:tcMar>
            <w:vAlign w:val="center"/>
          </w:tcPr>
          <w:p w14:paraId="0B742A4A">
            <w:pPr>
              <w:keepNext w:val="0"/>
              <w:keepLines w:val="0"/>
              <w:widowControl/>
              <w:suppressLineNumbers w:val="0"/>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合计</w:t>
            </w:r>
          </w:p>
        </w:tc>
        <w:tc>
          <w:tcPr>
            <w:tcW w:w="5166"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6102A13D">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1721" w:type="dxa"/>
            <w:tcBorders>
              <w:top w:val="single" w:color="auto" w:sz="4" w:space="0"/>
              <w:left w:val="single" w:color="auto" w:sz="4" w:space="0"/>
              <w:bottom w:val="single" w:color="auto" w:sz="4" w:space="0"/>
              <w:right w:val="single" w:color="auto" w:sz="4" w:space="0"/>
            </w:tcBorders>
            <w:noWrap w:val="0"/>
            <w:tcMar>
              <w:top w:w="100" w:type="dxa"/>
              <w:left w:w="160" w:type="dxa"/>
              <w:bottom w:w="100" w:type="dxa"/>
              <w:right w:w="160" w:type="dxa"/>
            </w:tcMar>
            <w:vAlign w:val="center"/>
          </w:tcPr>
          <w:p w14:paraId="7677D361">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r>
    </w:tbl>
    <w:p w14:paraId="607D9429">
      <w:pPr>
        <w:spacing w:line="420" w:lineRule="exact"/>
        <w:ind w:firstLine="480" w:firstLineChars="200"/>
        <w:rPr>
          <w:rFonts w:hint="eastAsia" w:ascii="宋体" w:hAnsi="宋体" w:cs="宋体"/>
          <w:color w:val="auto"/>
          <w:sz w:val="24"/>
          <w:szCs w:val="24"/>
          <w:highlight w:val="none"/>
        </w:rPr>
      </w:pPr>
    </w:p>
    <w:p w14:paraId="11230160">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八</w:t>
      </w:r>
      <w:r>
        <w:rPr>
          <w:rFonts w:hint="eastAsia" w:ascii="宋体" w:hAnsi="宋体" w:cs="宋体"/>
          <w:color w:val="auto"/>
          <w:sz w:val="24"/>
          <w:szCs w:val="24"/>
          <w:highlight w:val="none"/>
        </w:rPr>
        <w:t>、费用的支付</w:t>
      </w:r>
    </w:p>
    <w:p w14:paraId="62FBE8D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rPr>
        <w:t xml:space="preserve"> 甲方发包的所有项目无预付款。</w:t>
      </w:r>
      <w:r>
        <w:rPr>
          <w:rFonts w:hint="eastAsia" w:ascii="宋体" w:hAnsi="宋体" w:cs="宋体"/>
          <w:color w:val="auto"/>
          <w:sz w:val="24"/>
          <w:szCs w:val="24"/>
          <w:highlight w:val="none"/>
          <w:u w:val="none"/>
          <w:lang w:val="en-US" w:eastAsia="zh-CN"/>
        </w:rPr>
        <w:t>乙方完成</w:t>
      </w:r>
      <w:r>
        <w:rPr>
          <w:rFonts w:hint="eastAsia" w:ascii="宋体" w:hAnsi="宋体" w:cs="宋体"/>
          <w:color w:val="auto"/>
          <w:sz w:val="24"/>
          <w:szCs w:val="24"/>
          <w:highlight w:val="none"/>
          <w:u w:val="single"/>
          <w:lang w:val="en-US" w:eastAsia="zh-CN"/>
        </w:rPr>
        <w:t>招标限价编制阶段的</w:t>
      </w:r>
      <w:r>
        <w:rPr>
          <w:rFonts w:hint="eastAsia" w:ascii="宋体" w:hAnsi="宋体" w:cs="宋体"/>
          <w:color w:val="auto"/>
          <w:sz w:val="24"/>
          <w:szCs w:val="24"/>
          <w:highlight w:val="none"/>
          <w:u w:val="none"/>
          <w:lang w:val="en-US" w:eastAsia="zh-CN"/>
        </w:rPr>
        <w:t>监测方案编制，</w:t>
      </w:r>
      <w:r>
        <w:rPr>
          <w:rFonts w:hint="eastAsia" w:ascii="宋体" w:hAnsi="宋体" w:eastAsia="宋体" w:cs="宋体"/>
          <w:i w:val="0"/>
          <w:iCs w:val="0"/>
          <w:caps w:val="0"/>
          <w:color w:val="auto"/>
          <w:spacing w:val="0"/>
          <w:sz w:val="24"/>
          <w:szCs w:val="24"/>
          <w:highlight w:val="none"/>
          <w:shd w:val="clear" w:color="auto" w:fill="FFFFFF"/>
        </w:rPr>
        <w:t>按约定完成全部技术服务并交付成果文件，</w:t>
      </w:r>
      <w:r>
        <w:rPr>
          <w:rFonts w:hint="eastAsia" w:ascii="宋体" w:hAnsi="宋体" w:cs="宋体"/>
          <w:color w:val="auto"/>
          <w:sz w:val="24"/>
          <w:szCs w:val="24"/>
          <w:highlight w:val="none"/>
          <w:u w:val="none"/>
          <w:lang w:val="en-US" w:eastAsia="zh-CN"/>
        </w:rPr>
        <w:t>并报送甲方通过，第三方监测中标通知书发出30天内，</w:t>
      </w:r>
      <w:r>
        <w:rPr>
          <w:rFonts w:hint="eastAsia" w:ascii="宋体" w:hAnsi="宋体" w:eastAsia="宋体" w:cs="宋体"/>
          <w:color w:val="auto"/>
          <w:sz w:val="24"/>
          <w:szCs w:val="24"/>
          <w:highlight w:val="none"/>
          <w:u w:val="none"/>
          <w:lang w:val="en-US" w:eastAsia="zh-CN"/>
        </w:rPr>
        <w:t>甲方向乙方支付已完成项目合同金额的</w:t>
      </w:r>
      <w:r>
        <w:rPr>
          <w:rFonts w:hint="eastAsia" w:ascii="宋体" w:hAnsi="宋体" w:cs="宋体"/>
          <w:color w:val="auto"/>
          <w:sz w:val="24"/>
          <w:szCs w:val="24"/>
          <w:highlight w:val="none"/>
          <w:u w:val="none"/>
          <w:lang w:val="en-US" w:eastAsia="zh-CN"/>
        </w:rPr>
        <w:t>9</w:t>
      </w:r>
      <w:r>
        <w:rPr>
          <w:rFonts w:hint="eastAsia" w:ascii="宋体" w:hAnsi="宋体" w:eastAsia="宋体" w:cs="宋体"/>
          <w:color w:val="auto"/>
          <w:sz w:val="24"/>
          <w:szCs w:val="24"/>
          <w:highlight w:val="none"/>
          <w:u w:val="none"/>
          <w:lang w:val="en-US" w:eastAsia="zh-CN"/>
        </w:rPr>
        <w:t>0%。</w:t>
      </w:r>
    </w:p>
    <w:p w14:paraId="5F25CF3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lang w:val="en-US" w:eastAsia="zh-CN"/>
        </w:rPr>
        <w:t>工程监测实施单位进场并编制监测实施方案后，</w:t>
      </w:r>
      <w:r>
        <w:rPr>
          <w:rFonts w:hint="eastAsia" w:ascii="宋体" w:hAnsi="宋体" w:eastAsia="宋体" w:cs="宋体"/>
          <w:color w:val="auto"/>
          <w:sz w:val="24"/>
          <w:szCs w:val="24"/>
          <w:highlight w:val="none"/>
          <w:u w:val="none"/>
          <w:lang w:val="en-US" w:eastAsia="zh-CN"/>
        </w:rPr>
        <w:t>对</w:t>
      </w:r>
      <w:r>
        <w:rPr>
          <w:rFonts w:hint="eastAsia" w:ascii="宋体" w:hAnsi="宋体" w:cs="宋体"/>
          <w:color w:val="auto"/>
          <w:sz w:val="24"/>
          <w:szCs w:val="24"/>
          <w:highlight w:val="none"/>
          <w:u w:val="none"/>
          <w:lang w:val="en-US" w:eastAsia="zh-CN"/>
        </w:rPr>
        <w:t>工程</w:t>
      </w:r>
      <w:r>
        <w:rPr>
          <w:rFonts w:hint="eastAsia" w:ascii="宋体" w:hAnsi="宋体" w:eastAsia="宋体" w:cs="宋体"/>
          <w:color w:val="auto"/>
          <w:sz w:val="24"/>
          <w:szCs w:val="24"/>
          <w:highlight w:val="none"/>
          <w:u w:val="none"/>
          <w:lang w:val="en-US" w:eastAsia="zh-CN"/>
        </w:rPr>
        <w:t>监测实施单位编制的监测方案提供审查意见</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lang w:val="en-US" w:eastAsia="zh-CN"/>
        </w:rPr>
        <w:t>经甲方确认后，支付项目金额的10%。</w:t>
      </w:r>
    </w:p>
    <w:p w14:paraId="523109B0">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以上</w:t>
      </w:r>
      <w:r>
        <w:rPr>
          <w:rFonts w:hint="eastAsia" w:ascii="宋体" w:hAnsi="宋体" w:cs="宋体"/>
          <w:color w:val="auto"/>
          <w:sz w:val="24"/>
          <w:szCs w:val="24"/>
          <w:highlight w:val="none"/>
          <w:u w:val="none"/>
          <w:lang w:val="en-US" w:eastAsia="zh-CN"/>
        </w:rPr>
        <w:t>款项</w:t>
      </w:r>
      <w:r>
        <w:rPr>
          <w:rFonts w:hint="eastAsia" w:ascii="宋体" w:hAnsi="宋体" w:eastAsia="宋体" w:cs="宋体"/>
          <w:color w:val="auto"/>
          <w:sz w:val="24"/>
          <w:szCs w:val="24"/>
          <w:highlight w:val="none"/>
          <w:u w:val="none"/>
          <w:lang w:val="en-US" w:eastAsia="zh-CN"/>
        </w:rPr>
        <w:t>支付由乙方提交支付申请报告并经甲方审定后以转账方式支付。乙方收款前应提供符合甲方要求的等额增值税专用发票（发票类型），否则甲方有权暂停支付，且乙方不得因此延误工期。</w:t>
      </w:r>
    </w:p>
    <w:p w14:paraId="0F4376FE">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甲方开票信息</w:t>
      </w:r>
    </w:p>
    <w:p w14:paraId="4241C21F">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名   称：重庆交通资源开发有限公司</w:t>
      </w:r>
    </w:p>
    <w:p w14:paraId="7CEE80A8">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纳税人识别号：</w:t>
      </w:r>
    </w:p>
    <w:p w14:paraId="5AFE9FC9">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地    址： </w:t>
      </w:r>
    </w:p>
    <w:p w14:paraId="748758DC">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开户行及账号：</w:t>
      </w:r>
    </w:p>
    <w:p w14:paraId="0779D514">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乙方账户信息</w:t>
      </w:r>
    </w:p>
    <w:p w14:paraId="3A2FAE01">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名   称：</w:t>
      </w:r>
    </w:p>
    <w:p w14:paraId="73BC58DF">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地    址：</w:t>
      </w:r>
    </w:p>
    <w:p w14:paraId="1121D58D">
      <w:pPr>
        <w:keepNext w:val="0"/>
        <w:keepLines w:val="0"/>
        <w:pageBreakBefore w:val="0"/>
        <w:kinsoku/>
        <w:overflowPunct/>
        <w:topLinePunct w:val="0"/>
        <w:autoSpaceDE/>
        <w:autoSpaceDN/>
        <w:bidi w:val="0"/>
        <w:adjustRightInd/>
        <w:snapToGrid/>
        <w:spacing w:line="360" w:lineRule="auto"/>
        <w:ind w:left="0" w:firstLine="480" w:firstLineChars="200"/>
        <w:jc w:val="left"/>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开户行及账号：</w:t>
      </w:r>
    </w:p>
    <w:p w14:paraId="0C3AAF69">
      <w:pPr>
        <w:spacing w:line="420" w:lineRule="exact"/>
        <w:ind w:firstLine="480" w:firstLineChars="200"/>
        <w:rPr>
          <w:rFonts w:ascii="宋体" w:hAnsi="宋体" w:cs="宋体"/>
          <w:color w:val="auto"/>
          <w:sz w:val="24"/>
          <w:szCs w:val="24"/>
          <w:highlight w:val="none"/>
        </w:rPr>
      </w:pPr>
    </w:p>
    <w:p w14:paraId="25D09BC3">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九</w:t>
      </w:r>
      <w:r>
        <w:rPr>
          <w:rFonts w:hint="eastAsia" w:ascii="宋体" w:hAnsi="宋体" w:cs="宋体"/>
          <w:color w:val="auto"/>
          <w:sz w:val="24"/>
          <w:szCs w:val="24"/>
          <w:highlight w:val="none"/>
        </w:rPr>
        <w:t>、违约责任</w:t>
      </w:r>
    </w:p>
    <w:p w14:paraId="309244E9">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甲方在收到乙方合格成果及合规发票后，未按合同约定支付费用，每逾期1天，按未支付金额的</w:t>
      </w:r>
      <w:r>
        <w:rPr>
          <w:rFonts w:hint="eastAsia" w:ascii="宋体" w:hAnsi="宋体" w:cs="宋体"/>
          <w:color w:val="auto"/>
          <w:sz w:val="24"/>
          <w:szCs w:val="24"/>
          <w:highlight w:val="none"/>
          <w:lang w:val="en-US" w:eastAsia="zh-CN"/>
        </w:rPr>
        <w:t>每日万分之五</w:t>
      </w:r>
      <w:r>
        <w:rPr>
          <w:rFonts w:hint="eastAsia" w:ascii="宋体" w:hAnsi="宋体" w:eastAsia="宋体" w:cs="宋体"/>
          <w:color w:val="auto"/>
          <w:sz w:val="24"/>
          <w:szCs w:val="24"/>
          <w:highlight w:val="none"/>
        </w:rPr>
        <w:t>支付违约金。</w:t>
      </w:r>
    </w:p>
    <w:p w14:paraId="72E569B7">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当发生下列情况之一时，乙方应承担违约责任：</w:t>
      </w:r>
    </w:p>
    <w:p w14:paraId="4D8539B0">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（1）因乙方原因造成项目延期完工的，每延误一日，应向甲方支付</w:t>
      </w:r>
      <w:r>
        <w:rPr>
          <w:rFonts w:hint="eastAsia" w:ascii="宋体" w:hAnsi="宋体" w:eastAsia="宋体" w:cs="宋体"/>
          <w:color w:val="auto"/>
          <w:sz w:val="24"/>
          <w:szCs w:val="24"/>
          <w:highlight w:val="none"/>
          <w:lang w:val="en-US" w:eastAsia="zh-CN"/>
        </w:rPr>
        <w:t>当次结算</w:t>
      </w:r>
      <w:r>
        <w:rPr>
          <w:rFonts w:hint="eastAsia" w:ascii="宋体" w:hAnsi="宋体" w:eastAsia="宋体" w:cs="宋体"/>
          <w:color w:val="auto"/>
          <w:sz w:val="24"/>
          <w:szCs w:val="24"/>
          <w:highlight w:val="none"/>
        </w:rPr>
        <w:t>金额的2% 的违约金；乙方未按甲方要求时间交付成果，每逾期1天，按</w:t>
      </w:r>
      <w:r>
        <w:rPr>
          <w:rFonts w:hint="eastAsia" w:ascii="宋体" w:hAnsi="宋体" w:eastAsia="宋体" w:cs="宋体"/>
          <w:color w:val="auto"/>
          <w:sz w:val="24"/>
          <w:szCs w:val="24"/>
          <w:highlight w:val="none"/>
          <w:lang w:val="en-US" w:eastAsia="zh-CN"/>
        </w:rPr>
        <w:t>当次结算</w:t>
      </w:r>
      <w:r>
        <w:rPr>
          <w:rFonts w:hint="eastAsia" w:ascii="宋体" w:hAnsi="宋体" w:eastAsia="宋体" w:cs="宋体"/>
          <w:color w:val="auto"/>
          <w:sz w:val="24"/>
          <w:szCs w:val="24"/>
          <w:highlight w:val="none"/>
        </w:rPr>
        <w:t>总金额的2% 支付违约金；逾期超10天，甲方有权解除合同，拒付任何费用，并追究损失。</w:t>
      </w:r>
    </w:p>
    <w:p w14:paraId="02C98289">
      <w:pPr>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（2）因乙方原因工作质量不满足技术要求，乙方除按甲方要求进行返工外，由于返工增加的工作量和费用由乙方承担，同时扣减乙方</w:t>
      </w:r>
      <w:r>
        <w:rPr>
          <w:rFonts w:hint="eastAsia" w:ascii="宋体" w:hAnsi="宋体" w:eastAsia="宋体" w:cs="宋体"/>
          <w:color w:val="auto"/>
          <w:sz w:val="24"/>
          <w:szCs w:val="24"/>
          <w:highlight w:val="none"/>
          <w:lang w:val="en-US" w:eastAsia="zh-CN"/>
        </w:rPr>
        <w:t>当次结算金额</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的违约金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lang w:eastAsia="zh-CN"/>
        </w:rPr>
        <w:t>次及以上</w:t>
      </w:r>
      <w:r>
        <w:rPr>
          <w:rFonts w:hint="eastAsia" w:ascii="宋体" w:hAnsi="宋体" w:cs="宋体"/>
          <w:color w:val="auto"/>
          <w:sz w:val="24"/>
          <w:szCs w:val="24"/>
          <w:highlight w:val="none"/>
          <w:lang w:val="en-US" w:eastAsia="zh-CN"/>
        </w:rPr>
        <w:t>质量</w:t>
      </w:r>
      <w:r>
        <w:rPr>
          <w:rFonts w:hint="eastAsia" w:ascii="宋体" w:hAnsi="宋体" w:cs="宋体"/>
          <w:color w:val="auto"/>
          <w:sz w:val="24"/>
          <w:szCs w:val="24"/>
          <w:highlight w:val="none"/>
          <w:lang w:eastAsia="zh-CN"/>
        </w:rPr>
        <w:t>不合格，甲方有权</w:t>
      </w:r>
      <w:r>
        <w:rPr>
          <w:rFonts w:hint="eastAsia" w:ascii="宋体" w:hAnsi="宋体" w:cs="宋体"/>
          <w:color w:val="auto"/>
          <w:sz w:val="24"/>
          <w:szCs w:val="24"/>
          <w:highlight w:val="none"/>
          <w:lang w:val="en-US" w:eastAsia="zh-CN"/>
        </w:rPr>
        <w:t>解除合同</w:t>
      </w:r>
      <w:r>
        <w:rPr>
          <w:rFonts w:hint="eastAsia" w:ascii="宋体" w:hAnsi="宋体" w:cs="宋体"/>
          <w:color w:val="auto"/>
          <w:sz w:val="24"/>
          <w:szCs w:val="24"/>
          <w:highlight w:val="none"/>
          <w:lang w:eastAsia="zh-CN"/>
        </w:rPr>
        <w:t>、不予支付任何费用，乙方同时承担甲方全部损失。</w:t>
      </w:r>
    </w:p>
    <w:p w14:paraId="4C5C2C69">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（3）未经甲方同意，乙方擅自停工或单方终止合同，应向甲方支付合同价款 </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的违约金，并承担给甲方造成的所有损失，退还甲方已经支付的费用，已完成工作尚未支付的费用甲方不予支付 。   </w:t>
      </w:r>
    </w:p>
    <w:p w14:paraId="66AF4E78">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乙方违反</w:t>
      </w:r>
      <w:r>
        <w:rPr>
          <w:rFonts w:hint="eastAsia" w:ascii="宋体" w:hAnsi="宋体" w:cs="宋体"/>
          <w:color w:val="auto"/>
          <w:sz w:val="24"/>
          <w:szCs w:val="24"/>
          <w:highlight w:val="none"/>
          <w:lang w:val="en-US" w:eastAsia="zh-CN"/>
        </w:rPr>
        <w:t>本合同第六条</w:t>
      </w:r>
      <w:r>
        <w:rPr>
          <w:rFonts w:hint="eastAsia" w:ascii="宋体" w:hAnsi="宋体" w:eastAsia="宋体" w:cs="宋体"/>
          <w:color w:val="auto"/>
          <w:sz w:val="24"/>
          <w:szCs w:val="24"/>
          <w:highlight w:val="none"/>
        </w:rPr>
        <w:t>第 4 款回避义务，参与对应工程施工期监测投标</w:t>
      </w:r>
      <w:r>
        <w:rPr>
          <w:rFonts w:hint="eastAsia" w:ascii="宋体" w:hAnsi="宋体" w:cs="宋体"/>
          <w:color w:val="auto"/>
          <w:sz w:val="24"/>
          <w:szCs w:val="24"/>
          <w:highlight w:val="none"/>
          <w:lang w:val="en-US" w:eastAsia="zh-CN"/>
        </w:rPr>
        <w:t>或承接监测工作的</w:t>
      </w:r>
      <w:r>
        <w:rPr>
          <w:rFonts w:hint="eastAsia" w:ascii="宋体" w:hAnsi="宋体" w:eastAsia="宋体" w:cs="宋体"/>
          <w:color w:val="auto"/>
          <w:sz w:val="24"/>
          <w:szCs w:val="24"/>
          <w:highlight w:val="none"/>
        </w:rPr>
        <w:t>，甲方有权</w:t>
      </w:r>
      <w:r>
        <w:rPr>
          <w:rFonts w:hint="eastAsia" w:ascii="宋体" w:hAnsi="宋体" w:cs="宋体"/>
          <w:color w:val="auto"/>
          <w:sz w:val="24"/>
          <w:szCs w:val="24"/>
          <w:highlight w:val="none"/>
          <w:lang w:val="en-US" w:eastAsia="zh-CN"/>
        </w:rPr>
        <w:t>立即单方解除合同，</w:t>
      </w:r>
      <w:r>
        <w:rPr>
          <w:rFonts w:hint="eastAsia" w:ascii="宋体" w:hAnsi="宋体" w:eastAsia="宋体" w:cs="宋体"/>
          <w:color w:val="auto"/>
          <w:sz w:val="24"/>
          <w:szCs w:val="24"/>
          <w:highlight w:val="none"/>
        </w:rPr>
        <w:t xml:space="preserve">追回全部已支付费用，乙方另行按合同暂定总价款 </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0% 向甲方支付违约金，同时甲方将乙方列入合作黑名单，永久禁止乙方参与甲方所有工程技术服务、监测相关比选、招标项目。</w:t>
      </w:r>
    </w:p>
    <w:p w14:paraId="58FA4092">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.乙方提供的资料/业绩弄虚作假的，一经查实，立即取消中选资格（已</w:t>
      </w:r>
      <w:r>
        <w:rPr>
          <w:rFonts w:hint="eastAsia" w:ascii="宋体" w:hAnsi="宋体" w:cs="宋体"/>
          <w:color w:val="auto"/>
          <w:sz w:val="24"/>
          <w:szCs w:val="24"/>
          <w:highlight w:val="none"/>
          <w:lang w:val="en-US" w:eastAsia="zh-CN"/>
        </w:rPr>
        <w:t>签约</w:t>
      </w:r>
      <w:r>
        <w:rPr>
          <w:rFonts w:hint="eastAsia" w:ascii="宋体" w:hAnsi="宋体" w:eastAsia="宋体" w:cs="宋体"/>
          <w:color w:val="auto"/>
          <w:sz w:val="24"/>
          <w:szCs w:val="24"/>
          <w:highlight w:val="none"/>
        </w:rPr>
        <w:t xml:space="preserve">的解除合同），乙方须退还甲方全部已付款项，并按合同暂定总价款 </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 支付违约金并承担甲方因此产生的全部损失。</w:t>
      </w:r>
    </w:p>
    <w:p w14:paraId="574943F4">
      <w:pPr>
        <w:spacing w:line="4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本合同生效后，双方均应全面履行本合同约定的义务。任何一方不履行或不完全履行本合同约定义务的，应当承担相应的违约责任，并赔偿由此给守约方造成的损失，包括守约方为实现债权而支付的律师费、保全费、诉讼费、公证费、保全担保费、鉴定费等。</w:t>
      </w:r>
    </w:p>
    <w:p w14:paraId="49919CDA">
      <w:pPr>
        <w:pStyle w:val="3"/>
        <w:spacing w:before="120"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知识产权及保密条款</w:t>
      </w:r>
    </w:p>
    <w:p w14:paraId="4BD881AF">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均应保护对方的知识产权和商业秘密，未经对方同意，任何一方均不得将对方的资料及文件擅自修改、复制、向第三人转让或用于本合同项目外的其他项目。如发生以上情况，泄密方应承担由此引起的后果的所有法律责任。知识产权归甲方所有。</w:t>
      </w:r>
    </w:p>
    <w:p w14:paraId="2C66FE20">
      <w:pPr>
        <w:spacing w:line="420" w:lineRule="exact"/>
        <w:ind w:firstLine="420"/>
        <w:rPr>
          <w:rFonts w:hint="eastAsia" w:ascii="宋体" w:hAnsi="宋体" w:cs="宋体"/>
          <w:color w:val="auto"/>
          <w:sz w:val="24"/>
          <w:szCs w:val="24"/>
          <w:highlight w:val="none"/>
        </w:rPr>
      </w:pPr>
    </w:p>
    <w:p w14:paraId="3B027677">
      <w:pPr>
        <w:pStyle w:val="3"/>
        <w:spacing w:before="120" w:after="12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十一</w:t>
      </w:r>
      <w:r>
        <w:rPr>
          <w:rFonts w:hint="eastAsia" w:ascii="宋体" w:hAnsi="宋体" w:cs="宋体"/>
          <w:color w:val="auto"/>
          <w:sz w:val="24"/>
          <w:szCs w:val="24"/>
          <w:highlight w:val="none"/>
        </w:rPr>
        <w:t>、争议</w:t>
      </w:r>
    </w:p>
    <w:p w14:paraId="533E41EC">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.1、本合同执行过程中发生争议或未尽事宜，</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方应本着友好协商的原则加以解决。</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方协商一致的，签订补充协议，补充协议与本合同具有同等效力。协商不成的，</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方均有权向甲方所在地人民法院起诉。</w:t>
      </w:r>
    </w:p>
    <w:p w14:paraId="3A26E636">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.2、诉讼或仲裁文书送达地址</w:t>
      </w:r>
    </w:p>
    <w:p w14:paraId="0A54EBCD">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甲方送达地址：           </w:t>
      </w:r>
    </w:p>
    <w:p w14:paraId="28F5BD6F">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送达方式：呈递、邮寄</w:t>
      </w:r>
    </w:p>
    <w:p w14:paraId="4F3280EF">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 xml:space="preserve">送达地址：           </w:t>
      </w:r>
    </w:p>
    <w:p w14:paraId="7EAFDDAC">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联系人：   联系电话：       送达方式：呈递、邮寄 </w:t>
      </w:r>
    </w:p>
    <w:p w14:paraId="11F1F58B">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该送达地址可用于接收各类</w:t>
      </w:r>
      <w:r>
        <w:rPr>
          <w:rFonts w:hint="eastAsia" w:ascii="宋体" w:hAnsi="宋体" w:cs="宋体"/>
          <w:color w:val="auto"/>
          <w:sz w:val="24"/>
          <w:szCs w:val="24"/>
          <w:highlight w:val="none"/>
          <w:lang w:val="en-US" w:eastAsia="zh-CN"/>
        </w:rPr>
        <w:t>往来函件及</w:t>
      </w:r>
      <w:r>
        <w:rPr>
          <w:rFonts w:hint="eastAsia" w:ascii="宋体" w:hAnsi="宋体" w:eastAsia="宋体" w:cs="宋体"/>
          <w:color w:val="auto"/>
          <w:sz w:val="24"/>
          <w:szCs w:val="24"/>
          <w:highlight w:val="none"/>
        </w:rPr>
        <w:t>诉讼文书。在合同履行过程中发生诉讼时，按约定地址送达的视为当事人已签收，受送达人拒收的，不影响送达的效力。甲乙</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方任何一方若需变更送达地址，应在地址变更后3日内书面通知对方当事人；未按约定方式通知的，原约定送达地址仍为有效送达地址。电子送达具有以上同等效力。</w:t>
      </w:r>
    </w:p>
    <w:p w14:paraId="00FD6ABF">
      <w:pPr>
        <w:pStyle w:val="3"/>
        <w:spacing w:before="120" w:after="1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十二、 合同效力及其他</w:t>
      </w:r>
    </w:p>
    <w:p w14:paraId="5F252FD4">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.1本合同自甲、乙</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方加盖公章或合同专用章后生效。</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方履行完合同规定的义务后，本合同即行终止。</w:t>
      </w:r>
    </w:p>
    <w:p w14:paraId="456F18BF">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.2本合同的补充协议、双方认可的来往传真、邮件、会议纪要等，均为合同的组成部分，与本合同具有同等的法律效力。</w:t>
      </w:r>
    </w:p>
    <w:p w14:paraId="5083FC02">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 xml:space="preserve">.3本合同一式 </w:t>
      </w:r>
      <w:r>
        <w:rPr>
          <w:rFonts w:hint="eastAsia" w:ascii="宋体" w:hAnsi="宋体" w:eastAsia="宋体" w:cs="宋体"/>
          <w:color w:val="auto"/>
          <w:sz w:val="24"/>
          <w:szCs w:val="24"/>
          <w:highlight w:val="none"/>
          <w:lang w:eastAsia="zh-CN"/>
        </w:rPr>
        <w:t>捌</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份，甲方执肆份，乙方执肆份，每份具有同等法律效力。 </w:t>
      </w:r>
    </w:p>
    <w:p w14:paraId="629942A6">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F7BA8F6">
      <w:pPr>
        <w:spacing w:line="420" w:lineRule="exact"/>
        <w:ind w:firstLine="480" w:firstLineChars="200"/>
        <w:rPr>
          <w:rFonts w:hint="eastAsia" w:ascii="宋体" w:hAnsi="宋体" w:cs="宋体"/>
          <w:color w:val="auto"/>
          <w:sz w:val="24"/>
          <w:szCs w:val="24"/>
          <w:highlight w:val="none"/>
        </w:rPr>
      </w:pPr>
    </w:p>
    <w:p w14:paraId="75EDC10B">
      <w:pPr>
        <w:spacing w:line="420" w:lineRule="exact"/>
        <w:ind w:firstLine="480" w:firstLineChars="200"/>
        <w:rPr>
          <w:rFonts w:hint="eastAsia" w:ascii="宋体" w:hAnsi="宋体" w:cs="宋体"/>
          <w:color w:val="auto"/>
          <w:sz w:val="24"/>
          <w:szCs w:val="24"/>
          <w:highlight w:val="none"/>
        </w:rPr>
      </w:pPr>
    </w:p>
    <w:p w14:paraId="3BE8C0B9">
      <w:pPr>
        <w:spacing w:line="420" w:lineRule="exact"/>
        <w:ind w:firstLine="480" w:firstLineChars="200"/>
        <w:rPr>
          <w:rFonts w:hint="eastAsia" w:ascii="宋体" w:hAnsi="宋体" w:cs="宋体"/>
          <w:color w:val="auto"/>
          <w:sz w:val="24"/>
          <w:szCs w:val="24"/>
          <w:highlight w:val="none"/>
        </w:rPr>
      </w:pPr>
    </w:p>
    <w:p w14:paraId="4FB4B8CB">
      <w:pPr>
        <w:spacing w:line="420" w:lineRule="exact"/>
        <w:ind w:firstLine="480" w:firstLineChars="200"/>
        <w:rPr>
          <w:rFonts w:hint="eastAsia" w:ascii="宋体" w:hAnsi="宋体" w:cs="宋体"/>
          <w:color w:val="auto"/>
          <w:sz w:val="24"/>
          <w:szCs w:val="24"/>
          <w:highlight w:val="none"/>
        </w:rPr>
      </w:pPr>
    </w:p>
    <w:p w14:paraId="012BCEFF">
      <w:pPr>
        <w:spacing w:line="420" w:lineRule="exact"/>
        <w:ind w:firstLine="480" w:firstLineChars="200"/>
        <w:rPr>
          <w:rFonts w:hint="eastAsia" w:ascii="宋体" w:hAnsi="宋体" w:cs="宋体"/>
          <w:color w:val="auto"/>
          <w:sz w:val="24"/>
          <w:szCs w:val="24"/>
          <w:highlight w:val="none"/>
        </w:rPr>
      </w:pPr>
    </w:p>
    <w:tbl>
      <w:tblPr>
        <w:tblStyle w:val="13"/>
        <w:tblW w:w="9808" w:type="dxa"/>
        <w:tblInd w:w="-607" w:type="dxa"/>
        <w:tblLayout w:type="fixed"/>
        <w:tblCellMar>
          <w:top w:w="0" w:type="dxa"/>
          <w:left w:w="108" w:type="dxa"/>
          <w:bottom w:w="0" w:type="dxa"/>
          <w:right w:w="108" w:type="dxa"/>
        </w:tblCellMar>
      </w:tblPr>
      <w:tblGrid>
        <w:gridCol w:w="5131"/>
        <w:gridCol w:w="4677"/>
      </w:tblGrid>
      <w:tr w14:paraId="47433E32">
        <w:tblPrEx>
          <w:tblCellMar>
            <w:top w:w="0" w:type="dxa"/>
            <w:left w:w="108" w:type="dxa"/>
            <w:bottom w:w="0" w:type="dxa"/>
            <w:right w:w="108" w:type="dxa"/>
          </w:tblCellMar>
        </w:tblPrEx>
        <w:trPr>
          <w:trHeight w:val="5436" w:hRule="atLeast"/>
        </w:trPr>
        <w:tc>
          <w:tcPr>
            <w:tcW w:w="5131" w:type="dxa"/>
          </w:tcPr>
          <w:p w14:paraId="0B06D509">
            <w:pPr>
              <w:spacing w:line="4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甲方（盖章）：</w:t>
            </w:r>
            <w:r>
              <w:rPr>
                <w:rFonts w:hint="eastAsia" w:ascii="宋体" w:hAnsi="宋体" w:eastAsia="宋体" w:cs="宋体"/>
                <w:color w:val="auto"/>
                <w:sz w:val="24"/>
                <w:szCs w:val="24"/>
                <w:highlight w:val="none"/>
                <w:lang w:eastAsia="zh-CN"/>
              </w:rPr>
              <w:t>重庆交通资源开发有限公司</w:t>
            </w:r>
          </w:p>
          <w:p w14:paraId="5AAF4F59">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1741056B">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法定代表人或委托代理人：</w:t>
            </w:r>
          </w:p>
          <w:p w14:paraId="7DC90B8B">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w:t>
            </w:r>
          </w:p>
          <w:p w14:paraId="5229A462">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27CB5D19">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535A75AE">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账号： </w:t>
            </w:r>
          </w:p>
          <w:p w14:paraId="625603C6">
            <w:pPr>
              <w:spacing w:line="420" w:lineRule="exact"/>
              <w:ind w:firstLine="480" w:firstLineChars="200"/>
              <w:rPr>
                <w:rFonts w:hint="eastAsia" w:ascii="宋体" w:hAnsi="宋体" w:eastAsia="宋体" w:cs="宋体"/>
                <w:color w:val="auto"/>
                <w:sz w:val="24"/>
                <w:szCs w:val="24"/>
                <w:highlight w:val="none"/>
              </w:rPr>
            </w:pPr>
          </w:p>
          <w:p w14:paraId="278F7F62">
            <w:pPr>
              <w:spacing w:line="420" w:lineRule="exact"/>
              <w:ind w:firstLine="480" w:firstLineChars="200"/>
              <w:rPr>
                <w:rFonts w:hint="eastAsia" w:ascii="宋体" w:hAnsi="宋体" w:eastAsia="宋体" w:cs="宋体"/>
                <w:color w:val="auto"/>
                <w:sz w:val="24"/>
                <w:szCs w:val="24"/>
                <w:highlight w:val="none"/>
              </w:rPr>
            </w:pPr>
          </w:p>
          <w:p w14:paraId="3A906A7D">
            <w:pPr>
              <w:spacing w:line="420" w:lineRule="exact"/>
              <w:ind w:firstLine="480" w:firstLineChars="200"/>
              <w:rPr>
                <w:rFonts w:hint="eastAsia" w:ascii="宋体" w:hAnsi="宋体" w:eastAsia="宋体" w:cs="宋体"/>
                <w:color w:val="auto"/>
                <w:sz w:val="24"/>
                <w:szCs w:val="24"/>
                <w:highlight w:val="none"/>
              </w:rPr>
            </w:pPr>
          </w:p>
          <w:p w14:paraId="267B3EE3">
            <w:pPr>
              <w:spacing w:line="420" w:lineRule="exact"/>
              <w:ind w:firstLine="480" w:firstLineChars="200"/>
              <w:rPr>
                <w:rFonts w:hint="eastAsia" w:ascii="宋体" w:hAnsi="宋体" w:eastAsia="宋体" w:cs="宋体"/>
                <w:color w:val="auto"/>
                <w:sz w:val="24"/>
                <w:szCs w:val="24"/>
                <w:highlight w:val="none"/>
              </w:rPr>
            </w:pPr>
          </w:p>
          <w:p w14:paraId="291440C3">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合同签订日期：   年   月   日</w:t>
            </w:r>
          </w:p>
          <w:p w14:paraId="2877B106">
            <w:pPr>
              <w:spacing w:line="420" w:lineRule="exact"/>
              <w:ind w:firstLine="480" w:firstLineChars="200"/>
              <w:rPr>
                <w:rFonts w:hint="eastAsia" w:ascii="宋体" w:hAnsi="宋体" w:eastAsia="宋体" w:cs="宋体"/>
                <w:color w:val="auto"/>
                <w:sz w:val="24"/>
                <w:szCs w:val="24"/>
                <w:highlight w:val="none"/>
              </w:rPr>
            </w:pPr>
          </w:p>
        </w:tc>
        <w:tc>
          <w:tcPr>
            <w:tcW w:w="4677" w:type="dxa"/>
          </w:tcPr>
          <w:p w14:paraId="12A376A9">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乙方（盖章）：</w:t>
            </w:r>
          </w:p>
          <w:p w14:paraId="1588FD35">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2FD4D959">
            <w:pPr>
              <w:spacing w:line="420" w:lineRule="exact"/>
              <w:ind w:firstLine="480" w:firstLineChars="200"/>
              <w:rPr>
                <w:rFonts w:hint="eastAsia" w:ascii="宋体" w:hAnsi="宋体" w:eastAsia="宋体" w:cs="宋体"/>
                <w:color w:val="auto"/>
                <w:sz w:val="24"/>
                <w:szCs w:val="24"/>
                <w:highlight w:val="none"/>
              </w:rPr>
            </w:pPr>
          </w:p>
          <w:p w14:paraId="6AB78929">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法定代表人或委托代理人：</w:t>
            </w:r>
          </w:p>
          <w:p w14:paraId="55C7FBE5">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w:t>
            </w:r>
          </w:p>
          <w:p w14:paraId="532D7493">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0482091C">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57C2CC74">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14:paraId="1C2B7EF6">
            <w:pPr>
              <w:spacing w:line="420" w:lineRule="exact"/>
              <w:ind w:firstLine="480" w:firstLineChars="200"/>
              <w:rPr>
                <w:rFonts w:hint="eastAsia" w:ascii="宋体" w:hAnsi="宋体" w:eastAsia="宋体" w:cs="宋体"/>
                <w:color w:val="auto"/>
                <w:sz w:val="24"/>
                <w:szCs w:val="24"/>
                <w:highlight w:val="none"/>
              </w:rPr>
            </w:pPr>
          </w:p>
        </w:tc>
      </w:tr>
    </w:tbl>
    <w:p w14:paraId="18AF805F">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0C4CA79B">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44A5D56F">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5CFA3089">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4025E393">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1EFCD00F">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05F8029E">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6166B8AC">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68209293">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3E18D09C">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616DD6C5">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59C8BCF3">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1C59819C">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08F3A6A9">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70C11C55">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044B32B0">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1D957E9E">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p w14:paraId="2CB23009">
      <w:pPr>
        <w:jc w:val="both"/>
        <w:rPr>
          <w:rFonts w:hint="default" w:eastAsia="宋体"/>
          <w:b/>
          <w:bCs/>
          <w:sz w:val="32"/>
          <w:szCs w:val="32"/>
          <w:highlight w:val="none"/>
          <w:lang w:val="en-US" w:eastAsia="zh-CN"/>
        </w:rPr>
      </w:pPr>
      <w:bookmarkStart w:id="0" w:name="_Toc32579"/>
      <w:r>
        <w:rPr>
          <w:rFonts w:hint="eastAsia"/>
          <w:b/>
          <w:bCs/>
          <w:sz w:val="32"/>
          <w:szCs w:val="32"/>
          <w:highlight w:val="none"/>
          <w:lang w:val="en-US" w:eastAsia="zh-CN"/>
        </w:rPr>
        <w:t>附件5：</w:t>
      </w:r>
    </w:p>
    <w:p w14:paraId="12BCB6D6">
      <w:pPr>
        <w:jc w:val="center"/>
        <w:rPr>
          <w:rFonts w:hint="eastAsia" w:eastAsia="宋体"/>
          <w:b/>
          <w:bCs/>
          <w:highlight w:val="none"/>
          <w:lang w:val="en-US" w:eastAsia="zh-CN"/>
        </w:rPr>
      </w:pPr>
      <w:r>
        <w:rPr>
          <w:rFonts w:hint="eastAsia"/>
          <w:b/>
          <w:bCs/>
          <w:highlight w:val="none"/>
        </w:rPr>
        <w:t>大竹林站TOD项目</w:t>
      </w:r>
      <w:r>
        <w:rPr>
          <w:rFonts w:hint="eastAsia"/>
          <w:b/>
          <w:bCs/>
          <w:highlight w:val="none"/>
          <w:lang w:val="en-US" w:eastAsia="zh-CN"/>
        </w:rPr>
        <w:t>简介</w:t>
      </w:r>
    </w:p>
    <w:bookmarkEnd w:id="0"/>
    <w:p w14:paraId="6C60F732">
      <w:pPr>
        <w:keepNext w:val="0"/>
        <w:keepLines w:val="0"/>
        <w:widowControl/>
        <w:suppressLineNumbers w:val="0"/>
        <w:jc w:val="left"/>
        <w:rPr>
          <w:rFonts w:hint="default" w:ascii="宋体" w:hAnsi="宋体" w:eastAsia="宋体" w:cs="宋体"/>
          <w:b/>
          <w:bCs/>
          <w:color w:val="000000"/>
          <w:kern w:val="0"/>
          <w:sz w:val="24"/>
          <w:szCs w:val="24"/>
          <w:highlight w:val="none"/>
          <w:lang w:val="en-US" w:eastAsia="zh-CN" w:bidi="ar"/>
        </w:rPr>
      </w:pPr>
      <w:r>
        <w:rPr>
          <w:rFonts w:hint="eastAsia" w:ascii="宋体" w:hAnsi="宋体" w:cs="宋体"/>
          <w:b/>
          <w:bCs/>
          <w:color w:val="000000"/>
          <w:kern w:val="0"/>
          <w:sz w:val="24"/>
          <w:szCs w:val="24"/>
          <w:highlight w:val="none"/>
          <w:lang w:val="en-US" w:eastAsia="zh-CN" w:bidi="ar"/>
        </w:rPr>
        <w:t>一、区位概况</w:t>
      </w:r>
    </w:p>
    <w:p w14:paraId="508AF737">
      <w:pPr>
        <w:keepNext w:val="0"/>
        <w:keepLines w:val="0"/>
        <w:widowControl/>
        <w:suppressLineNumbers w:val="0"/>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项目位于重庆两江新区大竹林组图 0 标准分区，地块编号 09-17-2，项目用地总面积 1.04 公顷（10444.8 ㎡）。基地处于金通大道与恒山东、西路相交汇处，片区属于重庆两江新区核心板块。现状场地较为平整，整个场地南北高差约 5 米，呈北低南高状，东西高差约 2 米，呈西低东高状。其余区域无明显建筑物，部分作为临时停车场、农贸市场。地块北侧为康庄美地小学，南侧为西归堂，西侧为六号线大竹林地铁站，东南侧为竹林公园；用地建筑控制红线在轨道保护线以外，但项目与大竹林站连接天桥，位于轨道保护线以内，靠轨道最近一排桥柱基础已进入轨道保护线。</w:t>
      </w:r>
    </w:p>
    <w:p w14:paraId="07700F66">
      <w:pPr>
        <w:keepNext w:val="0"/>
        <w:keepLines w:val="0"/>
        <w:widowControl/>
        <w:numPr>
          <w:ilvl w:val="0"/>
          <w:numId w:val="3"/>
        </w:numPr>
        <w:suppressLineNumbers w:val="0"/>
        <w:jc w:val="left"/>
        <w:rPr>
          <w:rFonts w:hint="eastAsia" w:ascii="宋体" w:hAnsi="宋体" w:cs="宋体"/>
          <w:b/>
          <w:bCs/>
          <w:color w:val="000000"/>
          <w:kern w:val="0"/>
          <w:sz w:val="24"/>
          <w:szCs w:val="24"/>
          <w:highlight w:val="none"/>
          <w:lang w:val="en-US" w:eastAsia="zh-CN" w:bidi="ar"/>
        </w:rPr>
      </w:pPr>
      <w:r>
        <w:rPr>
          <w:rFonts w:hint="eastAsia" w:ascii="宋体" w:hAnsi="宋体" w:cs="宋体"/>
          <w:b/>
          <w:bCs/>
          <w:color w:val="000000"/>
          <w:kern w:val="0"/>
          <w:sz w:val="24"/>
          <w:szCs w:val="24"/>
          <w:highlight w:val="none"/>
          <w:lang w:val="en-US" w:eastAsia="zh-CN" w:bidi="ar"/>
        </w:rPr>
        <w:t>项目介绍</w:t>
      </w:r>
    </w:p>
    <w:p w14:paraId="47D9D6FE">
      <w:pPr>
        <w:keepNext w:val="0"/>
        <w:keepLines w:val="0"/>
        <w:widowControl/>
        <w:suppressLineNumbers w:val="0"/>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项目是一栋集公交首末站、公共立体停车场、菜市为一体的综合交通枢纽建筑。建筑层数4F/-1F，建筑高度18M/-4.9M；总建筑面积 19624.32 ㎡，计容建筑面积18550.68 ㎡，正负零为 238.3，其中地上建筑面积18550.68㎡，地下建筑面积 1073.64 ㎡。本工程采用框架结构体系,抗震设防烈度按 6 度的要求进行抗震设计。建筑抗震设防类别为标准设防。</w:t>
      </w:r>
    </w:p>
    <w:p w14:paraId="387A9C7A">
      <w:pPr>
        <w:keepNext w:val="0"/>
        <w:keepLines w:val="0"/>
        <w:widowControl/>
        <w:suppressLineNumbers w:val="0"/>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大竹林站TOD项目天桥，天桥总长度约28m，桥面宽约7.2m，设置为独立结构，柱跨15.6m；西侧悬挑约4.3m，接驳轨道车站出入口平台，东侧悬挑约2.8m，连接本项目二层室外连廊。天桥设置3排结构柱，结构柱尺寸为0.6×0.6m。基础形式主要采用桩基础，桩径为1.0、1.5m，基底标高为228.845m~229.978m，采用机械成孔，基础持力层为中风化岩层。新建天桥位于大竹林车站30m及出入口10m的轨道保护区内，轨道保护区内建设内容主要为：场地平整开挖、基础、钢筋混凝土柱、桥面板、框架梁及装饰装修等，结构主体均采用钢筋混凝土结构，基础为桩基础。</w:t>
      </w:r>
    </w:p>
    <w:p w14:paraId="249FCE86">
      <w:pPr>
        <w:keepNext w:val="0"/>
        <w:keepLines w:val="0"/>
        <w:widowControl/>
        <w:suppressLineNumbers w:val="0"/>
        <w:jc w:val="left"/>
        <w:rPr>
          <w:rFonts w:hint="eastAsia" w:ascii="仿宋" w:hAnsi="仿宋" w:eastAsia="仿宋"/>
          <w:color w:val="auto"/>
          <w:sz w:val="28"/>
          <w:szCs w:val="28"/>
          <w:highlight w:val="none"/>
          <w:lang w:val="en-US" w:eastAsia="zh-CN"/>
        </w:rPr>
      </w:pPr>
      <w:r>
        <w:rPr>
          <w:highlight w:val="none"/>
        </w:rPr>
        <w:drawing>
          <wp:inline distT="0" distB="0" distL="114300" distR="114300">
            <wp:extent cx="5485765" cy="2885440"/>
            <wp:effectExtent l="0" t="0" r="635"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485765" cy="2885440"/>
                    </a:xfrm>
                    <a:prstGeom prst="rect">
                      <a:avLst/>
                    </a:prstGeom>
                    <a:noFill/>
                    <a:ln>
                      <a:noFill/>
                    </a:ln>
                  </pic:spPr>
                </pic:pic>
              </a:graphicData>
            </a:graphic>
          </wp:inline>
        </w:drawing>
      </w:r>
    </w:p>
    <w:p w14:paraId="6596F1F5">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p>
    <w:p w14:paraId="5AD0E346">
      <w:pPr>
        <w:keepNext w:val="0"/>
        <w:keepLines w:val="0"/>
        <w:widowControl/>
        <w:suppressLineNumbers w:val="0"/>
        <w:jc w:val="left"/>
        <w:rPr>
          <w:highlight w:val="none"/>
        </w:rPr>
      </w:pPr>
    </w:p>
    <w:p w14:paraId="11DB81B2">
      <w:pPr>
        <w:jc w:val="center"/>
        <w:rPr>
          <w:rFonts w:hint="eastAsia"/>
          <w:sz w:val="44"/>
          <w:szCs w:val="44"/>
          <w:highlight w:val="none"/>
        </w:rPr>
      </w:pPr>
      <w:r>
        <w:rPr>
          <w:rFonts w:hint="eastAsia"/>
          <w:sz w:val="44"/>
          <w:szCs w:val="44"/>
          <w:highlight w:val="none"/>
        </w:rPr>
        <w:t>鸳鸯项目简介</w:t>
      </w:r>
    </w:p>
    <w:p w14:paraId="41435738">
      <w:pPr>
        <w:ind w:firstLine="643" w:firstLineChars="200"/>
        <w:rPr>
          <w:rFonts w:hint="eastAsia"/>
          <w:b/>
          <w:sz w:val="32"/>
          <w:szCs w:val="32"/>
          <w:highlight w:val="none"/>
        </w:rPr>
      </w:pPr>
    </w:p>
    <w:p w14:paraId="095DB8FF">
      <w:pPr>
        <w:ind w:firstLine="643" w:firstLineChars="200"/>
        <w:rPr>
          <w:rFonts w:hint="eastAsia"/>
          <w:b/>
          <w:sz w:val="32"/>
          <w:szCs w:val="32"/>
          <w:highlight w:val="none"/>
        </w:rPr>
      </w:pPr>
      <w:r>
        <w:rPr>
          <w:rFonts w:hint="eastAsia"/>
          <w:b/>
          <w:sz w:val="32"/>
          <w:szCs w:val="32"/>
          <w:highlight w:val="none"/>
        </w:rPr>
        <w:t>一、项目区位</w:t>
      </w:r>
    </w:p>
    <w:p w14:paraId="6A0ED948">
      <w:pPr>
        <w:ind w:firstLine="560" w:firstLineChars="200"/>
        <w:rPr>
          <w:rFonts w:hint="eastAsia"/>
          <w:sz w:val="28"/>
          <w:szCs w:val="28"/>
          <w:highlight w:val="none"/>
        </w:rPr>
      </w:pPr>
      <w:r>
        <w:rPr>
          <w:rFonts w:hint="eastAsia"/>
          <w:sz w:val="28"/>
          <w:szCs w:val="28"/>
          <w:highlight w:val="none"/>
        </w:rPr>
        <w:t>本工程为新建工程，建设地点位于重庆市主城区两江新区鸳鸯轨道站旁的J07单元02街区O31-2地块，项目建设用地2753</w:t>
      </w:r>
      <w:bookmarkStart w:id="1" w:name="OLE_LINK1"/>
      <w:r>
        <w:rPr>
          <w:rFonts w:hint="eastAsia"/>
          <w:sz w:val="28"/>
          <w:szCs w:val="28"/>
          <w:highlight w:val="none"/>
        </w:rPr>
        <w:t>㎡</w:t>
      </w:r>
      <w:bookmarkEnd w:id="1"/>
      <w:r>
        <w:rPr>
          <w:rFonts w:hint="eastAsia"/>
          <w:sz w:val="28"/>
          <w:szCs w:val="28"/>
          <w:highlight w:val="none"/>
        </w:rPr>
        <w:t>。场地地势北低南高，最大高差约5米，地块形态狭长，南北长约100m、东西宽约25m。用地两边均有城市道路，东侧为城市主干道金开大道，与轨道交通3号线鸳鸯站1号出口相距约10米，轨道鸳鸯站公交站点也在同侧，南侧为城市次干道鸳鸯路，北侧为城市防护绿地带，西侧为白鹤园小区住宅距用地红线相距约4米。</w:t>
      </w:r>
    </w:p>
    <w:p w14:paraId="145084D6">
      <w:pPr>
        <w:ind w:firstLine="562" w:firstLineChars="200"/>
        <w:rPr>
          <w:rFonts w:hint="eastAsia"/>
          <w:b/>
          <w:sz w:val="28"/>
          <w:szCs w:val="28"/>
          <w:highlight w:val="none"/>
        </w:rPr>
      </w:pPr>
      <w:r>
        <w:rPr>
          <w:rFonts w:hint="eastAsia"/>
          <w:b/>
          <w:sz w:val="28"/>
          <w:szCs w:val="28"/>
          <w:highlight w:val="none"/>
        </w:rPr>
        <w:t>二、项目概况</w:t>
      </w:r>
    </w:p>
    <w:p w14:paraId="73FF28B4">
      <w:pPr>
        <w:ind w:firstLine="560" w:firstLineChars="200"/>
        <w:rPr>
          <w:rFonts w:hint="eastAsia"/>
          <w:sz w:val="28"/>
          <w:szCs w:val="28"/>
          <w:highlight w:val="none"/>
        </w:rPr>
      </w:pPr>
      <w:r>
        <w:rPr>
          <w:rFonts w:hint="eastAsia"/>
          <w:sz w:val="28"/>
          <w:szCs w:val="28"/>
          <w:highlight w:val="none"/>
        </w:rPr>
        <w:t>本项目总用地面积为2753</w:t>
      </w:r>
      <w:bookmarkStart w:id="2" w:name="OLE_LINK3"/>
      <w:bookmarkStart w:id="3" w:name="OLE_LINK2"/>
      <w:r>
        <w:rPr>
          <w:rFonts w:hint="eastAsia"/>
          <w:sz w:val="28"/>
          <w:szCs w:val="28"/>
          <w:highlight w:val="none"/>
        </w:rPr>
        <w:t>㎡</w:t>
      </w:r>
      <w:bookmarkEnd w:id="2"/>
      <w:bookmarkEnd w:id="3"/>
      <w:r>
        <w:rPr>
          <w:rFonts w:hint="eastAsia"/>
          <w:sz w:val="28"/>
          <w:szCs w:val="28"/>
          <w:highlight w:val="none"/>
        </w:rPr>
        <w:t>，总建筑面积约5199.62</w:t>
      </w:r>
      <w:bookmarkStart w:id="4" w:name="OLE_LINK5"/>
      <w:bookmarkStart w:id="5" w:name="OLE_LINK4"/>
      <w:r>
        <w:rPr>
          <w:rFonts w:hint="eastAsia"/>
          <w:sz w:val="28"/>
          <w:szCs w:val="28"/>
          <w:highlight w:val="none"/>
        </w:rPr>
        <w:t>㎡</w:t>
      </w:r>
      <w:bookmarkEnd w:id="4"/>
      <w:bookmarkEnd w:id="5"/>
      <w:r>
        <w:rPr>
          <w:rFonts w:hint="eastAsia"/>
          <w:sz w:val="28"/>
          <w:szCs w:val="28"/>
          <w:highlight w:val="none"/>
        </w:rPr>
        <w:t>(其中地上3706.46</w:t>
      </w:r>
      <w:bookmarkStart w:id="6" w:name="OLE_LINK6"/>
      <w:bookmarkStart w:id="7" w:name="OLE_LINK7"/>
      <w:r>
        <w:rPr>
          <w:rFonts w:hint="eastAsia"/>
          <w:sz w:val="28"/>
          <w:szCs w:val="28"/>
          <w:highlight w:val="none"/>
        </w:rPr>
        <w:t>㎡</w:t>
      </w:r>
      <w:bookmarkEnd w:id="6"/>
      <w:bookmarkEnd w:id="7"/>
      <w:r>
        <w:rPr>
          <w:rFonts w:hint="eastAsia"/>
          <w:sz w:val="28"/>
          <w:szCs w:val="28"/>
          <w:highlight w:val="none"/>
        </w:rPr>
        <w:t>,地下1493.16㎡)，主要功能为商业、配套车库、配套用房。建筑层数：4F/-1F，建筑高度：18.6M/-5.1M,为多层公共建筑。建筑结构类型为框架结构，抗震设防烈度6度，抗震设防类别为标准设防类（丙类）。</w:t>
      </w:r>
    </w:p>
    <w:p w14:paraId="6D5B423C">
      <w:pPr>
        <w:ind w:firstLine="562" w:firstLineChars="200"/>
        <w:rPr>
          <w:rFonts w:hint="eastAsia"/>
          <w:sz w:val="28"/>
          <w:szCs w:val="28"/>
          <w:highlight w:val="none"/>
        </w:rPr>
      </w:pPr>
      <w:r>
        <w:rPr>
          <w:rFonts w:hint="eastAsia"/>
          <w:b/>
          <w:sz w:val="28"/>
          <w:szCs w:val="28"/>
          <w:highlight w:val="none"/>
        </w:rPr>
        <w:t>三、其它重点事项：</w:t>
      </w:r>
    </w:p>
    <w:p w14:paraId="234B3C25">
      <w:pPr>
        <w:ind w:firstLine="560" w:firstLineChars="200"/>
        <w:rPr>
          <w:sz w:val="28"/>
          <w:szCs w:val="28"/>
          <w:highlight w:val="none"/>
        </w:rPr>
      </w:pPr>
      <w:r>
        <w:rPr>
          <w:rFonts w:hint="eastAsia"/>
          <w:sz w:val="28"/>
          <w:szCs w:val="28"/>
          <w:highlight w:val="none"/>
        </w:rPr>
        <w:t>项目预计在地上设置一座跨街人行天桥连接至轨道3号</w:t>
      </w:r>
      <w:r>
        <w:rPr>
          <w:rFonts w:hint="eastAsia"/>
          <w:sz w:val="28"/>
          <w:szCs w:val="28"/>
          <w:highlight w:val="none"/>
          <w:lang w:val="en-US" w:eastAsia="zh-CN"/>
        </w:rPr>
        <w:t>线</w:t>
      </w:r>
      <w:r>
        <w:rPr>
          <w:rFonts w:hint="eastAsia"/>
          <w:sz w:val="28"/>
          <w:szCs w:val="28"/>
          <w:highlight w:val="none"/>
        </w:rPr>
        <w:t>鸳鸯站。</w:t>
      </w:r>
    </w:p>
    <w:p w14:paraId="679A626F">
      <w:pPr>
        <w:jc w:val="center"/>
        <w:rPr>
          <w:rFonts w:hint="eastAsia"/>
          <w:sz w:val="44"/>
          <w:szCs w:val="44"/>
          <w:highlight w:val="none"/>
        </w:rPr>
      </w:pPr>
    </w:p>
    <w:p w14:paraId="180CA8A4">
      <w:pPr>
        <w:jc w:val="center"/>
        <w:rPr>
          <w:sz w:val="44"/>
          <w:szCs w:val="44"/>
          <w:highlight w:val="none"/>
        </w:rPr>
      </w:pPr>
      <w:r>
        <w:rPr>
          <w:rFonts w:hint="eastAsia"/>
          <w:sz w:val="44"/>
          <w:szCs w:val="44"/>
          <w:highlight w:val="none"/>
        </w:rPr>
        <w:t>七星岗T</w:t>
      </w:r>
      <w:r>
        <w:rPr>
          <w:sz w:val="44"/>
          <w:szCs w:val="44"/>
          <w:highlight w:val="none"/>
        </w:rPr>
        <w:t>OD</w:t>
      </w:r>
      <w:r>
        <w:rPr>
          <w:rFonts w:hint="eastAsia"/>
          <w:sz w:val="44"/>
          <w:szCs w:val="44"/>
          <w:highlight w:val="none"/>
        </w:rPr>
        <w:t>项目简介</w:t>
      </w:r>
    </w:p>
    <w:p w14:paraId="2D7CCBCA">
      <w:pPr>
        <w:ind w:firstLine="643" w:firstLineChars="200"/>
        <w:rPr>
          <w:b/>
          <w:sz w:val="32"/>
          <w:szCs w:val="32"/>
          <w:highlight w:val="none"/>
        </w:rPr>
      </w:pPr>
    </w:p>
    <w:p w14:paraId="70DF5FBC">
      <w:pPr>
        <w:ind w:firstLine="643" w:firstLineChars="200"/>
        <w:rPr>
          <w:b/>
          <w:sz w:val="32"/>
          <w:szCs w:val="32"/>
          <w:highlight w:val="none"/>
        </w:rPr>
      </w:pPr>
      <w:r>
        <w:rPr>
          <w:rFonts w:hint="eastAsia"/>
          <w:b/>
          <w:sz w:val="32"/>
          <w:szCs w:val="32"/>
          <w:highlight w:val="none"/>
        </w:rPr>
        <w:t>一、项目区位</w:t>
      </w:r>
    </w:p>
    <w:p w14:paraId="1FE639BF">
      <w:pPr>
        <w:ind w:firstLine="560" w:firstLineChars="200"/>
        <w:rPr>
          <w:sz w:val="28"/>
          <w:szCs w:val="28"/>
          <w:highlight w:val="none"/>
        </w:rPr>
      </w:pPr>
      <w:r>
        <w:rPr>
          <w:rFonts w:hint="eastAsia"/>
          <w:sz w:val="28"/>
          <w:szCs w:val="28"/>
          <w:highlight w:val="none"/>
        </w:rPr>
        <w:t>本工程为新建工程，建设地点位于重庆市渝中区A01单元01街区J6-3-1-1/04地块，用地性质为商业用地(B1B2)，建设用地面积3132.35平方米。用地紧邻轨道1号线、10号线、在建18号线的换乘站七星岗站，且七星岗站1号出入口由地块内通过</w:t>
      </w:r>
      <w:r>
        <w:rPr>
          <w:sz w:val="28"/>
          <w:szCs w:val="28"/>
          <w:highlight w:val="none"/>
        </w:rPr>
        <w:t>。</w:t>
      </w:r>
      <w:r>
        <w:rPr>
          <w:rFonts w:hint="eastAsia"/>
          <w:sz w:val="28"/>
          <w:szCs w:val="28"/>
          <w:highlight w:val="none"/>
        </w:rPr>
        <w:t>用地北侧城市主干路临中山一路，西侧、南侧</w:t>
      </w:r>
      <w:r>
        <w:rPr>
          <w:rFonts w:hint="eastAsia"/>
          <w:sz w:val="28"/>
          <w:szCs w:val="28"/>
          <w:highlight w:val="none"/>
          <w:lang w:val="en-US" w:eastAsia="zh-CN"/>
        </w:rPr>
        <w:t>紧</w:t>
      </w:r>
      <w:r>
        <w:rPr>
          <w:rFonts w:hint="eastAsia"/>
          <w:sz w:val="28"/>
          <w:szCs w:val="28"/>
          <w:highlight w:val="none"/>
        </w:rPr>
        <w:t>临罗宾森广场，东侧</w:t>
      </w:r>
      <w:r>
        <w:rPr>
          <w:rFonts w:hint="eastAsia"/>
          <w:sz w:val="28"/>
          <w:szCs w:val="28"/>
          <w:highlight w:val="none"/>
          <w:lang w:val="en-US" w:eastAsia="zh-CN"/>
        </w:rPr>
        <w:t>紧</w:t>
      </w:r>
      <w:r>
        <w:rPr>
          <w:rFonts w:hint="eastAsia"/>
          <w:sz w:val="28"/>
          <w:szCs w:val="28"/>
          <w:highlight w:val="none"/>
        </w:rPr>
        <w:t>临金山大厦。</w:t>
      </w:r>
    </w:p>
    <w:p w14:paraId="64AE5D54">
      <w:pPr>
        <w:ind w:firstLine="643" w:firstLineChars="200"/>
        <w:rPr>
          <w:b/>
          <w:sz w:val="32"/>
          <w:szCs w:val="32"/>
          <w:highlight w:val="none"/>
        </w:rPr>
      </w:pPr>
      <w:r>
        <w:rPr>
          <w:rFonts w:hint="eastAsia"/>
          <w:b/>
          <w:sz w:val="32"/>
          <w:szCs w:val="32"/>
          <w:highlight w:val="none"/>
        </w:rPr>
        <w:t>二、项目概况</w:t>
      </w:r>
    </w:p>
    <w:p w14:paraId="19E9E95A">
      <w:pPr>
        <w:ind w:firstLine="560" w:firstLineChars="200"/>
        <w:rPr>
          <w:sz w:val="28"/>
          <w:szCs w:val="28"/>
          <w:highlight w:val="none"/>
        </w:rPr>
      </w:pPr>
      <w:r>
        <w:rPr>
          <w:rFonts w:hint="eastAsia"/>
          <w:sz w:val="28"/>
          <w:szCs w:val="28"/>
          <w:highlight w:val="none"/>
        </w:rPr>
        <w:t>本项目总用地面积为</w:t>
      </w:r>
      <w:r>
        <w:rPr>
          <w:sz w:val="28"/>
          <w:szCs w:val="28"/>
          <w:highlight w:val="none"/>
        </w:rPr>
        <w:t>3121.35</w:t>
      </w:r>
      <w:r>
        <w:rPr>
          <w:rFonts w:hint="eastAsia"/>
          <w:sz w:val="28"/>
          <w:szCs w:val="28"/>
          <w:highlight w:val="none"/>
        </w:rPr>
        <w:t>㎡，总建筑面积约</w:t>
      </w:r>
      <w:r>
        <w:rPr>
          <w:sz w:val="28"/>
          <w:szCs w:val="28"/>
          <w:highlight w:val="none"/>
        </w:rPr>
        <w:t>11000</w:t>
      </w:r>
      <w:r>
        <w:rPr>
          <w:rFonts w:hint="eastAsia"/>
          <w:sz w:val="28"/>
          <w:szCs w:val="28"/>
          <w:highlight w:val="none"/>
        </w:rPr>
        <w:t>㎡(其中地上</w:t>
      </w:r>
      <w:r>
        <w:rPr>
          <w:sz w:val="28"/>
          <w:szCs w:val="28"/>
          <w:highlight w:val="none"/>
        </w:rPr>
        <w:t>10378.32</w:t>
      </w:r>
      <w:r>
        <w:rPr>
          <w:rFonts w:hint="eastAsia"/>
          <w:sz w:val="28"/>
          <w:szCs w:val="28"/>
          <w:highlight w:val="none"/>
        </w:rPr>
        <w:t>㎡,地下</w:t>
      </w:r>
      <w:r>
        <w:rPr>
          <w:sz w:val="28"/>
          <w:szCs w:val="28"/>
          <w:highlight w:val="none"/>
        </w:rPr>
        <w:t>5404.31</w:t>
      </w:r>
      <w:r>
        <w:rPr>
          <w:rFonts w:hint="eastAsia"/>
          <w:sz w:val="28"/>
          <w:szCs w:val="28"/>
          <w:highlight w:val="none"/>
        </w:rPr>
        <w:t>㎡)，主要功能为商业、配套车库、配套用房。建筑层数：</w:t>
      </w:r>
      <w:r>
        <w:rPr>
          <w:sz w:val="28"/>
          <w:szCs w:val="28"/>
          <w:highlight w:val="none"/>
        </w:rPr>
        <w:t>16</w:t>
      </w:r>
      <w:r>
        <w:rPr>
          <w:rFonts w:hint="eastAsia"/>
          <w:sz w:val="28"/>
          <w:szCs w:val="28"/>
          <w:highlight w:val="none"/>
        </w:rPr>
        <w:t>F/-</w:t>
      </w:r>
      <w:r>
        <w:rPr>
          <w:sz w:val="28"/>
          <w:szCs w:val="28"/>
          <w:highlight w:val="none"/>
        </w:rPr>
        <w:t>3</w:t>
      </w:r>
      <w:r>
        <w:rPr>
          <w:rFonts w:hint="eastAsia"/>
          <w:sz w:val="28"/>
          <w:szCs w:val="28"/>
          <w:highlight w:val="none"/>
        </w:rPr>
        <w:t>F，建筑高度：</w:t>
      </w:r>
      <w:r>
        <w:rPr>
          <w:sz w:val="28"/>
          <w:szCs w:val="28"/>
          <w:highlight w:val="none"/>
        </w:rPr>
        <w:t>66.1</w:t>
      </w:r>
      <w:r>
        <w:rPr>
          <w:rFonts w:hint="eastAsia"/>
          <w:sz w:val="28"/>
          <w:szCs w:val="28"/>
          <w:highlight w:val="none"/>
        </w:rPr>
        <w:t>M/-</w:t>
      </w:r>
      <w:r>
        <w:rPr>
          <w:sz w:val="28"/>
          <w:szCs w:val="28"/>
          <w:highlight w:val="none"/>
        </w:rPr>
        <w:t>13.2</w:t>
      </w:r>
      <w:r>
        <w:rPr>
          <w:rFonts w:hint="eastAsia"/>
          <w:sz w:val="28"/>
          <w:szCs w:val="28"/>
          <w:highlight w:val="none"/>
        </w:rPr>
        <w:t>M,为高层公共建筑。建筑结构类型为框架剪力墙结构，抗震设防烈度6度，抗震设防类别为标准设防类（丙类）。</w:t>
      </w:r>
    </w:p>
    <w:p w14:paraId="50C823E9">
      <w:pPr>
        <w:ind w:firstLine="643" w:firstLineChars="200"/>
        <w:rPr>
          <w:b/>
          <w:sz w:val="32"/>
          <w:szCs w:val="32"/>
          <w:highlight w:val="none"/>
        </w:rPr>
      </w:pPr>
      <w:r>
        <w:rPr>
          <w:rFonts w:hint="eastAsia"/>
          <w:b/>
          <w:sz w:val="32"/>
          <w:szCs w:val="32"/>
          <w:highlight w:val="none"/>
        </w:rPr>
        <w:t>三、其它重点事项：</w:t>
      </w:r>
    </w:p>
    <w:p w14:paraId="049A666C">
      <w:pPr>
        <w:ind w:firstLine="560" w:firstLineChars="200"/>
        <w:rPr>
          <w:sz w:val="28"/>
          <w:szCs w:val="28"/>
          <w:highlight w:val="none"/>
        </w:rPr>
      </w:pPr>
      <w:r>
        <w:rPr>
          <w:rFonts w:hint="eastAsia"/>
          <w:sz w:val="28"/>
          <w:szCs w:val="28"/>
          <w:highlight w:val="none"/>
        </w:rPr>
        <w:t>项目预计在地下一层连接至轨道</w:t>
      </w:r>
      <w:r>
        <w:rPr>
          <w:sz w:val="28"/>
          <w:szCs w:val="28"/>
          <w:highlight w:val="none"/>
        </w:rPr>
        <w:t>交通七星岗站</w:t>
      </w:r>
      <w:r>
        <w:rPr>
          <w:rFonts w:hint="eastAsia"/>
          <w:sz w:val="28"/>
          <w:szCs w:val="28"/>
          <w:highlight w:val="none"/>
        </w:rPr>
        <w:t>1号出入口。</w:t>
      </w:r>
    </w:p>
    <w:p w14:paraId="6EF01D86">
      <w:pPr>
        <w:jc w:val="center"/>
        <w:rPr>
          <w:rFonts w:hint="eastAsia"/>
          <w:sz w:val="32"/>
          <w:szCs w:val="40"/>
          <w:highlight w:val="none"/>
          <w:lang w:val="en-US" w:eastAsia="zh-CN"/>
        </w:rPr>
      </w:pPr>
      <w:r>
        <w:rPr>
          <w:rFonts w:hint="eastAsia"/>
          <w:sz w:val="32"/>
          <w:szCs w:val="40"/>
          <w:highlight w:val="none"/>
          <w:lang w:val="en-US" w:eastAsia="zh-CN"/>
        </w:rPr>
        <w:t>重光项目简介</w:t>
      </w:r>
    </w:p>
    <w:p w14:paraId="2378C766">
      <w:pPr>
        <w:pStyle w:val="3"/>
        <w:rPr>
          <w:rFonts w:hint="eastAsia" w:ascii="仿宋" w:hAnsi="仿宋" w:eastAsia="仿宋"/>
          <w:b/>
          <w:bCs w:val="0"/>
          <w:color w:val="auto"/>
          <w:sz w:val="28"/>
          <w:szCs w:val="28"/>
          <w:highlight w:val="none"/>
          <w:lang w:val="en-US" w:eastAsia="zh-CN"/>
        </w:rPr>
      </w:pPr>
      <w:r>
        <w:rPr>
          <w:rFonts w:hint="eastAsia"/>
          <w:b/>
          <w:bCs w:val="0"/>
          <w:highlight w:val="none"/>
          <w:lang w:val="en-US" w:eastAsia="zh-CN"/>
        </w:rPr>
        <w:t>一、</w:t>
      </w:r>
      <w:r>
        <w:rPr>
          <w:rFonts w:hint="eastAsia" w:ascii="仿宋" w:hAnsi="仿宋" w:eastAsia="仿宋"/>
          <w:b/>
          <w:bCs w:val="0"/>
          <w:color w:val="auto"/>
          <w:sz w:val="28"/>
          <w:szCs w:val="28"/>
          <w:highlight w:val="none"/>
          <w:lang w:val="en-US" w:eastAsia="zh-CN"/>
        </w:rPr>
        <w:t>基地概况</w:t>
      </w:r>
    </w:p>
    <w:p w14:paraId="47C0431B">
      <w:pPr>
        <w:ind w:firstLine="560" w:firstLineChars="200"/>
        <w:rPr>
          <w:rFonts w:hint="default" w:ascii="仿宋" w:hAnsi="仿宋" w:eastAsia="仿宋" w:cs="Times New Roman"/>
          <w:color w:val="auto"/>
          <w:sz w:val="28"/>
          <w:szCs w:val="28"/>
          <w:highlight w:val="none"/>
          <w:lang w:val="en-US" w:eastAsia="zh-CN"/>
        </w:rPr>
      </w:pPr>
      <w:r>
        <w:rPr>
          <w:rFonts w:hint="default" w:ascii="仿宋" w:hAnsi="仿宋" w:eastAsia="仿宋" w:cs="Times New Roman"/>
          <w:color w:val="auto"/>
          <w:sz w:val="28"/>
          <w:szCs w:val="28"/>
          <w:highlight w:val="none"/>
          <w:lang w:val="en-US" w:eastAsia="zh-CN"/>
        </w:rPr>
        <w:t>项目用地约10086.00㎡，南侧邻</w:t>
      </w:r>
      <w:r>
        <w:rPr>
          <w:rFonts w:hint="eastAsia" w:ascii="仿宋" w:hAnsi="仿宋" w:eastAsia="仿宋" w:cs="Times New Roman"/>
          <w:color w:val="auto"/>
          <w:sz w:val="28"/>
          <w:szCs w:val="28"/>
          <w:highlight w:val="none"/>
          <w:lang w:val="en-US" w:eastAsia="zh-CN"/>
        </w:rPr>
        <w:t>城市主</w:t>
      </w:r>
      <w:r>
        <w:rPr>
          <w:rFonts w:hint="default" w:ascii="仿宋" w:hAnsi="仿宋" w:eastAsia="仿宋" w:cs="Times New Roman"/>
          <w:color w:val="auto"/>
          <w:sz w:val="28"/>
          <w:szCs w:val="28"/>
          <w:highlight w:val="none"/>
          <w:lang w:val="en-US" w:eastAsia="zh-CN"/>
        </w:rPr>
        <w:t>干道</w:t>
      </w:r>
      <w:r>
        <w:rPr>
          <w:rFonts w:hint="eastAsia" w:ascii="仿宋" w:hAnsi="仿宋" w:eastAsia="仿宋" w:cs="Times New Roman"/>
          <w:color w:val="auto"/>
          <w:sz w:val="28"/>
          <w:szCs w:val="28"/>
          <w:highlight w:val="none"/>
          <w:lang w:val="en-US" w:eastAsia="zh-CN"/>
        </w:rPr>
        <w:t>金州大道</w:t>
      </w:r>
      <w:r>
        <w:rPr>
          <w:rFonts w:hint="default" w:ascii="仿宋" w:hAnsi="仿宋" w:eastAsia="仿宋" w:cs="Times New Roman"/>
          <w:color w:val="auto"/>
          <w:sz w:val="28"/>
          <w:szCs w:val="28"/>
          <w:highlight w:val="none"/>
          <w:lang w:val="en-US" w:eastAsia="zh-CN"/>
        </w:rPr>
        <w:t>，西侧为</w:t>
      </w:r>
      <w:r>
        <w:rPr>
          <w:rFonts w:hint="eastAsia" w:ascii="仿宋" w:hAnsi="仿宋" w:eastAsia="仿宋" w:cs="Times New Roman"/>
          <w:color w:val="auto"/>
          <w:sz w:val="28"/>
          <w:szCs w:val="28"/>
          <w:highlight w:val="none"/>
          <w:lang w:val="en-US" w:eastAsia="zh-CN"/>
        </w:rPr>
        <w:t>城市次干道湖彩路，北侧紧邻绿能机械停车楼</w:t>
      </w:r>
      <w:r>
        <w:rPr>
          <w:rFonts w:hint="default"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val="en-US" w:eastAsia="zh-CN"/>
        </w:rPr>
        <w:t>东侧为</w:t>
      </w:r>
      <w:r>
        <w:rPr>
          <w:rFonts w:hint="eastAsia" w:ascii="仿宋" w:hAnsi="仿宋" w:eastAsia="仿宋"/>
          <w:color w:val="auto"/>
          <w:sz w:val="28"/>
          <w:szCs w:val="28"/>
          <w:highlight w:val="none"/>
          <w:lang w:val="en-US" w:eastAsia="zh-CN"/>
        </w:rPr>
        <w:t>北大资源博雅小区</w:t>
      </w:r>
      <w:r>
        <w:rPr>
          <w:rFonts w:hint="eastAsia" w:ascii="仿宋" w:hAnsi="仿宋" w:eastAsia="仿宋" w:cs="Times New Roman"/>
          <w:color w:val="auto"/>
          <w:sz w:val="28"/>
          <w:szCs w:val="28"/>
          <w:highlight w:val="none"/>
          <w:lang w:val="en-US" w:eastAsia="zh-CN"/>
        </w:rPr>
        <w:t>，</w:t>
      </w:r>
      <w:r>
        <w:rPr>
          <w:rFonts w:hint="default" w:ascii="仿宋" w:hAnsi="仿宋" w:eastAsia="仿宋" w:cs="Times New Roman"/>
          <w:color w:val="auto"/>
          <w:sz w:val="28"/>
          <w:szCs w:val="28"/>
          <w:highlight w:val="none"/>
          <w:lang w:val="en-US" w:eastAsia="zh-CN"/>
        </w:rPr>
        <w:t>用地呈长方形形状</w:t>
      </w:r>
      <w:r>
        <w:rPr>
          <w:rFonts w:hint="eastAsia" w:ascii="仿宋" w:hAnsi="仿宋" w:eastAsia="仿宋" w:cs="Times New Roman"/>
          <w:color w:val="auto"/>
          <w:sz w:val="28"/>
          <w:szCs w:val="28"/>
          <w:highlight w:val="none"/>
          <w:lang w:val="en-US" w:eastAsia="zh-CN"/>
        </w:rPr>
        <w:t>（</w:t>
      </w:r>
      <w:r>
        <w:rPr>
          <w:rFonts w:hint="default" w:ascii="仿宋" w:hAnsi="仿宋" w:eastAsia="仿宋" w:cs="Times New Roman"/>
          <w:color w:val="auto"/>
          <w:sz w:val="28"/>
          <w:szCs w:val="28"/>
          <w:highlight w:val="none"/>
          <w:lang w:val="en-US" w:eastAsia="zh-CN"/>
        </w:rPr>
        <w:t>地块东西向最宽约为110.3m，最窄约为49.5m</w:t>
      </w:r>
      <w:r>
        <w:rPr>
          <w:rFonts w:hint="eastAsia" w:ascii="仿宋" w:hAnsi="仿宋" w:eastAsia="仿宋" w:cs="Times New Roman"/>
          <w:color w:val="auto"/>
          <w:sz w:val="28"/>
          <w:szCs w:val="28"/>
          <w:highlight w:val="none"/>
          <w:lang w:val="en-US" w:eastAsia="zh-CN"/>
        </w:rPr>
        <w:t>；</w:t>
      </w:r>
      <w:r>
        <w:rPr>
          <w:rFonts w:hint="default" w:ascii="仿宋" w:hAnsi="仿宋" w:eastAsia="仿宋" w:cs="Times New Roman"/>
          <w:color w:val="auto"/>
          <w:sz w:val="28"/>
          <w:szCs w:val="28"/>
          <w:highlight w:val="none"/>
          <w:lang w:val="en-US" w:eastAsia="zh-CN"/>
        </w:rPr>
        <w:t>南北向约为134.7m</w:t>
      </w:r>
      <w:r>
        <w:rPr>
          <w:rFonts w:hint="eastAsia" w:ascii="仿宋" w:hAnsi="仿宋" w:eastAsia="仿宋" w:cs="Times New Roman"/>
          <w:color w:val="auto"/>
          <w:sz w:val="28"/>
          <w:szCs w:val="28"/>
          <w:highlight w:val="none"/>
          <w:lang w:val="en-US" w:eastAsia="zh-CN"/>
        </w:rPr>
        <w:t>）。</w:t>
      </w:r>
      <w:r>
        <w:rPr>
          <w:rFonts w:hint="default" w:ascii="仿宋" w:hAnsi="仿宋" w:eastAsia="仿宋" w:cs="Times New Roman"/>
          <w:color w:val="auto"/>
          <w:sz w:val="28"/>
          <w:szCs w:val="28"/>
          <w:highlight w:val="none"/>
          <w:lang w:val="en-US" w:eastAsia="zh-CN"/>
        </w:rPr>
        <w:t>地块现状为空地，场地高差大。场地与道路标高有7~10m不等的高差</w:t>
      </w:r>
      <w:r>
        <w:rPr>
          <w:rFonts w:hint="eastAsia" w:ascii="仿宋" w:hAnsi="仿宋" w:eastAsia="仿宋" w:cs="Times New Roman"/>
          <w:color w:val="auto"/>
          <w:sz w:val="28"/>
          <w:szCs w:val="28"/>
          <w:highlight w:val="none"/>
          <w:lang w:val="en-US" w:eastAsia="zh-CN"/>
        </w:rPr>
        <w:t>，</w:t>
      </w:r>
      <w:r>
        <w:rPr>
          <w:rFonts w:hint="default" w:ascii="仿宋" w:hAnsi="仿宋" w:eastAsia="仿宋" w:cs="Times New Roman"/>
          <w:color w:val="auto"/>
          <w:sz w:val="28"/>
          <w:szCs w:val="28"/>
          <w:highlight w:val="none"/>
          <w:lang w:val="en-US" w:eastAsia="zh-CN"/>
        </w:rPr>
        <w:t>与北大资源博雅有7~10m高差。</w:t>
      </w:r>
      <w:r>
        <w:rPr>
          <w:rFonts w:hint="eastAsia" w:ascii="仿宋" w:hAnsi="仿宋" w:eastAsia="仿宋" w:cs="Times New Roman"/>
          <w:color w:val="auto"/>
          <w:sz w:val="28"/>
          <w:szCs w:val="28"/>
          <w:highlight w:val="none"/>
          <w:lang w:val="en-US" w:eastAsia="zh-CN"/>
        </w:rPr>
        <w:t>地块内结合城市次干道湖彩路已进行初平场地</w:t>
      </w:r>
      <w:r>
        <w:rPr>
          <w:rFonts w:hint="default" w:ascii="仿宋" w:hAnsi="仿宋" w:eastAsia="仿宋" w:cs="Times New Roman"/>
          <w:color w:val="auto"/>
          <w:sz w:val="28"/>
          <w:szCs w:val="28"/>
          <w:highlight w:val="none"/>
          <w:lang w:val="en-US" w:eastAsia="zh-CN"/>
        </w:rPr>
        <w:t>。</w:t>
      </w:r>
    </w:p>
    <w:p w14:paraId="1D59C604">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项目地块整体位于轨道交通5号线重光站安全保护区内，且局部进入轨道交通15号线重光站附属设施安全保护区内。</w:t>
      </w:r>
    </w:p>
    <w:p w14:paraId="749EDC22">
      <w:pPr>
        <w:numPr>
          <w:ilvl w:val="0"/>
          <w:numId w:val="4"/>
        </w:numPr>
        <w:rPr>
          <w:rFonts w:hint="eastAsia" w:ascii="仿宋" w:hAnsi="仿宋" w:eastAsia="仿宋" w:cs="Times New Roman"/>
          <w:b/>
          <w:bCs/>
          <w:color w:val="auto"/>
          <w:sz w:val="28"/>
          <w:szCs w:val="28"/>
          <w:highlight w:val="none"/>
          <w:lang w:val="en-US" w:eastAsia="zh-CN"/>
        </w:rPr>
      </w:pPr>
      <w:r>
        <w:rPr>
          <w:rFonts w:hint="eastAsia" w:ascii="仿宋" w:hAnsi="仿宋" w:eastAsia="仿宋" w:cs="Times New Roman"/>
          <w:b/>
          <w:bCs/>
          <w:color w:val="auto"/>
          <w:sz w:val="28"/>
          <w:szCs w:val="28"/>
          <w:highlight w:val="none"/>
          <w:lang w:val="en-US" w:eastAsia="zh-CN"/>
        </w:rPr>
        <w:t>工程概况</w:t>
      </w:r>
    </w:p>
    <w:p w14:paraId="08D0B9D0">
      <w:pPr>
        <w:pStyle w:val="24"/>
        <w:ind w:firstLine="56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地块内</w:t>
      </w:r>
      <w:r>
        <w:rPr>
          <w:rFonts w:hint="eastAsia" w:ascii="仿宋" w:hAnsi="仿宋" w:eastAsia="仿宋"/>
          <w:color w:val="auto"/>
          <w:sz w:val="28"/>
          <w:szCs w:val="28"/>
          <w:highlight w:val="none"/>
        </w:rPr>
        <w:t>共设计了</w:t>
      </w:r>
      <w:r>
        <w:rPr>
          <w:rFonts w:hint="eastAsia" w:ascii="仿宋" w:hAnsi="仿宋" w:eastAsia="仿宋"/>
          <w:color w:val="auto"/>
          <w:sz w:val="28"/>
          <w:szCs w:val="28"/>
          <w:highlight w:val="none"/>
          <w:lang w:val="en-US" w:eastAsia="zh-CN"/>
        </w:rPr>
        <w:t>6</w:t>
      </w:r>
      <w:r>
        <w:rPr>
          <w:rFonts w:ascii="仿宋" w:hAnsi="仿宋" w:eastAsia="仿宋"/>
          <w:color w:val="auto"/>
          <w:sz w:val="28"/>
          <w:szCs w:val="28"/>
          <w:highlight w:val="none"/>
        </w:rPr>
        <w:t>栋</w:t>
      </w:r>
      <w:r>
        <w:rPr>
          <w:rFonts w:hint="eastAsia" w:ascii="仿宋" w:hAnsi="仿宋" w:eastAsia="仿宋"/>
          <w:color w:val="auto"/>
          <w:sz w:val="28"/>
          <w:szCs w:val="28"/>
          <w:highlight w:val="none"/>
          <w:lang w:val="en-US" w:eastAsia="zh-CN"/>
        </w:rPr>
        <w:t>商业和沿街商业及车库</w:t>
      </w:r>
      <w:r>
        <w:rPr>
          <w:rFonts w:ascii="仿宋" w:hAnsi="仿宋" w:eastAsia="仿宋"/>
          <w:color w:val="auto"/>
          <w:sz w:val="28"/>
          <w:szCs w:val="28"/>
          <w:highlight w:val="none"/>
        </w:rPr>
        <w:t>，其中</w:t>
      </w:r>
      <w:r>
        <w:rPr>
          <w:rFonts w:hint="eastAsia" w:ascii="仿宋" w:hAnsi="仿宋" w:eastAsia="仿宋"/>
          <w:color w:val="auto"/>
          <w:sz w:val="28"/>
          <w:szCs w:val="28"/>
          <w:highlight w:val="none"/>
        </w:rPr>
        <w:t>1#楼为</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多层公共建筑</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多层公共建筑</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多层公共建筑</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多层公共建筑，5</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单层公共建筑，6</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单层公共建筑</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沿街商业及车库：沿街商业</w:t>
      </w:r>
      <w:r>
        <w:rPr>
          <w:rFonts w:hint="eastAsia" w:ascii="仿宋" w:hAnsi="仿宋" w:eastAsia="仿宋"/>
          <w:color w:val="auto"/>
          <w:sz w:val="28"/>
          <w:szCs w:val="28"/>
          <w:highlight w:val="none"/>
        </w:rPr>
        <w:t>为</w:t>
      </w:r>
      <w:r>
        <w:rPr>
          <w:rFonts w:hint="eastAsia" w:ascii="仿宋" w:hAnsi="仿宋" w:eastAsia="仿宋"/>
          <w:color w:val="auto"/>
          <w:sz w:val="28"/>
          <w:szCs w:val="28"/>
          <w:highlight w:val="none"/>
          <w:lang w:val="en-US" w:eastAsia="zh-CN"/>
        </w:rPr>
        <w:t>平街1</w:t>
      </w:r>
      <w:r>
        <w:rPr>
          <w:rFonts w:hint="eastAsia" w:ascii="仿宋" w:hAnsi="仿宋" w:eastAsia="仿宋"/>
          <w:color w:val="auto"/>
          <w:sz w:val="28"/>
          <w:szCs w:val="28"/>
          <w:highlight w:val="none"/>
        </w:rPr>
        <w:t>层的</w:t>
      </w:r>
      <w:r>
        <w:rPr>
          <w:rFonts w:hint="eastAsia" w:ascii="仿宋" w:hAnsi="仿宋" w:eastAsia="仿宋"/>
          <w:color w:val="auto"/>
          <w:sz w:val="28"/>
          <w:szCs w:val="28"/>
          <w:highlight w:val="none"/>
          <w:lang w:val="en-US" w:eastAsia="zh-CN"/>
        </w:rPr>
        <w:t>公共建筑，车库</w:t>
      </w:r>
      <w:r>
        <w:rPr>
          <w:rFonts w:hint="eastAsia" w:ascii="仿宋" w:hAnsi="仿宋" w:eastAsia="仿宋"/>
          <w:color w:val="auto"/>
          <w:sz w:val="28"/>
          <w:szCs w:val="28"/>
          <w:highlight w:val="none"/>
        </w:rPr>
        <w:t>位于地下部分</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包含公交首末站，机械停车库及设备用房。该地块总建筑面积为11434.61㎡，其中总计容建筑面积为4199.61㎡；其中，公厕总建筑面积为114.65㎡，公交首末站建筑面积为4779.40㎡，商业建筑面积为4199.61㎡，机械停车库及设备用房建筑面积为2340.95㎡。</w:t>
      </w:r>
    </w:p>
    <w:p w14:paraId="24CF424D">
      <w:pPr>
        <w:pStyle w:val="24"/>
        <w:ind w:firstLine="560"/>
        <w:rPr>
          <w:rFonts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1#楼为多层公共建筑，规划建筑高度为16.40m，地上2</w:t>
      </w:r>
      <w:r>
        <w:rPr>
          <w:rFonts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#楼</w:t>
      </w:r>
      <w:r>
        <w:rPr>
          <w:rFonts w:hint="eastAsia" w:ascii="仿宋" w:hAnsi="仿宋" w:eastAsia="仿宋"/>
          <w:color w:val="auto"/>
          <w:sz w:val="28"/>
          <w:szCs w:val="28"/>
          <w:highlight w:val="none"/>
          <w:lang w:val="en-US" w:eastAsia="zh-CN"/>
        </w:rPr>
        <w:t>为多层公共建筑，</w:t>
      </w:r>
      <w:r>
        <w:rPr>
          <w:rFonts w:hint="eastAsia" w:ascii="仿宋" w:hAnsi="仿宋" w:eastAsia="仿宋"/>
          <w:color w:val="auto"/>
          <w:sz w:val="28"/>
          <w:szCs w:val="28"/>
          <w:highlight w:val="none"/>
        </w:rPr>
        <w:t>规划建筑高度为</w:t>
      </w:r>
      <w:r>
        <w:rPr>
          <w:rFonts w:hint="eastAsia" w:ascii="仿宋" w:hAnsi="仿宋" w:eastAsia="仿宋"/>
          <w:color w:val="auto"/>
          <w:sz w:val="28"/>
          <w:szCs w:val="28"/>
          <w:highlight w:val="none"/>
          <w:lang w:val="en-US" w:eastAsia="zh-CN"/>
        </w:rPr>
        <w:t>14.5</w:t>
      </w:r>
      <w:r>
        <w:rPr>
          <w:rFonts w:ascii="仿宋" w:hAnsi="仿宋" w:eastAsia="仿宋"/>
          <w:color w:val="auto"/>
          <w:sz w:val="28"/>
          <w:szCs w:val="28"/>
          <w:highlight w:val="none"/>
        </w:rPr>
        <w:t>m，地上</w:t>
      </w:r>
      <w:r>
        <w:rPr>
          <w:rFonts w:hint="eastAsia" w:ascii="仿宋" w:hAnsi="仿宋" w:eastAsia="仿宋"/>
          <w:color w:val="auto"/>
          <w:sz w:val="28"/>
          <w:szCs w:val="28"/>
          <w:highlight w:val="none"/>
          <w:lang w:val="en-US" w:eastAsia="zh-CN"/>
        </w:rPr>
        <w:t>3</w:t>
      </w:r>
      <w:r>
        <w:rPr>
          <w:rFonts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#楼</w:t>
      </w:r>
      <w:r>
        <w:rPr>
          <w:rFonts w:hint="eastAsia" w:ascii="仿宋" w:hAnsi="仿宋" w:eastAsia="仿宋"/>
          <w:color w:val="auto"/>
          <w:sz w:val="28"/>
          <w:szCs w:val="28"/>
          <w:highlight w:val="none"/>
          <w:lang w:val="en-US" w:eastAsia="zh-CN"/>
        </w:rPr>
        <w:t>为多层公共建筑，</w:t>
      </w:r>
      <w:r>
        <w:rPr>
          <w:rFonts w:hint="eastAsia" w:ascii="仿宋" w:hAnsi="仿宋" w:eastAsia="仿宋"/>
          <w:color w:val="auto"/>
          <w:sz w:val="28"/>
          <w:szCs w:val="28"/>
          <w:highlight w:val="none"/>
        </w:rPr>
        <w:t>规划建筑高度为</w:t>
      </w:r>
      <w:r>
        <w:rPr>
          <w:rFonts w:hint="eastAsia" w:ascii="仿宋" w:hAnsi="仿宋" w:eastAsia="仿宋"/>
          <w:color w:val="auto"/>
          <w:sz w:val="28"/>
          <w:szCs w:val="28"/>
          <w:highlight w:val="none"/>
          <w:lang w:val="en-US" w:eastAsia="zh-CN"/>
        </w:rPr>
        <w:t>14.5</w:t>
      </w:r>
      <w:r>
        <w:rPr>
          <w:rFonts w:ascii="仿宋" w:hAnsi="仿宋" w:eastAsia="仿宋"/>
          <w:color w:val="auto"/>
          <w:sz w:val="28"/>
          <w:szCs w:val="28"/>
          <w:highlight w:val="none"/>
        </w:rPr>
        <w:t>m，地上</w:t>
      </w:r>
      <w:r>
        <w:rPr>
          <w:rFonts w:hint="eastAsia" w:ascii="仿宋" w:hAnsi="仿宋" w:eastAsia="仿宋"/>
          <w:color w:val="auto"/>
          <w:sz w:val="28"/>
          <w:szCs w:val="28"/>
          <w:highlight w:val="none"/>
          <w:lang w:val="en-US" w:eastAsia="zh-CN"/>
        </w:rPr>
        <w:t>3</w:t>
      </w:r>
      <w:r>
        <w:rPr>
          <w:rFonts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4</w:t>
      </w:r>
      <w:r>
        <w:rPr>
          <w:rFonts w:ascii="仿宋" w:hAnsi="仿宋" w:eastAsia="仿宋"/>
          <w:color w:val="auto"/>
          <w:sz w:val="28"/>
          <w:szCs w:val="28"/>
          <w:highlight w:val="none"/>
        </w:rPr>
        <w:t>#楼</w:t>
      </w:r>
      <w:r>
        <w:rPr>
          <w:rFonts w:hint="eastAsia" w:ascii="仿宋" w:hAnsi="仿宋" w:eastAsia="仿宋"/>
          <w:color w:val="auto"/>
          <w:sz w:val="28"/>
          <w:szCs w:val="28"/>
          <w:highlight w:val="none"/>
        </w:rPr>
        <w:t>为多层</w:t>
      </w:r>
      <w:r>
        <w:rPr>
          <w:rFonts w:hint="eastAsia" w:ascii="仿宋" w:hAnsi="仿宋" w:eastAsia="仿宋"/>
          <w:color w:val="auto"/>
          <w:sz w:val="28"/>
          <w:szCs w:val="28"/>
          <w:highlight w:val="none"/>
          <w:lang w:val="en-US" w:eastAsia="zh-CN"/>
        </w:rPr>
        <w:t>公共</w:t>
      </w:r>
      <w:r>
        <w:rPr>
          <w:rFonts w:hint="eastAsia" w:ascii="仿宋" w:hAnsi="仿宋" w:eastAsia="仿宋"/>
          <w:color w:val="auto"/>
          <w:sz w:val="28"/>
          <w:szCs w:val="28"/>
          <w:highlight w:val="none"/>
        </w:rPr>
        <w:t>建筑，规划建筑高度为</w:t>
      </w:r>
      <w:r>
        <w:rPr>
          <w:rFonts w:hint="eastAsia" w:ascii="仿宋" w:hAnsi="仿宋" w:eastAsia="仿宋"/>
          <w:color w:val="auto"/>
          <w:sz w:val="28"/>
          <w:szCs w:val="28"/>
          <w:highlight w:val="none"/>
          <w:lang w:val="en-US" w:eastAsia="zh-CN"/>
        </w:rPr>
        <w:t>9.70m</w:t>
      </w:r>
      <w:r>
        <w:rPr>
          <w:rFonts w:ascii="仿宋" w:hAnsi="仿宋" w:eastAsia="仿宋"/>
          <w:color w:val="auto"/>
          <w:sz w:val="28"/>
          <w:szCs w:val="28"/>
          <w:highlight w:val="none"/>
        </w:rPr>
        <w:t>，地上</w:t>
      </w:r>
      <w:r>
        <w:rPr>
          <w:rFonts w:hint="eastAsia" w:ascii="仿宋" w:hAnsi="仿宋" w:eastAsia="仿宋"/>
          <w:color w:val="auto"/>
          <w:sz w:val="28"/>
          <w:szCs w:val="28"/>
          <w:highlight w:val="none"/>
          <w:lang w:val="en-US" w:eastAsia="zh-CN"/>
        </w:rPr>
        <w:t>2</w:t>
      </w:r>
      <w:r>
        <w:rPr>
          <w:rFonts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单</w:t>
      </w:r>
      <w:r>
        <w:rPr>
          <w:rFonts w:hint="eastAsia"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公共</w:t>
      </w:r>
      <w:r>
        <w:rPr>
          <w:rFonts w:hint="eastAsia" w:ascii="仿宋" w:hAnsi="仿宋" w:eastAsia="仿宋"/>
          <w:color w:val="auto"/>
          <w:sz w:val="28"/>
          <w:szCs w:val="28"/>
          <w:highlight w:val="none"/>
        </w:rPr>
        <w:t>建筑，规划建筑高度为</w:t>
      </w:r>
      <w:r>
        <w:rPr>
          <w:rFonts w:hint="eastAsia" w:ascii="仿宋" w:hAnsi="仿宋" w:eastAsia="仿宋"/>
          <w:color w:val="auto"/>
          <w:sz w:val="28"/>
          <w:szCs w:val="28"/>
          <w:highlight w:val="none"/>
          <w:lang w:val="en-US" w:eastAsia="zh-CN"/>
        </w:rPr>
        <w:t>4.9</w:t>
      </w:r>
      <w:r>
        <w:rPr>
          <w:rFonts w:ascii="仿宋" w:hAnsi="仿宋" w:eastAsia="仿宋"/>
          <w:color w:val="auto"/>
          <w:sz w:val="28"/>
          <w:szCs w:val="28"/>
          <w:highlight w:val="none"/>
        </w:rPr>
        <w:t>m，地上</w:t>
      </w:r>
      <w:r>
        <w:rPr>
          <w:rFonts w:hint="eastAsia" w:ascii="仿宋" w:hAnsi="仿宋" w:eastAsia="仿宋"/>
          <w:color w:val="auto"/>
          <w:sz w:val="28"/>
          <w:szCs w:val="28"/>
          <w:highlight w:val="none"/>
          <w:lang w:val="en-US" w:eastAsia="zh-CN"/>
        </w:rPr>
        <w:t>1</w:t>
      </w:r>
      <w:r>
        <w:rPr>
          <w:rFonts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#楼为</w:t>
      </w:r>
      <w:r>
        <w:rPr>
          <w:rFonts w:hint="eastAsia" w:ascii="仿宋" w:hAnsi="仿宋" w:eastAsia="仿宋"/>
          <w:color w:val="auto"/>
          <w:sz w:val="28"/>
          <w:szCs w:val="28"/>
          <w:highlight w:val="none"/>
          <w:lang w:val="en-US" w:eastAsia="zh-CN"/>
        </w:rPr>
        <w:t>单</w:t>
      </w:r>
      <w:r>
        <w:rPr>
          <w:rFonts w:hint="eastAsia" w:ascii="仿宋" w:hAnsi="仿宋" w:eastAsia="仿宋"/>
          <w:color w:val="auto"/>
          <w:sz w:val="28"/>
          <w:szCs w:val="28"/>
          <w:highlight w:val="none"/>
        </w:rPr>
        <w:t>层</w:t>
      </w:r>
      <w:r>
        <w:rPr>
          <w:rFonts w:hint="eastAsia" w:ascii="仿宋" w:hAnsi="仿宋" w:eastAsia="仿宋"/>
          <w:color w:val="auto"/>
          <w:sz w:val="28"/>
          <w:szCs w:val="28"/>
          <w:highlight w:val="none"/>
          <w:lang w:val="en-US" w:eastAsia="zh-CN"/>
        </w:rPr>
        <w:t>公共</w:t>
      </w:r>
      <w:r>
        <w:rPr>
          <w:rFonts w:hint="eastAsia" w:ascii="仿宋" w:hAnsi="仿宋" w:eastAsia="仿宋"/>
          <w:color w:val="auto"/>
          <w:sz w:val="28"/>
          <w:szCs w:val="28"/>
          <w:highlight w:val="none"/>
        </w:rPr>
        <w:t>建筑，规划建筑高度为</w:t>
      </w:r>
      <w:r>
        <w:rPr>
          <w:rFonts w:hint="eastAsia" w:ascii="仿宋" w:hAnsi="仿宋" w:eastAsia="仿宋"/>
          <w:color w:val="auto"/>
          <w:sz w:val="28"/>
          <w:szCs w:val="28"/>
          <w:highlight w:val="none"/>
          <w:lang w:val="en-US" w:eastAsia="zh-CN"/>
        </w:rPr>
        <w:t>4.9</w:t>
      </w:r>
      <w:r>
        <w:rPr>
          <w:rFonts w:ascii="仿宋" w:hAnsi="仿宋" w:eastAsia="仿宋"/>
          <w:color w:val="auto"/>
          <w:sz w:val="28"/>
          <w:szCs w:val="28"/>
          <w:highlight w:val="none"/>
        </w:rPr>
        <w:t>m，地上</w:t>
      </w:r>
      <w:r>
        <w:rPr>
          <w:rFonts w:hint="eastAsia" w:ascii="仿宋" w:hAnsi="仿宋" w:eastAsia="仿宋"/>
          <w:color w:val="auto"/>
          <w:sz w:val="28"/>
          <w:szCs w:val="28"/>
          <w:highlight w:val="none"/>
          <w:lang w:val="en-US" w:eastAsia="zh-CN"/>
        </w:rPr>
        <w:t>1</w:t>
      </w:r>
      <w:r>
        <w:rPr>
          <w:rFonts w:ascii="仿宋" w:hAnsi="仿宋" w:eastAsia="仿宋"/>
          <w:color w:val="auto"/>
          <w:sz w:val="28"/>
          <w:szCs w:val="28"/>
          <w:highlight w:val="none"/>
        </w:rPr>
        <w:t>层</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#楼</w:t>
      </w:r>
      <w:r>
        <w:rPr>
          <w:rFonts w:hint="eastAsia" w:ascii="仿宋" w:hAnsi="仿宋" w:eastAsia="仿宋"/>
          <w:color w:val="auto"/>
          <w:sz w:val="28"/>
          <w:szCs w:val="28"/>
          <w:highlight w:val="none"/>
          <w:lang w:val="en-US" w:eastAsia="zh-CN"/>
        </w:rPr>
        <w:t>、2#楼、3#楼、4</w:t>
      </w:r>
      <w:r>
        <w:rPr>
          <w:rFonts w:ascii="仿宋" w:hAnsi="仿宋" w:eastAsia="仿宋"/>
          <w:color w:val="auto"/>
          <w:sz w:val="28"/>
          <w:szCs w:val="28"/>
          <w:highlight w:val="none"/>
        </w:rPr>
        <w:t>#楼</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5#楼、6#楼、沿街商业</w:t>
      </w:r>
      <w:r>
        <w:rPr>
          <w:rFonts w:hint="eastAsia" w:ascii="仿宋" w:hAnsi="仿宋" w:eastAsia="仿宋"/>
          <w:color w:val="auto"/>
          <w:sz w:val="28"/>
          <w:szCs w:val="28"/>
          <w:highlight w:val="none"/>
        </w:rPr>
        <w:t>的耐火等级</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为Ⅱ级，</w:t>
      </w:r>
      <w:r>
        <w:rPr>
          <w:rFonts w:hint="eastAsia" w:ascii="仿宋" w:hAnsi="仿宋" w:eastAsia="仿宋"/>
          <w:color w:val="auto"/>
          <w:sz w:val="28"/>
          <w:szCs w:val="28"/>
          <w:highlight w:val="none"/>
          <w:lang w:val="en-US" w:eastAsia="zh-CN"/>
        </w:rPr>
        <w:t>车库</w:t>
      </w:r>
      <w:r>
        <w:rPr>
          <w:rFonts w:hint="eastAsia" w:ascii="仿宋" w:hAnsi="仿宋" w:eastAsia="仿宋"/>
          <w:color w:val="auto"/>
          <w:sz w:val="28"/>
          <w:szCs w:val="28"/>
          <w:highlight w:val="none"/>
        </w:rPr>
        <w:t>的耐火等级</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为Ⅰ级</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屋面防水等级</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为Ⅰ级，抗震设防烈度为6度，主要结构类型为框架结构</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基础采用独立基础</w:t>
      </w:r>
      <w:r>
        <w:rPr>
          <w:rFonts w:hint="eastAsia" w:ascii="仿宋" w:hAnsi="仿宋" w:eastAsia="仿宋"/>
          <w:color w:val="auto"/>
          <w:sz w:val="28"/>
          <w:szCs w:val="28"/>
          <w:highlight w:val="none"/>
        </w:rPr>
        <w:t>，合理使用年限为50年</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rPr>
        <w:t xml:space="preserve"> </w:t>
      </w:r>
    </w:p>
    <w:p w14:paraId="560BF8A9">
      <w:pPr>
        <w:numPr>
          <w:ilvl w:val="0"/>
          <w:numId w:val="4"/>
        </w:numPr>
        <w:ind w:left="0" w:leftChars="0" w:firstLine="0" w:firstLineChars="0"/>
        <w:rPr>
          <w:rFonts w:hint="eastAsia" w:ascii="仿宋" w:hAnsi="仿宋" w:eastAsia="仿宋"/>
          <w:b/>
          <w:bCs/>
          <w:color w:val="auto"/>
          <w:sz w:val="28"/>
          <w:szCs w:val="28"/>
          <w:highlight w:val="none"/>
          <w:lang w:val="en-US" w:eastAsia="zh-CN"/>
        </w:rPr>
      </w:pPr>
      <w:r>
        <w:rPr>
          <w:rFonts w:hint="eastAsia" w:ascii="仿宋" w:hAnsi="仿宋" w:eastAsia="仿宋"/>
          <w:b/>
          <w:bCs/>
          <w:color w:val="auto"/>
          <w:sz w:val="28"/>
          <w:szCs w:val="28"/>
          <w:highlight w:val="none"/>
          <w:lang w:val="en-US" w:eastAsia="zh-CN"/>
        </w:rPr>
        <w:t>涉轨情况</w:t>
      </w:r>
    </w:p>
    <w:p w14:paraId="25269687">
      <w:pPr>
        <w:numPr>
          <w:ilvl w:val="0"/>
          <w:numId w:val="0"/>
        </w:numPr>
        <w:ind w:firstLine="420" w:firstLineChars="200"/>
        <w:rPr>
          <w:rFonts w:hint="eastAsia" w:ascii="仿宋" w:hAnsi="仿宋" w:eastAsia="仿宋"/>
          <w:color w:val="auto"/>
          <w:sz w:val="28"/>
          <w:szCs w:val="28"/>
          <w:highlight w:val="none"/>
          <w:lang w:val="en-US" w:eastAsia="zh-CN"/>
        </w:rPr>
      </w:pPr>
      <w:r>
        <w:rPr>
          <w:highlight w:val="none"/>
        </w:rPr>
        <w:drawing>
          <wp:anchor distT="0" distB="0" distL="114300" distR="114300" simplePos="0" relativeHeight="251661312" behindDoc="0" locked="0" layoutInCell="1" allowOverlap="1">
            <wp:simplePos x="0" y="0"/>
            <wp:positionH relativeFrom="column">
              <wp:posOffset>2743200</wp:posOffset>
            </wp:positionH>
            <wp:positionV relativeFrom="paragraph">
              <wp:posOffset>652145</wp:posOffset>
            </wp:positionV>
            <wp:extent cx="2828925" cy="1979295"/>
            <wp:effectExtent l="0" t="0" r="9525" b="1905"/>
            <wp:wrapSquare wrapText="bothSides"/>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5"/>
                    <a:stretch>
                      <a:fillRect/>
                    </a:stretch>
                  </pic:blipFill>
                  <pic:spPr>
                    <a:xfrm>
                      <a:off x="0" y="0"/>
                      <a:ext cx="2828925" cy="1979295"/>
                    </a:xfrm>
                    <a:prstGeom prst="rect">
                      <a:avLst/>
                    </a:prstGeom>
                    <a:noFill/>
                    <a:ln>
                      <a:noFill/>
                    </a:ln>
                  </pic:spPr>
                </pic:pic>
              </a:graphicData>
            </a:graphic>
          </wp:anchor>
        </w:drawing>
      </w:r>
      <w:r>
        <w:rPr>
          <w:rFonts w:hint="eastAsia" w:ascii="仿宋" w:hAnsi="仿宋" w:eastAsia="仿宋"/>
          <w:color w:val="auto"/>
          <w:sz w:val="28"/>
          <w:szCs w:val="28"/>
          <w:highlight w:val="none"/>
          <w:lang w:val="en-US" w:eastAsia="zh-CN"/>
        </w:rPr>
        <w:t>地块建筑位于轨道5号线重光站正上方，采用独立基础。建筑底板（标高412.70m）与轨道5号线重光站主体结构顶（标高398.017m）的竖向高差14.08m；独立基础底（标高412.00m）与轨道5号线4号出入口结构顶（标高393.874m）的竖向高差18.13m。靠近北大资源博雅侧采用桩板挡墙支护，挡墙悬臂高度10.56m，挡墙与4号出入口的最近水平距离为30.61m。</w:t>
      </w:r>
    </w:p>
    <w:p w14:paraId="199A736A">
      <w:pPr>
        <w:numPr>
          <w:ilvl w:val="0"/>
          <w:numId w:val="0"/>
        </w:num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地块建筑与轨道15号线重光站5号风亭组、换乘通道及轨道5号线2号出入口的关系。本项目红线与5号风亭组最近水平距离约3.76m，本地块以项目红线为坡脚进行放坡开挖，放坡坡率1:1，坡面采用方格网骨架护坡，边坡开挖时局部会将5号风亭组临时支护暴露出来，暴露最高高度约3.53m。开挖不会破坏结构防水。独立基础</w:t>
      </w:r>
      <w:r>
        <w:rPr>
          <w:highlight w:val="none"/>
        </w:rPr>
        <w:drawing>
          <wp:anchor distT="0" distB="0" distL="114300" distR="114300" simplePos="0" relativeHeight="251662336" behindDoc="0" locked="0" layoutInCell="1" allowOverlap="1">
            <wp:simplePos x="0" y="0"/>
            <wp:positionH relativeFrom="column">
              <wp:posOffset>2367915</wp:posOffset>
            </wp:positionH>
            <wp:positionV relativeFrom="paragraph">
              <wp:posOffset>57150</wp:posOffset>
            </wp:positionV>
            <wp:extent cx="3037840" cy="2633345"/>
            <wp:effectExtent l="0" t="0" r="10160" b="14605"/>
            <wp:wrapSquare wrapText="bothSides"/>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37840" cy="2633345"/>
                    </a:xfrm>
                    <a:prstGeom prst="rect">
                      <a:avLst/>
                    </a:prstGeom>
                    <a:noFill/>
                    <a:ln>
                      <a:noFill/>
                    </a:ln>
                  </pic:spPr>
                </pic:pic>
              </a:graphicData>
            </a:graphic>
          </wp:anchor>
        </w:drawing>
      </w:r>
      <w:r>
        <w:rPr>
          <w:rFonts w:hint="eastAsia" w:ascii="仿宋" w:hAnsi="仿宋" w:eastAsia="仿宋"/>
          <w:color w:val="auto"/>
          <w:sz w:val="28"/>
          <w:szCs w:val="28"/>
          <w:highlight w:val="none"/>
          <w:lang w:val="en-US" w:eastAsia="zh-CN"/>
        </w:rPr>
        <w:t>与轨道15号线5号风亭组最近水平距离5.15m，结构基础按45°角荷载传递时会有附加荷载传递至5号风亭组结构上；独立基础底（标高412.200m）与轨道15号线换乘通道顶（标高392.524m）的竖向高差为19.68m，与轨道5号线2号出入口水平距离为45.51m，与2号出入口顶（标高393.490m）的竖向距离为20.91m。</w:t>
      </w:r>
    </w:p>
    <w:p w14:paraId="0F054BB6">
      <w:pPr>
        <w:jc w:val="center"/>
        <w:rPr>
          <w:rFonts w:hint="eastAsia"/>
          <w:sz w:val="44"/>
          <w:szCs w:val="44"/>
          <w:highlight w:val="none"/>
        </w:rPr>
      </w:pPr>
      <w:r>
        <w:rPr>
          <w:rFonts w:hint="eastAsia"/>
          <w:sz w:val="44"/>
          <w:szCs w:val="44"/>
          <w:highlight w:val="none"/>
          <w:lang w:val="en-US" w:eastAsia="zh-CN"/>
        </w:rPr>
        <w:t>溉澜溪</w:t>
      </w:r>
      <w:r>
        <w:rPr>
          <w:rFonts w:hint="eastAsia"/>
          <w:sz w:val="44"/>
          <w:szCs w:val="44"/>
          <w:highlight w:val="none"/>
        </w:rPr>
        <w:t>项目简介</w:t>
      </w:r>
    </w:p>
    <w:p w14:paraId="05D9388B">
      <w:pPr>
        <w:ind w:firstLine="643" w:firstLineChars="200"/>
        <w:rPr>
          <w:rFonts w:hint="eastAsia"/>
          <w:b/>
          <w:sz w:val="32"/>
          <w:szCs w:val="32"/>
          <w:highlight w:val="none"/>
        </w:rPr>
      </w:pPr>
    </w:p>
    <w:p w14:paraId="50B5E062">
      <w:pPr>
        <w:ind w:firstLine="643" w:firstLineChars="200"/>
        <w:rPr>
          <w:rFonts w:hint="eastAsia"/>
          <w:b/>
          <w:sz w:val="32"/>
          <w:szCs w:val="32"/>
          <w:highlight w:val="none"/>
        </w:rPr>
      </w:pPr>
      <w:r>
        <w:rPr>
          <w:rFonts w:hint="eastAsia"/>
          <w:b/>
          <w:sz w:val="32"/>
          <w:szCs w:val="32"/>
          <w:highlight w:val="none"/>
        </w:rPr>
        <w:t>一、项目区位</w:t>
      </w:r>
    </w:p>
    <w:p w14:paraId="70D77973">
      <w:pPr>
        <w:ind w:firstLine="560" w:firstLineChars="200"/>
        <w:rPr>
          <w:rFonts w:hint="eastAsia"/>
          <w:sz w:val="28"/>
          <w:szCs w:val="28"/>
          <w:highlight w:val="none"/>
        </w:rPr>
      </w:pPr>
      <w:r>
        <w:rPr>
          <w:rFonts w:hint="eastAsia"/>
          <w:sz w:val="28"/>
          <w:szCs w:val="28"/>
          <w:highlight w:val="none"/>
        </w:rPr>
        <w:t>本工程为新建工程，建设地点位于位于溉澜溪片区G12-4/02地块，北临凤澜路，东临江溉大道及轨道交通9号线，紧邻溉澜溪站，用地面积0.92公顷。地块形状较为方正，南北长约120米，东西宽约80米，用地面积约9236平方米。</w:t>
      </w:r>
      <w:r>
        <w:rPr>
          <w:rFonts w:hint="eastAsia"/>
          <w:sz w:val="28"/>
          <w:szCs w:val="28"/>
          <w:highlight w:val="none"/>
          <w:lang w:val="en-US" w:eastAsia="zh-CN"/>
        </w:rPr>
        <w:t>地块北临凤澜路，东接江溉大道，西侧和南侧紧靠万科御澜道社区商业</w:t>
      </w:r>
      <w:r>
        <w:rPr>
          <w:rFonts w:hint="eastAsia"/>
          <w:sz w:val="28"/>
          <w:szCs w:val="28"/>
          <w:highlight w:val="none"/>
        </w:rPr>
        <w:t>。</w:t>
      </w:r>
      <w:r>
        <w:rPr>
          <w:rFonts w:hint="eastAsia"/>
          <w:sz w:val="28"/>
          <w:szCs w:val="28"/>
          <w:highlight w:val="none"/>
          <w:lang w:val="en-US" w:eastAsia="zh-CN"/>
        </w:rPr>
        <w:t>地块地貌较为平整，地形南高北低，最大高差约为4米。</w:t>
      </w:r>
      <w:r>
        <w:rPr>
          <w:rFonts w:hint="eastAsia"/>
          <w:sz w:val="28"/>
          <w:szCs w:val="28"/>
          <w:highlight w:val="none"/>
        </w:rPr>
        <w:t>溉澜溪站1A出入口设置于地块东侧。</w:t>
      </w:r>
    </w:p>
    <w:p w14:paraId="602E15B7">
      <w:pPr>
        <w:ind w:firstLine="562" w:firstLineChars="200"/>
        <w:rPr>
          <w:rFonts w:hint="eastAsia"/>
          <w:b/>
          <w:sz w:val="28"/>
          <w:szCs w:val="28"/>
          <w:highlight w:val="none"/>
        </w:rPr>
      </w:pPr>
      <w:r>
        <w:rPr>
          <w:rFonts w:hint="eastAsia"/>
          <w:b/>
          <w:sz w:val="28"/>
          <w:szCs w:val="28"/>
          <w:highlight w:val="none"/>
        </w:rPr>
        <w:t>二、项目概况</w:t>
      </w:r>
    </w:p>
    <w:p w14:paraId="72D2A618">
      <w:pPr>
        <w:ind w:firstLine="560" w:firstLineChars="200"/>
        <w:rPr>
          <w:rFonts w:hint="eastAsia"/>
          <w:sz w:val="28"/>
          <w:szCs w:val="28"/>
          <w:highlight w:val="none"/>
        </w:rPr>
      </w:pPr>
      <w:r>
        <w:rPr>
          <w:rFonts w:hint="eastAsia"/>
          <w:sz w:val="28"/>
          <w:szCs w:val="28"/>
          <w:highlight w:val="none"/>
        </w:rPr>
        <w:t>本项目总用地面积为</w:t>
      </w:r>
      <w:r>
        <w:rPr>
          <w:rFonts w:hint="eastAsia"/>
          <w:sz w:val="28"/>
          <w:szCs w:val="28"/>
          <w:highlight w:val="none"/>
          <w:lang w:val="en-US" w:eastAsia="zh-CN"/>
        </w:rPr>
        <w:t>9232</w:t>
      </w:r>
      <w:r>
        <w:rPr>
          <w:rFonts w:hint="eastAsia"/>
          <w:sz w:val="28"/>
          <w:szCs w:val="28"/>
          <w:highlight w:val="none"/>
        </w:rPr>
        <w:t>㎡，总建筑面积约23758.62㎡(其中地上16644.55㎡,地下7114.07㎡)，主要功能为商业、配套车库、配套用房。建筑层数：</w:t>
      </w:r>
      <w:r>
        <w:rPr>
          <w:rFonts w:hint="eastAsia"/>
          <w:sz w:val="28"/>
          <w:szCs w:val="28"/>
          <w:highlight w:val="none"/>
          <w:lang w:val="en-US" w:eastAsia="zh-CN"/>
        </w:rPr>
        <w:t>5</w:t>
      </w:r>
      <w:r>
        <w:rPr>
          <w:rFonts w:hint="eastAsia"/>
          <w:sz w:val="28"/>
          <w:szCs w:val="28"/>
          <w:highlight w:val="none"/>
        </w:rPr>
        <w:t>F/</w:t>
      </w:r>
      <w:r>
        <w:rPr>
          <w:rFonts w:hint="eastAsia"/>
          <w:sz w:val="28"/>
          <w:szCs w:val="28"/>
          <w:highlight w:val="none"/>
          <w:lang w:val="en-US" w:eastAsia="zh-CN"/>
        </w:rPr>
        <w:t>吊1F/</w:t>
      </w:r>
      <w:r>
        <w:rPr>
          <w:rFonts w:hint="eastAsia"/>
          <w:sz w:val="28"/>
          <w:szCs w:val="28"/>
          <w:highlight w:val="none"/>
        </w:rPr>
        <w:t>-</w:t>
      </w:r>
      <w:r>
        <w:rPr>
          <w:rFonts w:hint="eastAsia"/>
          <w:sz w:val="28"/>
          <w:szCs w:val="28"/>
          <w:highlight w:val="none"/>
          <w:lang w:val="en-US" w:eastAsia="zh-CN"/>
        </w:rPr>
        <w:t>1</w:t>
      </w:r>
      <w:r>
        <w:rPr>
          <w:rFonts w:hint="eastAsia"/>
          <w:sz w:val="28"/>
          <w:szCs w:val="28"/>
          <w:highlight w:val="none"/>
        </w:rPr>
        <w:t>F，建筑高度：</w:t>
      </w:r>
      <w:r>
        <w:rPr>
          <w:rFonts w:hint="eastAsia"/>
          <w:sz w:val="28"/>
          <w:szCs w:val="28"/>
          <w:highlight w:val="none"/>
          <w:lang w:val="en-US" w:eastAsia="zh-CN"/>
        </w:rPr>
        <w:t>27.2</w:t>
      </w:r>
      <w:r>
        <w:rPr>
          <w:rFonts w:hint="eastAsia"/>
          <w:sz w:val="28"/>
          <w:szCs w:val="28"/>
          <w:highlight w:val="none"/>
        </w:rPr>
        <w:t>M/-5.</w:t>
      </w:r>
      <w:r>
        <w:rPr>
          <w:rFonts w:hint="eastAsia"/>
          <w:sz w:val="28"/>
          <w:szCs w:val="28"/>
          <w:highlight w:val="none"/>
          <w:lang w:val="en-US" w:eastAsia="zh-CN"/>
        </w:rPr>
        <w:t>4</w:t>
      </w:r>
      <w:r>
        <w:rPr>
          <w:rFonts w:hint="eastAsia"/>
          <w:sz w:val="28"/>
          <w:szCs w:val="28"/>
          <w:highlight w:val="none"/>
        </w:rPr>
        <w:t>M</w:t>
      </w:r>
      <w:r>
        <w:rPr>
          <w:rFonts w:hint="eastAsia"/>
          <w:sz w:val="28"/>
          <w:szCs w:val="28"/>
          <w:highlight w:val="none"/>
          <w:lang w:eastAsia="zh-CN"/>
        </w:rPr>
        <w:t>，</w:t>
      </w:r>
      <w:r>
        <w:rPr>
          <w:rFonts w:hint="eastAsia"/>
          <w:sz w:val="28"/>
          <w:szCs w:val="28"/>
          <w:highlight w:val="none"/>
        </w:rPr>
        <w:t>为</w:t>
      </w:r>
      <w:r>
        <w:rPr>
          <w:rFonts w:hint="eastAsia"/>
          <w:sz w:val="28"/>
          <w:szCs w:val="28"/>
          <w:highlight w:val="none"/>
          <w:lang w:val="en-US" w:eastAsia="zh-CN"/>
        </w:rPr>
        <w:t>高</w:t>
      </w:r>
      <w:r>
        <w:rPr>
          <w:rFonts w:hint="eastAsia"/>
          <w:sz w:val="28"/>
          <w:szCs w:val="28"/>
          <w:highlight w:val="none"/>
        </w:rPr>
        <w:t>层公共建筑。</w:t>
      </w:r>
    </w:p>
    <w:p w14:paraId="440908D1">
      <w:pPr>
        <w:ind w:firstLine="562" w:firstLineChars="200"/>
        <w:rPr>
          <w:rFonts w:hint="eastAsia"/>
          <w:sz w:val="28"/>
          <w:szCs w:val="28"/>
          <w:highlight w:val="none"/>
        </w:rPr>
      </w:pPr>
      <w:r>
        <w:rPr>
          <w:rFonts w:hint="eastAsia"/>
          <w:b/>
          <w:sz w:val="28"/>
          <w:szCs w:val="28"/>
          <w:highlight w:val="none"/>
        </w:rPr>
        <w:t>三、其它重点事项：</w:t>
      </w:r>
    </w:p>
    <w:p w14:paraId="554CA8EF">
      <w:pPr>
        <w:ind w:firstLine="560" w:firstLineChars="200"/>
        <w:rPr>
          <w:rFonts w:hint="default"/>
          <w:sz w:val="28"/>
          <w:szCs w:val="28"/>
          <w:highlight w:val="none"/>
          <w:lang w:val="en-US"/>
        </w:rPr>
      </w:pPr>
      <w:r>
        <w:rPr>
          <w:rFonts w:hint="eastAsia"/>
          <w:sz w:val="28"/>
          <w:szCs w:val="28"/>
          <w:highlight w:val="none"/>
        </w:rPr>
        <w:t>项目预计</w:t>
      </w:r>
      <w:r>
        <w:rPr>
          <w:rFonts w:hint="eastAsia"/>
          <w:sz w:val="28"/>
          <w:szCs w:val="28"/>
          <w:highlight w:val="none"/>
          <w:lang w:val="en-US" w:eastAsia="zh-CN"/>
        </w:rPr>
        <w:t>需按设计改建</w:t>
      </w:r>
      <w:r>
        <w:rPr>
          <w:rFonts w:hint="eastAsia"/>
          <w:sz w:val="28"/>
          <w:szCs w:val="28"/>
          <w:highlight w:val="none"/>
        </w:rPr>
        <w:t>溉澜溪站1A出入口</w:t>
      </w:r>
      <w:r>
        <w:rPr>
          <w:rFonts w:hint="eastAsia"/>
          <w:sz w:val="28"/>
          <w:szCs w:val="28"/>
          <w:highlight w:val="none"/>
          <w:lang w:eastAsia="zh-CN"/>
        </w:rPr>
        <w:t>的</w:t>
      </w:r>
      <w:r>
        <w:rPr>
          <w:rFonts w:hint="eastAsia"/>
          <w:sz w:val="28"/>
          <w:szCs w:val="28"/>
          <w:highlight w:val="none"/>
          <w:lang w:val="en-US" w:eastAsia="zh-CN"/>
        </w:rPr>
        <w:t>上跨天桥，另用地红线紧临轨道9号线溉澜站水池。</w:t>
      </w:r>
    </w:p>
    <w:p w14:paraId="522DF35A">
      <w:pPr>
        <w:keepNext w:val="0"/>
        <w:keepLines w:val="0"/>
        <w:widowControl/>
        <w:suppressLineNumbers w:val="0"/>
        <w:jc w:val="left"/>
        <w:rPr>
          <w:highlight w:val="none"/>
        </w:rPr>
      </w:pPr>
    </w:p>
    <w:p w14:paraId="59A374DC">
      <w:pPr>
        <w:adjustRightInd w:val="0"/>
        <w:snapToGrid w:val="0"/>
        <w:spacing w:line="360" w:lineRule="auto"/>
        <w:ind w:firstLine="480" w:firstLineChars="200"/>
        <w:rPr>
          <w:rFonts w:hint="default" w:ascii="宋体" w:hAnsi="宋体" w:cs="宋体"/>
          <w:bCs/>
          <w:color w:val="auto"/>
          <w:sz w:val="24"/>
          <w:szCs w:val="24"/>
          <w:highlight w:val="none"/>
          <w:u w:val="single"/>
          <w:lang w:val="en-US" w:eastAsia="zh-CN"/>
        </w:rPr>
      </w:pPr>
    </w:p>
    <w:sectPr>
      <w:pgSz w:w="11906" w:h="16838"/>
      <w:pgMar w:top="1440" w:right="1531" w:bottom="1440"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65EB8E7-D7B2-40A4-83A2-4B346A137762}"/>
  </w:font>
  <w:font w:name="Arial">
    <w:panose1 w:val="020B0604020202020204"/>
    <w:charset w:val="01"/>
    <w:family w:val="swiss"/>
    <w:pitch w:val="default"/>
    <w:sig w:usb0="E0002EFF" w:usb1="C000785B" w:usb2="00000009" w:usb3="00000000" w:csb0="400001FF" w:csb1="FFFF0000"/>
    <w:embedRegular r:id="rId2" w:fontKey="{E43FA856-F64A-4CF3-BD31-B08A0183068D}"/>
  </w:font>
  <w:font w:name="黑体">
    <w:panose1 w:val="02010609060101010101"/>
    <w:charset w:val="86"/>
    <w:family w:val="auto"/>
    <w:pitch w:val="default"/>
    <w:sig w:usb0="800002BF" w:usb1="38CF7CFA" w:usb2="00000016" w:usb3="00000000" w:csb0="00040001" w:csb1="00000000"/>
    <w:embedRegular r:id="rId3" w:fontKey="{C8A22C1D-7FF4-4280-A1F3-686570234E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embedRegular r:id="rId4" w:fontKey="{77A57B8C-893B-4FD6-A059-98571FCEEA35}"/>
  </w:font>
  <w:font w:name="仿宋_GB2312">
    <w:altName w:val="仿宋"/>
    <w:panose1 w:val="02010609030101010101"/>
    <w:charset w:val="86"/>
    <w:family w:val="modern"/>
    <w:pitch w:val="default"/>
    <w:sig w:usb0="00000000" w:usb1="00000000" w:usb2="00000000" w:usb3="00000000" w:csb0="00040000" w:csb1="00000000"/>
    <w:embedRegular r:id="rId5" w:fontKey="{63B37356-1316-4D3B-9DC4-0687C8D9C885}"/>
  </w:font>
  <w:font w:name="仿宋">
    <w:panose1 w:val="02010609060101010101"/>
    <w:charset w:val="86"/>
    <w:family w:val="modern"/>
    <w:pitch w:val="default"/>
    <w:sig w:usb0="800002BF" w:usb1="38CF7CFA" w:usb2="00000016" w:usb3="00000000" w:csb0="00040001" w:csb1="00000000"/>
    <w:embedRegular r:id="rId6" w:fontKey="{329CE6A9-9C33-448A-88A6-89D835B93201}"/>
  </w:font>
  <w:font w:name="华文楷体">
    <w:panose1 w:val="02010600040101010101"/>
    <w:charset w:val="86"/>
    <w:family w:val="auto"/>
    <w:pitch w:val="default"/>
    <w:sig w:usb0="00000287" w:usb1="080F0000" w:usb2="00000000" w:usb3="00000000" w:csb0="0004009F" w:csb1="DFD70000"/>
    <w:embedRegular r:id="rId7" w:fontKey="{4C39BDDD-4B76-4FB2-B58C-BADB2FA549D4}"/>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9D7411"/>
    <w:multiLevelType w:val="singleLevel"/>
    <w:tmpl w:val="C79D7411"/>
    <w:lvl w:ilvl="0" w:tentative="0">
      <w:start w:val="1"/>
      <w:numFmt w:val="decimal"/>
      <w:lvlText w:val="(%1)"/>
      <w:lvlJc w:val="left"/>
      <w:pPr>
        <w:tabs>
          <w:tab w:val="left" w:pos="312"/>
        </w:tabs>
      </w:pPr>
    </w:lvl>
  </w:abstractNum>
  <w:abstractNum w:abstractNumId="1">
    <w:nsid w:val="CF60A976"/>
    <w:multiLevelType w:val="singleLevel"/>
    <w:tmpl w:val="CF60A976"/>
    <w:lvl w:ilvl="0" w:tentative="0">
      <w:start w:val="2"/>
      <w:numFmt w:val="chineseCounting"/>
      <w:suff w:val="nothing"/>
      <w:lvlText w:val="%1、"/>
      <w:lvlJc w:val="left"/>
      <w:rPr>
        <w:rFonts w:hint="eastAsia"/>
      </w:rPr>
    </w:lvl>
  </w:abstractNum>
  <w:abstractNum w:abstractNumId="2">
    <w:nsid w:val="D7904658"/>
    <w:multiLevelType w:val="singleLevel"/>
    <w:tmpl w:val="D7904658"/>
    <w:lvl w:ilvl="0" w:tentative="0">
      <w:start w:val="2"/>
      <w:numFmt w:val="chineseCounting"/>
      <w:suff w:val="nothing"/>
      <w:lvlText w:val="%1、"/>
      <w:lvlJc w:val="left"/>
      <w:rPr>
        <w:rFonts w:hint="eastAsia"/>
      </w:rPr>
    </w:lvl>
  </w:abstractNum>
  <w:abstractNum w:abstractNumId="3">
    <w:nsid w:val="0053208E"/>
    <w:multiLevelType w:val="multilevel"/>
    <w:tmpl w:val="0053208E"/>
    <w:lvl w:ilvl="0" w:tentative="0">
      <w:start w:val="1"/>
      <w:numFmt w:val="bullet"/>
      <w:lvlText w:val="•"/>
      <w:lvlJc w:val="left"/>
      <w:pPr>
        <w:ind w:left="288" w:hanging="288"/>
      </w:pPr>
      <w:rPr>
        <w:color w:val="3370FF"/>
        <w:sz w:val="22"/>
        <w:szCs w:val="22"/>
      </w:rPr>
    </w:lvl>
    <w:lvl w:ilvl="1" w:tentative="0">
      <w:start w:val="1"/>
      <w:numFmt w:val="bullet"/>
      <w:lvlText w:val="◦"/>
      <w:lvlJc w:val="left"/>
      <w:pPr>
        <w:ind w:left="720" w:hanging="288"/>
      </w:pPr>
      <w:rPr>
        <w:color w:val="3370FF"/>
        <w:sz w:val="22"/>
        <w:szCs w:val="22"/>
      </w:rPr>
    </w:lvl>
    <w:lvl w:ilvl="2" w:tentative="0">
      <w:start w:val="1"/>
      <w:numFmt w:val="bullet"/>
      <w:lvlText w:val="▪"/>
      <w:lvlJc w:val="left"/>
      <w:pPr>
        <w:ind w:left="1152" w:hanging="288"/>
      </w:pPr>
      <w:rPr>
        <w:color w:val="3370FF"/>
        <w:sz w:val="22"/>
        <w:szCs w:val="22"/>
      </w:rPr>
    </w:lvl>
    <w:lvl w:ilvl="3" w:tentative="0">
      <w:start w:val="1"/>
      <w:numFmt w:val="bullet"/>
      <w:lvlText w:val="•"/>
      <w:lvlJc w:val="left"/>
      <w:pPr>
        <w:ind w:left="1583" w:hanging="288"/>
      </w:pPr>
      <w:rPr>
        <w:color w:val="3370FF"/>
        <w:sz w:val="22"/>
        <w:szCs w:val="22"/>
      </w:rPr>
    </w:lvl>
    <w:lvl w:ilvl="4" w:tentative="0">
      <w:start w:val="1"/>
      <w:numFmt w:val="bullet"/>
      <w:lvlText w:val="◦"/>
      <w:lvlJc w:val="left"/>
      <w:pPr>
        <w:ind w:left="2015" w:hanging="288"/>
      </w:pPr>
      <w:rPr>
        <w:color w:val="3370FF"/>
        <w:sz w:val="22"/>
        <w:szCs w:val="22"/>
      </w:rPr>
    </w:lvl>
    <w:lvl w:ilvl="5" w:tentative="0">
      <w:start w:val="1"/>
      <w:numFmt w:val="bullet"/>
      <w:lvlText w:val="▪"/>
      <w:lvlJc w:val="left"/>
      <w:pPr>
        <w:ind w:left="2448" w:hanging="288"/>
      </w:pPr>
      <w:rPr>
        <w:color w:val="3370FF"/>
        <w:sz w:val="22"/>
        <w:szCs w:val="22"/>
      </w:rPr>
    </w:lvl>
    <w:lvl w:ilvl="6" w:tentative="0">
      <w:start w:val="1"/>
      <w:numFmt w:val="bullet"/>
      <w:lvlText w:val="•"/>
      <w:lvlJc w:val="left"/>
      <w:pPr>
        <w:ind w:left="2879" w:hanging="288"/>
      </w:pPr>
      <w:rPr>
        <w:color w:val="3370FF"/>
        <w:sz w:val="22"/>
        <w:szCs w:val="22"/>
      </w:rPr>
    </w:lvl>
    <w:lvl w:ilvl="7" w:tentative="0">
      <w:start w:val="1"/>
      <w:numFmt w:val="bullet"/>
      <w:lvlText w:val="◦"/>
      <w:lvlJc w:val="left"/>
      <w:pPr>
        <w:ind w:left="3312" w:hanging="288"/>
      </w:pPr>
      <w:rPr>
        <w:color w:val="3370FF"/>
        <w:sz w:val="22"/>
        <w:szCs w:val="22"/>
      </w:rPr>
    </w:lvl>
    <w:lvl w:ilvl="8" w:tentative="0">
      <w:start w:val="1"/>
      <w:numFmt w:val="bullet"/>
      <w:lvlText w:val="▪"/>
      <w:lvlJc w:val="left"/>
      <w:pPr>
        <w:ind w:left="3744" w:hanging="288"/>
      </w:pPr>
      <w:rPr>
        <w:color w:val="3370FF"/>
        <w:sz w:val="22"/>
        <w:szCs w:val="22"/>
      </w:rPr>
    </w:lvl>
  </w:abstractNum>
  <w:num w:numId="1">
    <w:abstractNumId w:val="0"/>
  </w:num>
  <w:num w:numId="2">
    <w:abstractNumId w:val="3"/>
    <w:lvlOverride w:ilvl="0">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3B7"/>
    <w:rsid w:val="0001784D"/>
    <w:rsid w:val="00023F93"/>
    <w:rsid w:val="0002767C"/>
    <w:rsid w:val="0003532C"/>
    <w:rsid w:val="000447B3"/>
    <w:rsid w:val="00057AA7"/>
    <w:rsid w:val="00062DA7"/>
    <w:rsid w:val="00070193"/>
    <w:rsid w:val="0008131E"/>
    <w:rsid w:val="000A5800"/>
    <w:rsid w:val="000A5E87"/>
    <w:rsid w:val="000B61A3"/>
    <w:rsid w:val="000C2845"/>
    <w:rsid w:val="000D4C3F"/>
    <w:rsid w:val="000D667B"/>
    <w:rsid w:val="000E2325"/>
    <w:rsid w:val="000F465A"/>
    <w:rsid w:val="00100637"/>
    <w:rsid w:val="00103FAA"/>
    <w:rsid w:val="00132064"/>
    <w:rsid w:val="0015573F"/>
    <w:rsid w:val="001559B8"/>
    <w:rsid w:val="0016215E"/>
    <w:rsid w:val="001627FE"/>
    <w:rsid w:val="00162E02"/>
    <w:rsid w:val="001644C2"/>
    <w:rsid w:val="001752CF"/>
    <w:rsid w:val="00186144"/>
    <w:rsid w:val="001879C2"/>
    <w:rsid w:val="00190AB1"/>
    <w:rsid w:val="00190DE6"/>
    <w:rsid w:val="00191665"/>
    <w:rsid w:val="001920C1"/>
    <w:rsid w:val="001A14B4"/>
    <w:rsid w:val="001A2DA8"/>
    <w:rsid w:val="001A4BF2"/>
    <w:rsid w:val="001B2F74"/>
    <w:rsid w:val="001B579B"/>
    <w:rsid w:val="001B6A95"/>
    <w:rsid w:val="001C640B"/>
    <w:rsid w:val="001C7C1E"/>
    <w:rsid w:val="001D0ECB"/>
    <w:rsid w:val="001D4590"/>
    <w:rsid w:val="001D54E4"/>
    <w:rsid w:val="00200980"/>
    <w:rsid w:val="00200BE2"/>
    <w:rsid w:val="00200CFB"/>
    <w:rsid w:val="00233DEB"/>
    <w:rsid w:val="00233E85"/>
    <w:rsid w:val="002417F2"/>
    <w:rsid w:val="00245571"/>
    <w:rsid w:val="00246FE4"/>
    <w:rsid w:val="002543E4"/>
    <w:rsid w:val="00255058"/>
    <w:rsid w:val="00257721"/>
    <w:rsid w:val="002673A6"/>
    <w:rsid w:val="0027375A"/>
    <w:rsid w:val="002856A8"/>
    <w:rsid w:val="002872AA"/>
    <w:rsid w:val="00290673"/>
    <w:rsid w:val="0029409D"/>
    <w:rsid w:val="002A3388"/>
    <w:rsid w:val="002A7528"/>
    <w:rsid w:val="002B5EA9"/>
    <w:rsid w:val="002C4DBF"/>
    <w:rsid w:val="002C6E04"/>
    <w:rsid w:val="002D5586"/>
    <w:rsid w:val="002D5E71"/>
    <w:rsid w:val="002D711F"/>
    <w:rsid w:val="002E1BF2"/>
    <w:rsid w:val="002E36E9"/>
    <w:rsid w:val="002E59F3"/>
    <w:rsid w:val="002E7C85"/>
    <w:rsid w:val="002F190A"/>
    <w:rsid w:val="002F1F84"/>
    <w:rsid w:val="002F2C76"/>
    <w:rsid w:val="002F648A"/>
    <w:rsid w:val="002F7BA9"/>
    <w:rsid w:val="00320812"/>
    <w:rsid w:val="00323E82"/>
    <w:rsid w:val="00326C3C"/>
    <w:rsid w:val="003309F5"/>
    <w:rsid w:val="003452D6"/>
    <w:rsid w:val="00345B04"/>
    <w:rsid w:val="00347B82"/>
    <w:rsid w:val="00351A61"/>
    <w:rsid w:val="00354880"/>
    <w:rsid w:val="00364946"/>
    <w:rsid w:val="0036586F"/>
    <w:rsid w:val="00375845"/>
    <w:rsid w:val="00376C67"/>
    <w:rsid w:val="003949B9"/>
    <w:rsid w:val="00395600"/>
    <w:rsid w:val="003A1E0E"/>
    <w:rsid w:val="003A4074"/>
    <w:rsid w:val="003B27EE"/>
    <w:rsid w:val="003D48B4"/>
    <w:rsid w:val="003D720F"/>
    <w:rsid w:val="003D730E"/>
    <w:rsid w:val="003D7A4D"/>
    <w:rsid w:val="003E68A1"/>
    <w:rsid w:val="00404398"/>
    <w:rsid w:val="00406912"/>
    <w:rsid w:val="00406F52"/>
    <w:rsid w:val="00411415"/>
    <w:rsid w:val="0041652C"/>
    <w:rsid w:val="0041780C"/>
    <w:rsid w:val="00421B7F"/>
    <w:rsid w:val="0042589D"/>
    <w:rsid w:val="004261D6"/>
    <w:rsid w:val="00431396"/>
    <w:rsid w:val="0043665D"/>
    <w:rsid w:val="00444FC9"/>
    <w:rsid w:val="00457190"/>
    <w:rsid w:val="00464FF2"/>
    <w:rsid w:val="00467557"/>
    <w:rsid w:val="004704A1"/>
    <w:rsid w:val="00476EA2"/>
    <w:rsid w:val="00482D08"/>
    <w:rsid w:val="00491895"/>
    <w:rsid w:val="00497386"/>
    <w:rsid w:val="004A066B"/>
    <w:rsid w:val="004A0C4C"/>
    <w:rsid w:val="004A5F1F"/>
    <w:rsid w:val="004B071C"/>
    <w:rsid w:val="004B4438"/>
    <w:rsid w:val="004C26FC"/>
    <w:rsid w:val="004C7939"/>
    <w:rsid w:val="004D0A43"/>
    <w:rsid w:val="004D314B"/>
    <w:rsid w:val="004D4160"/>
    <w:rsid w:val="004E52D8"/>
    <w:rsid w:val="004E562F"/>
    <w:rsid w:val="004E5BB2"/>
    <w:rsid w:val="004E64B1"/>
    <w:rsid w:val="004F095F"/>
    <w:rsid w:val="004F7202"/>
    <w:rsid w:val="00504A9B"/>
    <w:rsid w:val="0051389C"/>
    <w:rsid w:val="00521230"/>
    <w:rsid w:val="005215B9"/>
    <w:rsid w:val="00522AFE"/>
    <w:rsid w:val="00523CFC"/>
    <w:rsid w:val="005319E1"/>
    <w:rsid w:val="005342E0"/>
    <w:rsid w:val="005357A9"/>
    <w:rsid w:val="0054046E"/>
    <w:rsid w:val="00550405"/>
    <w:rsid w:val="00554D81"/>
    <w:rsid w:val="00557FEF"/>
    <w:rsid w:val="00570F62"/>
    <w:rsid w:val="00571BF6"/>
    <w:rsid w:val="00573F64"/>
    <w:rsid w:val="005756A9"/>
    <w:rsid w:val="005756E9"/>
    <w:rsid w:val="0058668D"/>
    <w:rsid w:val="00590C60"/>
    <w:rsid w:val="005B4E5E"/>
    <w:rsid w:val="005C33D6"/>
    <w:rsid w:val="005C3F3E"/>
    <w:rsid w:val="005D0C06"/>
    <w:rsid w:val="005E1F28"/>
    <w:rsid w:val="005E4080"/>
    <w:rsid w:val="005E5C5D"/>
    <w:rsid w:val="005F1D74"/>
    <w:rsid w:val="005F615C"/>
    <w:rsid w:val="00601824"/>
    <w:rsid w:val="00601C8C"/>
    <w:rsid w:val="006045A7"/>
    <w:rsid w:val="00614920"/>
    <w:rsid w:val="00621E35"/>
    <w:rsid w:val="00631B06"/>
    <w:rsid w:val="00634FD0"/>
    <w:rsid w:val="00636EED"/>
    <w:rsid w:val="00640B5F"/>
    <w:rsid w:val="00653198"/>
    <w:rsid w:val="006543C3"/>
    <w:rsid w:val="00655E78"/>
    <w:rsid w:val="00667335"/>
    <w:rsid w:val="00675CCC"/>
    <w:rsid w:val="00675D5C"/>
    <w:rsid w:val="00681D24"/>
    <w:rsid w:val="006A19C2"/>
    <w:rsid w:val="006A1E08"/>
    <w:rsid w:val="006A389E"/>
    <w:rsid w:val="006A68A1"/>
    <w:rsid w:val="006C2333"/>
    <w:rsid w:val="006D585B"/>
    <w:rsid w:val="006E7B9C"/>
    <w:rsid w:val="006F0218"/>
    <w:rsid w:val="006F492C"/>
    <w:rsid w:val="006F5FCB"/>
    <w:rsid w:val="00701AB4"/>
    <w:rsid w:val="007027DD"/>
    <w:rsid w:val="007044E4"/>
    <w:rsid w:val="00706F9C"/>
    <w:rsid w:val="00725F66"/>
    <w:rsid w:val="007270B7"/>
    <w:rsid w:val="0073589F"/>
    <w:rsid w:val="007365C2"/>
    <w:rsid w:val="00751C0C"/>
    <w:rsid w:val="0076074E"/>
    <w:rsid w:val="00761594"/>
    <w:rsid w:val="0076278E"/>
    <w:rsid w:val="0076790A"/>
    <w:rsid w:val="00772C96"/>
    <w:rsid w:val="00786F86"/>
    <w:rsid w:val="00796292"/>
    <w:rsid w:val="007A29F5"/>
    <w:rsid w:val="007A562A"/>
    <w:rsid w:val="007A66CC"/>
    <w:rsid w:val="007B2222"/>
    <w:rsid w:val="007B4C02"/>
    <w:rsid w:val="007B517C"/>
    <w:rsid w:val="007B78B3"/>
    <w:rsid w:val="007C0E4B"/>
    <w:rsid w:val="007C3882"/>
    <w:rsid w:val="007C7D9B"/>
    <w:rsid w:val="007D777D"/>
    <w:rsid w:val="007E33BF"/>
    <w:rsid w:val="007E4268"/>
    <w:rsid w:val="007E4B2E"/>
    <w:rsid w:val="007F3814"/>
    <w:rsid w:val="007F53BA"/>
    <w:rsid w:val="007F6500"/>
    <w:rsid w:val="008162A3"/>
    <w:rsid w:val="00817FE1"/>
    <w:rsid w:val="00831423"/>
    <w:rsid w:val="008349F8"/>
    <w:rsid w:val="00836DF9"/>
    <w:rsid w:val="008437C5"/>
    <w:rsid w:val="00845241"/>
    <w:rsid w:val="00845ACC"/>
    <w:rsid w:val="00854675"/>
    <w:rsid w:val="00860A00"/>
    <w:rsid w:val="0086126F"/>
    <w:rsid w:val="00862A29"/>
    <w:rsid w:val="00862D8A"/>
    <w:rsid w:val="008645C1"/>
    <w:rsid w:val="00865EC2"/>
    <w:rsid w:val="00870811"/>
    <w:rsid w:val="008741C7"/>
    <w:rsid w:val="00880863"/>
    <w:rsid w:val="0088491B"/>
    <w:rsid w:val="008855C5"/>
    <w:rsid w:val="00892925"/>
    <w:rsid w:val="00895CF5"/>
    <w:rsid w:val="008A08ED"/>
    <w:rsid w:val="008A11B7"/>
    <w:rsid w:val="008A614B"/>
    <w:rsid w:val="008A6C18"/>
    <w:rsid w:val="008A7379"/>
    <w:rsid w:val="008B4A28"/>
    <w:rsid w:val="00900F13"/>
    <w:rsid w:val="0090127F"/>
    <w:rsid w:val="009025DA"/>
    <w:rsid w:val="0090385F"/>
    <w:rsid w:val="00920061"/>
    <w:rsid w:val="00920290"/>
    <w:rsid w:val="00921AF4"/>
    <w:rsid w:val="0092665E"/>
    <w:rsid w:val="00927586"/>
    <w:rsid w:val="009329C7"/>
    <w:rsid w:val="009402B4"/>
    <w:rsid w:val="00943687"/>
    <w:rsid w:val="00944E86"/>
    <w:rsid w:val="00952889"/>
    <w:rsid w:val="0095434B"/>
    <w:rsid w:val="00955B1A"/>
    <w:rsid w:val="00957B18"/>
    <w:rsid w:val="00962FB1"/>
    <w:rsid w:val="00972FC4"/>
    <w:rsid w:val="00976A75"/>
    <w:rsid w:val="009825B0"/>
    <w:rsid w:val="0098736D"/>
    <w:rsid w:val="00994A03"/>
    <w:rsid w:val="009A0610"/>
    <w:rsid w:val="009A7BC4"/>
    <w:rsid w:val="009B7817"/>
    <w:rsid w:val="009C4A9E"/>
    <w:rsid w:val="009D1501"/>
    <w:rsid w:val="009D64F8"/>
    <w:rsid w:val="00A010C6"/>
    <w:rsid w:val="00A02B02"/>
    <w:rsid w:val="00A05DB9"/>
    <w:rsid w:val="00A07C9B"/>
    <w:rsid w:val="00A12895"/>
    <w:rsid w:val="00A14982"/>
    <w:rsid w:val="00A1691D"/>
    <w:rsid w:val="00A23D07"/>
    <w:rsid w:val="00A250FC"/>
    <w:rsid w:val="00A2613F"/>
    <w:rsid w:val="00A27B9F"/>
    <w:rsid w:val="00A4050F"/>
    <w:rsid w:val="00A40A0E"/>
    <w:rsid w:val="00A470D5"/>
    <w:rsid w:val="00A50C2D"/>
    <w:rsid w:val="00A61EEA"/>
    <w:rsid w:val="00A71057"/>
    <w:rsid w:val="00A81038"/>
    <w:rsid w:val="00A8487F"/>
    <w:rsid w:val="00A94874"/>
    <w:rsid w:val="00A94C89"/>
    <w:rsid w:val="00A9534F"/>
    <w:rsid w:val="00AA5577"/>
    <w:rsid w:val="00AB2432"/>
    <w:rsid w:val="00AB3066"/>
    <w:rsid w:val="00AB3EE5"/>
    <w:rsid w:val="00AB576A"/>
    <w:rsid w:val="00AB584B"/>
    <w:rsid w:val="00AD184E"/>
    <w:rsid w:val="00AD2D49"/>
    <w:rsid w:val="00AD3BDE"/>
    <w:rsid w:val="00AD5BB8"/>
    <w:rsid w:val="00AE1B0E"/>
    <w:rsid w:val="00AE5307"/>
    <w:rsid w:val="00B00070"/>
    <w:rsid w:val="00B03E12"/>
    <w:rsid w:val="00B04443"/>
    <w:rsid w:val="00B06B19"/>
    <w:rsid w:val="00B07B36"/>
    <w:rsid w:val="00B11D57"/>
    <w:rsid w:val="00B1430E"/>
    <w:rsid w:val="00B218AC"/>
    <w:rsid w:val="00B25692"/>
    <w:rsid w:val="00B333A6"/>
    <w:rsid w:val="00B37986"/>
    <w:rsid w:val="00B44467"/>
    <w:rsid w:val="00B46B04"/>
    <w:rsid w:val="00B56028"/>
    <w:rsid w:val="00B60F66"/>
    <w:rsid w:val="00B676A8"/>
    <w:rsid w:val="00B7693E"/>
    <w:rsid w:val="00B8325F"/>
    <w:rsid w:val="00BA06EB"/>
    <w:rsid w:val="00BA0EF4"/>
    <w:rsid w:val="00BA301F"/>
    <w:rsid w:val="00BA7E0D"/>
    <w:rsid w:val="00BC1A37"/>
    <w:rsid w:val="00BD0C43"/>
    <w:rsid w:val="00BD687B"/>
    <w:rsid w:val="00BE29B8"/>
    <w:rsid w:val="00BE45A5"/>
    <w:rsid w:val="00BE5ED6"/>
    <w:rsid w:val="00BF33B6"/>
    <w:rsid w:val="00C066CD"/>
    <w:rsid w:val="00C16AA4"/>
    <w:rsid w:val="00C21425"/>
    <w:rsid w:val="00C33DAF"/>
    <w:rsid w:val="00C34F5D"/>
    <w:rsid w:val="00C34FF6"/>
    <w:rsid w:val="00C42C2E"/>
    <w:rsid w:val="00C44F64"/>
    <w:rsid w:val="00C510B7"/>
    <w:rsid w:val="00C64BA5"/>
    <w:rsid w:val="00C75823"/>
    <w:rsid w:val="00C75D31"/>
    <w:rsid w:val="00C768AA"/>
    <w:rsid w:val="00C86DC3"/>
    <w:rsid w:val="00C94C68"/>
    <w:rsid w:val="00CB1EB8"/>
    <w:rsid w:val="00CB6578"/>
    <w:rsid w:val="00CC5268"/>
    <w:rsid w:val="00CC5C38"/>
    <w:rsid w:val="00CD4A88"/>
    <w:rsid w:val="00CF1497"/>
    <w:rsid w:val="00D03F86"/>
    <w:rsid w:val="00D11A57"/>
    <w:rsid w:val="00D1555C"/>
    <w:rsid w:val="00D231A9"/>
    <w:rsid w:val="00D25D1E"/>
    <w:rsid w:val="00D33D56"/>
    <w:rsid w:val="00D37760"/>
    <w:rsid w:val="00D44242"/>
    <w:rsid w:val="00D50348"/>
    <w:rsid w:val="00D52794"/>
    <w:rsid w:val="00D72234"/>
    <w:rsid w:val="00D74405"/>
    <w:rsid w:val="00D757F0"/>
    <w:rsid w:val="00D75EFA"/>
    <w:rsid w:val="00D76285"/>
    <w:rsid w:val="00D80F57"/>
    <w:rsid w:val="00D948DC"/>
    <w:rsid w:val="00D95893"/>
    <w:rsid w:val="00DA2250"/>
    <w:rsid w:val="00DB5C33"/>
    <w:rsid w:val="00DC210F"/>
    <w:rsid w:val="00DC546B"/>
    <w:rsid w:val="00DC6884"/>
    <w:rsid w:val="00DC715F"/>
    <w:rsid w:val="00DD13A7"/>
    <w:rsid w:val="00DD1C58"/>
    <w:rsid w:val="00DD2D72"/>
    <w:rsid w:val="00DE0CD6"/>
    <w:rsid w:val="00DE2F8F"/>
    <w:rsid w:val="00DE4366"/>
    <w:rsid w:val="00DE4CAE"/>
    <w:rsid w:val="00DE5FDF"/>
    <w:rsid w:val="00DF0938"/>
    <w:rsid w:val="00DF4E7D"/>
    <w:rsid w:val="00E024D4"/>
    <w:rsid w:val="00E13A29"/>
    <w:rsid w:val="00E24916"/>
    <w:rsid w:val="00E24EDA"/>
    <w:rsid w:val="00E31D02"/>
    <w:rsid w:val="00E34290"/>
    <w:rsid w:val="00E35691"/>
    <w:rsid w:val="00E357C0"/>
    <w:rsid w:val="00E42468"/>
    <w:rsid w:val="00E44AEE"/>
    <w:rsid w:val="00E4519C"/>
    <w:rsid w:val="00E55F97"/>
    <w:rsid w:val="00E57301"/>
    <w:rsid w:val="00E67BC2"/>
    <w:rsid w:val="00E77B91"/>
    <w:rsid w:val="00E77C69"/>
    <w:rsid w:val="00E8456B"/>
    <w:rsid w:val="00E876AC"/>
    <w:rsid w:val="00E91BF2"/>
    <w:rsid w:val="00E97568"/>
    <w:rsid w:val="00EB31E6"/>
    <w:rsid w:val="00EB741C"/>
    <w:rsid w:val="00EB7F4D"/>
    <w:rsid w:val="00EC0B07"/>
    <w:rsid w:val="00EC4A96"/>
    <w:rsid w:val="00EC7641"/>
    <w:rsid w:val="00ED3EF9"/>
    <w:rsid w:val="00EE5135"/>
    <w:rsid w:val="00EE540C"/>
    <w:rsid w:val="00EE78D4"/>
    <w:rsid w:val="00EF454E"/>
    <w:rsid w:val="00F03007"/>
    <w:rsid w:val="00F03BF4"/>
    <w:rsid w:val="00F10321"/>
    <w:rsid w:val="00F14537"/>
    <w:rsid w:val="00F15BFC"/>
    <w:rsid w:val="00F17585"/>
    <w:rsid w:val="00F20722"/>
    <w:rsid w:val="00F20E13"/>
    <w:rsid w:val="00F2247A"/>
    <w:rsid w:val="00F247EB"/>
    <w:rsid w:val="00F3536D"/>
    <w:rsid w:val="00F43461"/>
    <w:rsid w:val="00F4572E"/>
    <w:rsid w:val="00F534E3"/>
    <w:rsid w:val="00F60A79"/>
    <w:rsid w:val="00F61B6C"/>
    <w:rsid w:val="00F640A2"/>
    <w:rsid w:val="00F74BC0"/>
    <w:rsid w:val="00F7736B"/>
    <w:rsid w:val="00F77876"/>
    <w:rsid w:val="00F84113"/>
    <w:rsid w:val="00F8652A"/>
    <w:rsid w:val="00FA5EFB"/>
    <w:rsid w:val="00FA773D"/>
    <w:rsid w:val="00FC29ED"/>
    <w:rsid w:val="00FD5E03"/>
    <w:rsid w:val="00FD6677"/>
    <w:rsid w:val="00FD7998"/>
    <w:rsid w:val="00FE4677"/>
    <w:rsid w:val="00FE72DB"/>
    <w:rsid w:val="00FF0681"/>
    <w:rsid w:val="00FF37A4"/>
    <w:rsid w:val="00FF447E"/>
    <w:rsid w:val="01726EF0"/>
    <w:rsid w:val="01C3559A"/>
    <w:rsid w:val="02AA1113"/>
    <w:rsid w:val="02D76FBF"/>
    <w:rsid w:val="03E33EEE"/>
    <w:rsid w:val="04CD134A"/>
    <w:rsid w:val="056326BB"/>
    <w:rsid w:val="06B805C0"/>
    <w:rsid w:val="09754060"/>
    <w:rsid w:val="0B404839"/>
    <w:rsid w:val="0E270EA2"/>
    <w:rsid w:val="10D11B7C"/>
    <w:rsid w:val="12F9325E"/>
    <w:rsid w:val="17067EFA"/>
    <w:rsid w:val="19A82231"/>
    <w:rsid w:val="1A3C6614"/>
    <w:rsid w:val="1B1E49AE"/>
    <w:rsid w:val="1E2B2A5B"/>
    <w:rsid w:val="1E8B1D9A"/>
    <w:rsid w:val="20401B1F"/>
    <w:rsid w:val="236135B8"/>
    <w:rsid w:val="25B77FC4"/>
    <w:rsid w:val="26E84E4C"/>
    <w:rsid w:val="27FC5735"/>
    <w:rsid w:val="28584072"/>
    <w:rsid w:val="2B670507"/>
    <w:rsid w:val="2B973010"/>
    <w:rsid w:val="2DCF6290"/>
    <w:rsid w:val="2F8B1A16"/>
    <w:rsid w:val="34D10D7C"/>
    <w:rsid w:val="356B0867"/>
    <w:rsid w:val="35E70548"/>
    <w:rsid w:val="35EF3470"/>
    <w:rsid w:val="3BF67918"/>
    <w:rsid w:val="3D854AE3"/>
    <w:rsid w:val="44DF1B8D"/>
    <w:rsid w:val="452F42AC"/>
    <w:rsid w:val="472E50A7"/>
    <w:rsid w:val="47C31498"/>
    <w:rsid w:val="47CB4D90"/>
    <w:rsid w:val="49BF54D9"/>
    <w:rsid w:val="4E132B04"/>
    <w:rsid w:val="4E754903"/>
    <w:rsid w:val="4F267724"/>
    <w:rsid w:val="4F3B1489"/>
    <w:rsid w:val="553660BE"/>
    <w:rsid w:val="55497183"/>
    <w:rsid w:val="56DE5C09"/>
    <w:rsid w:val="570542D2"/>
    <w:rsid w:val="58131018"/>
    <w:rsid w:val="59D2663D"/>
    <w:rsid w:val="59D55480"/>
    <w:rsid w:val="5BD470D0"/>
    <w:rsid w:val="5C0A6562"/>
    <w:rsid w:val="5C3C2F3B"/>
    <w:rsid w:val="5C563896"/>
    <w:rsid w:val="5D4C16E2"/>
    <w:rsid w:val="60302439"/>
    <w:rsid w:val="61407B65"/>
    <w:rsid w:val="65012DBA"/>
    <w:rsid w:val="66AF7415"/>
    <w:rsid w:val="69BA383B"/>
    <w:rsid w:val="6A96318B"/>
    <w:rsid w:val="6C6B0755"/>
    <w:rsid w:val="6FD73FD1"/>
    <w:rsid w:val="70BE48D9"/>
    <w:rsid w:val="70F65CA1"/>
    <w:rsid w:val="71C22401"/>
    <w:rsid w:val="752C40F1"/>
    <w:rsid w:val="758B7877"/>
    <w:rsid w:val="766530C9"/>
    <w:rsid w:val="774061A8"/>
    <w:rsid w:val="780008EC"/>
    <w:rsid w:val="7A1636F3"/>
    <w:rsid w:val="7D441D55"/>
    <w:rsid w:val="7DFE6FBB"/>
    <w:rsid w:val="7F367AC5"/>
    <w:rsid w:val="7FC5BB9D"/>
    <w:rsid w:val="9D5790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2"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iPriority="99" w:name="Balloon Text"/>
    <w:lsdException w:qFormat="1" w:unhideWhenUsed="0" w:uiPriority="9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next w:val="1"/>
    <w:qFormat/>
    <w:locked/>
    <w:uiPriority w:val="0"/>
    <w:pPr>
      <w:spacing w:before="320" w:after="120" w:line="288" w:lineRule="auto"/>
      <w:ind w:left="0"/>
      <w:jc w:val="left"/>
      <w:outlineLvl w:val="1"/>
    </w:pPr>
    <w:rPr>
      <w:rFonts w:ascii="Arial" w:hAnsi="Arial" w:eastAsia="等线" w:cs="Arial"/>
      <w:b/>
      <w:bCs/>
      <w:sz w:val="32"/>
      <w:szCs w:val="32"/>
    </w:rPr>
  </w:style>
  <w:style w:type="paragraph" w:styleId="3">
    <w:name w:val="heading 3"/>
    <w:basedOn w:val="1"/>
    <w:next w:val="1"/>
    <w:qFormat/>
    <w:locked/>
    <w:uiPriority w:val="2"/>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next w:val="1"/>
    <w:link w:val="22"/>
    <w:qFormat/>
    <w:uiPriority w:val="0"/>
    <w:rPr>
      <w:rFonts w:cs="宋体"/>
      <w:szCs w:val="24"/>
    </w:rPr>
  </w:style>
  <w:style w:type="paragraph" w:styleId="6">
    <w:name w:val="Block Text"/>
    <w:basedOn w:val="1"/>
    <w:qFormat/>
    <w:uiPriority w:val="0"/>
    <w:pPr>
      <w:widowControl/>
      <w:adjustRightInd w:val="0"/>
      <w:spacing w:line="360" w:lineRule="auto"/>
      <w:ind w:left="2340" w:right="-1" w:hanging="1800"/>
      <w:textAlignment w:val="baseline"/>
    </w:pPr>
    <w:rPr>
      <w:spacing w:val="8"/>
      <w:kern w:val="0"/>
      <w:sz w:val="28"/>
      <w:szCs w:val="20"/>
    </w:rPr>
  </w:style>
  <w:style w:type="paragraph" w:styleId="7">
    <w:name w:val="Plain Text"/>
    <w:basedOn w:val="1"/>
    <w:link w:val="21"/>
    <w:qFormat/>
    <w:uiPriority w:val="0"/>
    <w:rPr>
      <w:rFonts w:ascii="宋体" w:hAnsi="Courier New" w:cs="Courier New"/>
      <w:szCs w:val="21"/>
    </w:rPr>
  </w:style>
  <w:style w:type="paragraph" w:styleId="8">
    <w:name w:val="Date"/>
    <w:basedOn w:val="1"/>
    <w:next w:val="1"/>
    <w:qFormat/>
    <w:uiPriority w:val="0"/>
    <w:rPr>
      <w:rFonts w:ascii="宋体" w:hAnsi="宋体"/>
    </w:rPr>
  </w:style>
  <w:style w:type="paragraph" w:styleId="9">
    <w:name w:val="Balloon Text"/>
    <w:basedOn w:val="1"/>
    <w:link w:val="19"/>
    <w:semiHidden/>
    <w:unhideWhenUsed/>
    <w:qFormat/>
    <w:uiPriority w:val="99"/>
    <w:rPr>
      <w:sz w:val="18"/>
      <w:szCs w:val="18"/>
    </w:rPr>
  </w:style>
  <w:style w:type="paragraph" w:styleId="10">
    <w:name w:val="footer"/>
    <w:basedOn w:val="1"/>
    <w:link w:val="18"/>
    <w:qFormat/>
    <w:uiPriority w:val="99"/>
    <w:pPr>
      <w:tabs>
        <w:tab w:val="center" w:pos="4153"/>
        <w:tab w:val="right" w:pos="8306"/>
      </w:tabs>
      <w:snapToGrid w:val="0"/>
      <w:jc w:val="left"/>
    </w:pPr>
    <w:rPr>
      <w:sz w:val="18"/>
      <w:szCs w:val="18"/>
    </w:rPr>
  </w:style>
  <w:style w:type="paragraph" w:styleId="11">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locked/>
    <w:uiPriority w:val="0"/>
    <w:rPr>
      <w:rFonts w:ascii="宋体" w:hAnsi="宋体"/>
    </w:rPr>
  </w:style>
  <w:style w:type="character" w:customStyle="1" w:styleId="17">
    <w:name w:val="页眉 Char"/>
    <w:link w:val="11"/>
    <w:semiHidden/>
    <w:qFormat/>
    <w:uiPriority w:val="99"/>
    <w:rPr>
      <w:sz w:val="18"/>
      <w:szCs w:val="18"/>
    </w:rPr>
  </w:style>
  <w:style w:type="character" w:customStyle="1" w:styleId="18">
    <w:name w:val="页脚 Char"/>
    <w:link w:val="10"/>
    <w:semiHidden/>
    <w:qFormat/>
    <w:uiPriority w:val="99"/>
    <w:rPr>
      <w:sz w:val="18"/>
      <w:szCs w:val="18"/>
    </w:rPr>
  </w:style>
  <w:style w:type="character" w:customStyle="1" w:styleId="19">
    <w:name w:val="批注框文本 Char"/>
    <w:link w:val="9"/>
    <w:semiHidden/>
    <w:qFormat/>
    <w:uiPriority w:val="99"/>
    <w:rPr>
      <w:kern w:val="2"/>
      <w:sz w:val="18"/>
      <w:szCs w:val="18"/>
    </w:rPr>
  </w:style>
  <w:style w:type="paragraph" w:styleId="20">
    <w:name w:val="List Paragraph"/>
    <w:basedOn w:val="1"/>
    <w:qFormat/>
    <w:uiPriority w:val="0"/>
    <w:pPr>
      <w:ind w:firstLine="420" w:firstLineChars="200"/>
    </w:pPr>
    <w:rPr>
      <w:rFonts w:ascii="Calibri" w:hAnsi="Calibri"/>
      <w:szCs w:val="22"/>
    </w:rPr>
  </w:style>
  <w:style w:type="character" w:customStyle="1" w:styleId="21">
    <w:name w:val="纯文本 Char"/>
    <w:basedOn w:val="15"/>
    <w:link w:val="7"/>
    <w:qFormat/>
    <w:uiPriority w:val="0"/>
    <w:rPr>
      <w:rFonts w:ascii="宋体" w:hAnsi="Courier New" w:cs="Courier New"/>
      <w:kern w:val="2"/>
      <w:sz w:val="21"/>
      <w:szCs w:val="21"/>
    </w:rPr>
  </w:style>
  <w:style w:type="character" w:customStyle="1" w:styleId="22">
    <w:name w:val="正文文本 Char"/>
    <w:basedOn w:val="15"/>
    <w:link w:val="5"/>
    <w:qFormat/>
    <w:uiPriority w:val="0"/>
    <w:rPr>
      <w:rFonts w:cs="宋体"/>
      <w:kern w:val="2"/>
      <w:sz w:val="21"/>
      <w:szCs w:val="24"/>
    </w:rPr>
  </w:style>
  <w:style w:type="paragraph" w:customStyle="1" w:styleId="23">
    <w:name w:val="_Style 13"/>
    <w:qFormat/>
    <w:uiPriority w:val="0"/>
    <w:pPr>
      <w:spacing w:before="120" w:after="120" w:line="288" w:lineRule="auto"/>
      <w:ind w:left="0"/>
      <w:jc w:val="left"/>
    </w:pPr>
    <w:rPr>
      <w:rFonts w:ascii="Arial" w:hAnsi="Arial" w:eastAsia="等线" w:cs="Arial"/>
      <w:sz w:val="22"/>
      <w:szCs w:val="22"/>
    </w:rPr>
  </w:style>
  <w:style w:type="paragraph" w:customStyle="1" w:styleId="24">
    <w:name w:val="【正文】"/>
    <w:basedOn w:val="1"/>
    <w:qFormat/>
    <w:uiPriority w:val="0"/>
    <w:pPr>
      <w:spacing w:line="360" w:lineRule="auto"/>
      <w:ind w:firstLine="480" w:firstLineChars="200"/>
    </w:pPr>
    <w:rPr>
      <w:rFonts w:ascii="宋体" w:hAnsi="宋体"/>
      <w:color w:val="00B05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tyleName="" SelectedStyl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F5CDA1-C559-446A-B1E0-944FA7BF3467}">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24</Pages>
  <Words>932</Words>
  <Characters>976</Characters>
  <Lines>65</Lines>
  <Paragraphs>18</Paragraphs>
  <TotalTime>5</TotalTime>
  <ScaleCrop>false</ScaleCrop>
  <LinksUpToDate>false</LinksUpToDate>
  <CharactersWithSpaces>992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2021-03-02T18:03:00Z</dcterms:created>
  <dc:creator>高晶</dc:creator>
  <cp:lastModifiedBy>素歌</cp:lastModifiedBy>
  <cp:lastPrinted>2026-06-26T17:43:00Z</cp:lastPrinted>
  <dcterms:modified xsi:type="dcterms:W3CDTF">2026-08-13T03:51:14Z</dcterms:modified>
  <cp:revision>396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eyJoZGlkIjoiMTg0NjJmYTEyZTJhYjhjMmYwZWEzMmU4MDY1ZmE5MDEiLCJ1c2VySWQiOiI3Mzg2OTg4OTkifQ==</vt:lpwstr>
  </property>
  <property fmtid="{D5CDD505-2E9C-101B-9397-08002B2CF9AE}" pid="4" name="ICV">
    <vt:lpwstr>EDC3BFF3566046358F848503AADC5C2B_13</vt:lpwstr>
  </property>
</Properties>
</file>